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8F" w:rsidRPr="00804AC7" w:rsidRDefault="00C7268F" w:rsidP="00C7268F">
      <w:pPr>
        <w:spacing w:before="1440"/>
        <w:jc w:val="center"/>
        <w:rPr>
          <w:rFonts w:ascii="Arial" w:hAnsi="Arial" w:cs="Arial"/>
          <w:b/>
          <w:sz w:val="22"/>
        </w:rPr>
      </w:pPr>
      <w:r w:rsidRPr="00804AC7">
        <w:rPr>
          <w:rFonts w:ascii="Arial" w:hAnsi="Arial"/>
          <w:b/>
          <w:sz w:val="22"/>
        </w:rPr>
        <w:t xml:space="preserve">CONVENTION POUR LA SAUVEGARDE DU </w:t>
      </w:r>
      <w:r w:rsidR="001B6FD7" w:rsidRPr="00804AC7">
        <w:rPr>
          <w:rFonts w:ascii="Arial" w:hAnsi="Arial"/>
          <w:b/>
          <w:sz w:val="22"/>
        </w:rPr>
        <w:br/>
      </w:r>
      <w:r w:rsidRPr="00804AC7">
        <w:rPr>
          <w:rFonts w:ascii="Arial" w:hAnsi="Arial"/>
          <w:b/>
          <w:sz w:val="22"/>
        </w:rPr>
        <w:t>PATRIMOINE CULTUREL IMMATÉRIEL</w:t>
      </w:r>
    </w:p>
    <w:p w:rsidR="00C7268F" w:rsidRPr="00804AC7" w:rsidRDefault="00C7268F" w:rsidP="00C7268F">
      <w:pPr>
        <w:spacing w:before="1200"/>
        <w:jc w:val="center"/>
        <w:rPr>
          <w:rFonts w:ascii="Arial" w:hAnsi="Arial" w:cs="Arial"/>
          <w:b/>
          <w:sz w:val="22"/>
        </w:rPr>
      </w:pPr>
      <w:r w:rsidRPr="00804AC7">
        <w:rPr>
          <w:rFonts w:ascii="Arial" w:hAnsi="Arial"/>
          <w:b/>
          <w:sz w:val="22"/>
        </w:rPr>
        <w:t xml:space="preserve">COMITÉ INTERGOUVERNEMENTAL DE </w:t>
      </w:r>
      <w:r w:rsidR="001B6FD7" w:rsidRPr="00804AC7">
        <w:rPr>
          <w:rFonts w:ascii="Arial" w:hAnsi="Arial"/>
          <w:b/>
          <w:sz w:val="22"/>
        </w:rPr>
        <w:br/>
      </w:r>
      <w:r w:rsidRPr="00804AC7">
        <w:rPr>
          <w:rFonts w:ascii="Arial" w:hAnsi="Arial"/>
          <w:b/>
          <w:sz w:val="22"/>
        </w:rPr>
        <w:t>SAUVEGARDE DU PATRIMOINE CULTUREL IMMATÉRIEL</w:t>
      </w:r>
    </w:p>
    <w:p w:rsidR="00C7268F" w:rsidRPr="00804AC7" w:rsidRDefault="00C7268F" w:rsidP="00C7268F">
      <w:pPr>
        <w:spacing w:before="840"/>
        <w:jc w:val="center"/>
        <w:rPr>
          <w:rFonts w:ascii="Arial" w:hAnsi="Arial" w:cs="Arial"/>
          <w:b/>
          <w:sz w:val="22"/>
        </w:rPr>
      </w:pPr>
      <w:r w:rsidRPr="00804AC7">
        <w:rPr>
          <w:rFonts w:ascii="Arial" w:hAnsi="Arial"/>
          <w:b/>
          <w:sz w:val="22"/>
        </w:rPr>
        <w:t>Dixième session</w:t>
      </w:r>
      <w:bookmarkStart w:id="0" w:name="_GoBack"/>
      <w:bookmarkEnd w:id="0"/>
    </w:p>
    <w:p w:rsidR="00C7268F" w:rsidRPr="00804AC7" w:rsidRDefault="00C7268F" w:rsidP="00C7268F">
      <w:pPr>
        <w:jc w:val="center"/>
        <w:rPr>
          <w:rFonts w:ascii="Arial" w:hAnsi="Arial" w:cs="Arial"/>
          <w:b/>
          <w:sz w:val="22"/>
        </w:rPr>
      </w:pPr>
      <w:r w:rsidRPr="00804AC7">
        <w:rPr>
          <w:rFonts w:ascii="Arial" w:hAnsi="Arial"/>
          <w:b/>
          <w:sz w:val="22"/>
        </w:rPr>
        <w:t>Windhoek, Namibie</w:t>
      </w:r>
    </w:p>
    <w:p w:rsidR="00C7268F" w:rsidRPr="00804AC7" w:rsidRDefault="00C7268F" w:rsidP="00C7268F">
      <w:pPr>
        <w:jc w:val="center"/>
        <w:rPr>
          <w:rFonts w:ascii="Arial" w:hAnsi="Arial" w:cs="Arial"/>
          <w:b/>
          <w:sz w:val="22"/>
        </w:rPr>
      </w:pPr>
      <w:r w:rsidRPr="00804AC7">
        <w:rPr>
          <w:rFonts w:ascii="Arial" w:hAnsi="Arial"/>
          <w:b/>
          <w:sz w:val="22"/>
        </w:rPr>
        <w:t>30 novembre – 4 décembre 2015</w:t>
      </w:r>
    </w:p>
    <w:p w:rsidR="00C7268F" w:rsidRPr="00804AC7" w:rsidRDefault="00C7268F" w:rsidP="00C7268F">
      <w:pPr>
        <w:pStyle w:val="Sansinterligne2"/>
        <w:spacing w:before="1200"/>
        <w:jc w:val="center"/>
        <w:rPr>
          <w:rFonts w:ascii="Arial" w:hAnsi="Arial" w:cs="Arial"/>
          <w:b/>
          <w:sz w:val="22"/>
        </w:rPr>
      </w:pPr>
      <w:r w:rsidRPr="00804AC7">
        <w:rPr>
          <w:rFonts w:ascii="Arial" w:hAnsi="Arial"/>
          <w:b/>
          <w:sz w:val="22"/>
          <w:u w:val="single"/>
        </w:rPr>
        <w:t>Point 10 de l’ordre du jour provisoire</w:t>
      </w:r>
      <w:r w:rsidRPr="009F3A9A">
        <w:rPr>
          <w:u w:val="single"/>
        </w:rPr>
        <w:t> :</w:t>
      </w:r>
    </w:p>
    <w:p w:rsidR="00C7268F" w:rsidRPr="00804AC7" w:rsidRDefault="00C7268F" w:rsidP="00C7268F">
      <w:pPr>
        <w:pStyle w:val="Sansinterligne2"/>
        <w:spacing w:after="840"/>
        <w:jc w:val="center"/>
        <w:rPr>
          <w:rFonts w:ascii="Arial" w:hAnsi="Arial" w:cs="Arial"/>
          <w:b/>
          <w:sz w:val="22"/>
        </w:rPr>
      </w:pPr>
      <w:r w:rsidRPr="00804AC7">
        <w:rPr>
          <w:rFonts w:ascii="Arial" w:hAnsi="Arial"/>
          <w:b/>
          <w:sz w:val="22"/>
        </w:rPr>
        <w:t>Rapport de l’Organe d’évaluation sur ses travaux en 2015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tblGrid>
      <w:tr w:rsidR="00C7268F" w:rsidRPr="00804AC7">
        <w:trPr>
          <w:jc w:val="center"/>
        </w:trPr>
        <w:tc>
          <w:tcPr>
            <w:tcW w:w="5670" w:type="dxa"/>
            <w:tcBorders>
              <w:top w:val="single" w:sz="4" w:space="0" w:color="000000"/>
              <w:left w:val="single" w:sz="4" w:space="0" w:color="000000"/>
              <w:bottom w:val="single" w:sz="4" w:space="0" w:color="000000"/>
              <w:right w:val="single" w:sz="4" w:space="0" w:color="000000"/>
            </w:tcBorders>
            <w:vAlign w:val="center"/>
          </w:tcPr>
          <w:p w:rsidR="00C7268F" w:rsidRPr="00804AC7" w:rsidRDefault="00C7268F">
            <w:pPr>
              <w:pStyle w:val="Sansinterligne1"/>
              <w:spacing w:before="200" w:after="200"/>
              <w:jc w:val="center"/>
              <w:rPr>
                <w:rFonts w:ascii="Arial" w:hAnsi="Arial" w:cs="Arial"/>
                <w:b/>
                <w:sz w:val="22"/>
              </w:rPr>
            </w:pPr>
            <w:r w:rsidRPr="00804AC7">
              <w:rPr>
                <w:rFonts w:ascii="Arial" w:hAnsi="Arial"/>
                <w:b/>
                <w:sz w:val="22"/>
              </w:rPr>
              <w:t>Résumé</w:t>
            </w:r>
          </w:p>
          <w:p w:rsidR="00C7268F" w:rsidRPr="00804AC7" w:rsidRDefault="00C7268F">
            <w:pPr>
              <w:pStyle w:val="Sansinterligne1"/>
              <w:jc w:val="both"/>
              <w:rPr>
                <w:rFonts w:ascii="Arial" w:hAnsi="Arial" w:cs="Arial"/>
                <w:bCs/>
                <w:sz w:val="22"/>
              </w:rPr>
            </w:pPr>
            <w:r w:rsidRPr="00804AC7">
              <w:rPr>
                <w:rFonts w:ascii="Arial" w:hAnsi="Arial"/>
                <w:sz w:val="22"/>
              </w:rPr>
              <w:t xml:space="preserve">Lors de sa neuvième session, le Comité a </w:t>
            </w:r>
            <w:r w:rsidR="00FB26F5" w:rsidRPr="00804AC7">
              <w:rPr>
                <w:rFonts w:ascii="Arial" w:hAnsi="Arial"/>
                <w:sz w:val="22"/>
              </w:rPr>
              <w:t xml:space="preserve">établi </w:t>
            </w:r>
            <w:r w:rsidRPr="00804AC7">
              <w:rPr>
                <w:rFonts w:ascii="Arial" w:hAnsi="Arial"/>
                <w:sz w:val="22"/>
              </w:rPr>
              <w:t xml:space="preserve">un organe d’évaluation chargé d’examiner </w:t>
            </w:r>
            <w:r w:rsidR="00FB26F5" w:rsidRPr="00804AC7">
              <w:rPr>
                <w:rFonts w:ascii="Arial" w:hAnsi="Arial"/>
                <w:sz w:val="22"/>
              </w:rPr>
              <w:t xml:space="preserve">en 2015 </w:t>
            </w:r>
            <w:r w:rsidRPr="00804AC7">
              <w:rPr>
                <w:rFonts w:ascii="Arial" w:hAnsi="Arial"/>
                <w:sz w:val="22"/>
              </w:rPr>
              <w:t xml:space="preserve">les candidatures pour inscription sur la Liste de sauvegarde urgente et la Liste représentative, les propositions au Registre des meilleures pratiques de sauvegarde et les demandes d’assistance internationale </w:t>
            </w:r>
            <w:r w:rsidR="002D4B0E" w:rsidRPr="00804AC7">
              <w:rPr>
                <w:rFonts w:ascii="Arial" w:hAnsi="Arial"/>
                <w:sz w:val="22"/>
              </w:rPr>
              <w:t xml:space="preserve">supérieures à </w:t>
            </w:r>
            <w:r w:rsidRPr="00804AC7">
              <w:rPr>
                <w:rFonts w:ascii="Arial" w:hAnsi="Arial"/>
                <w:sz w:val="22"/>
              </w:rPr>
              <w:t>25</w:t>
            </w:r>
            <w:r w:rsidR="00FB26F5" w:rsidRPr="00804AC7">
              <w:rPr>
                <w:rFonts w:ascii="Arial" w:hAnsi="Arial"/>
                <w:sz w:val="22"/>
              </w:rPr>
              <w:t> 000 </w:t>
            </w:r>
            <w:r w:rsidRPr="00804AC7">
              <w:rPr>
                <w:rFonts w:ascii="Arial" w:hAnsi="Arial"/>
                <w:sz w:val="22"/>
              </w:rPr>
              <w:t>dollars des États-Unis (Décision</w:t>
            </w:r>
            <w:r w:rsidR="00791AD2" w:rsidRPr="00804AC7">
              <w:rPr>
                <w:rFonts w:ascii="Arial" w:hAnsi="Arial"/>
                <w:sz w:val="22"/>
              </w:rPr>
              <w:t> </w:t>
            </w:r>
            <w:r w:rsidRPr="00804AC7">
              <w:rPr>
                <w:rFonts w:ascii="Arial" w:hAnsi="Arial"/>
                <w:sz w:val="22"/>
              </w:rPr>
              <w:t xml:space="preserve">9.COM 11). Le présent document constitue le rapport de l’Organe d’évaluation </w:t>
            </w:r>
            <w:r w:rsidR="00FB26F5" w:rsidRPr="00804AC7">
              <w:rPr>
                <w:rFonts w:ascii="Arial" w:hAnsi="Arial"/>
                <w:sz w:val="22"/>
              </w:rPr>
              <w:t>et</w:t>
            </w:r>
            <w:r w:rsidRPr="00804AC7">
              <w:rPr>
                <w:rFonts w:ascii="Arial" w:hAnsi="Arial"/>
                <w:sz w:val="22"/>
              </w:rPr>
              <w:t xml:space="preserve"> </w:t>
            </w:r>
            <w:r w:rsidR="00FB26F5" w:rsidRPr="00804AC7">
              <w:rPr>
                <w:rFonts w:ascii="Arial" w:hAnsi="Arial"/>
                <w:sz w:val="22"/>
              </w:rPr>
              <w:t xml:space="preserve">comprend un aperçu </w:t>
            </w:r>
            <w:r w:rsidRPr="00804AC7">
              <w:rPr>
                <w:rFonts w:ascii="Arial" w:hAnsi="Arial"/>
                <w:sz w:val="22"/>
              </w:rPr>
              <w:t xml:space="preserve">des </w:t>
            </w:r>
            <w:r w:rsidR="00FB26F5" w:rsidRPr="00804AC7">
              <w:rPr>
                <w:rFonts w:ascii="Arial" w:hAnsi="Arial"/>
                <w:sz w:val="22"/>
              </w:rPr>
              <w:t xml:space="preserve">dossiers </w:t>
            </w:r>
            <w:r w:rsidRPr="00804AC7">
              <w:rPr>
                <w:rFonts w:ascii="Arial" w:hAnsi="Arial"/>
                <w:sz w:val="22"/>
              </w:rPr>
              <w:t xml:space="preserve">de 2015 et </w:t>
            </w:r>
            <w:r w:rsidR="00FE3304" w:rsidRPr="00804AC7">
              <w:rPr>
                <w:rFonts w:ascii="Arial" w:hAnsi="Arial"/>
                <w:sz w:val="22"/>
              </w:rPr>
              <w:t xml:space="preserve">de </w:t>
            </w:r>
            <w:r w:rsidRPr="00804AC7">
              <w:rPr>
                <w:rFonts w:ascii="Arial" w:hAnsi="Arial"/>
                <w:sz w:val="22"/>
              </w:rPr>
              <w:t>ses méthodes de travail (</w:t>
            </w:r>
            <w:r w:rsidR="00FB26F5" w:rsidRPr="00804AC7">
              <w:rPr>
                <w:rFonts w:ascii="Arial" w:hAnsi="Arial"/>
                <w:sz w:val="22"/>
              </w:rPr>
              <w:t>Partie </w:t>
            </w:r>
            <w:r w:rsidRPr="00804AC7">
              <w:rPr>
                <w:rFonts w:ascii="Arial" w:hAnsi="Arial"/>
                <w:sz w:val="22"/>
              </w:rPr>
              <w:t xml:space="preserve">A), </w:t>
            </w:r>
            <w:r w:rsidR="00FB26F5" w:rsidRPr="00804AC7">
              <w:rPr>
                <w:rFonts w:ascii="Arial" w:hAnsi="Arial"/>
                <w:sz w:val="22"/>
              </w:rPr>
              <w:t xml:space="preserve">des </w:t>
            </w:r>
            <w:r w:rsidRPr="00804AC7">
              <w:rPr>
                <w:rFonts w:ascii="Arial" w:hAnsi="Arial"/>
                <w:sz w:val="22"/>
              </w:rPr>
              <w:t xml:space="preserve">observations et </w:t>
            </w:r>
            <w:r w:rsidR="00FB26F5" w:rsidRPr="00804AC7">
              <w:rPr>
                <w:rFonts w:ascii="Arial" w:hAnsi="Arial"/>
                <w:sz w:val="22"/>
              </w:rPr>
              <w:t xml:space="preserve">des </w:t>
            </w:r>
            <w:r w:rsidRPr="00804AC7">
              <w:rPr>
                <w:rFonts w:ascii="Arial" w:hAnsi="Arial"/>
                <w:sz w:val="22"/>
              </w:rPr>
              <w:t>recommandations à propos d’un certain nombre de questions transvers</w:t>
            </w:r>
            <w:r w:rsidR="00FE3304" w:rsidRPr="00804AC7">
              <w:rPr>
                <w:rFonts w:ascii="Arial" w:hAnsi="Arial"/>
                <w:sz w:val="22"/>
              </w:rPr>
              <w:t>al</w:t>
            </w:r>
            <w:r w:rsidRPr="00804AC7">
              <w:rPr>
                <w:rFonts w:ascii="Arial" w:hAnsi="Arial"/>
                <w:sz w:val="22"/>
              </w:rPr>
              <w:t>es (</w:t>
            </w:r>
            <w:r w:rsidR="00FB26F5" w:rsidRPr="00804AC7">
              <w:rPr>
                <w:rFonts w:ascii="Arial" w:hAnsi="Arial"/>
                <w:sz w:val="22"/>
              </w:rPr>
              <w:t>Partie </w:t>
            </w:r>
            <w:r w:rsidRPr="00804AC7">
              <w:rPr>
                <w:rFonts w:ascii="Arial" w:hAnsi="Arial"/>
                <w:sz w:val="22"/>
              </w:rPr>
              <w:t xml:space="preserve">B) et un projet de décision </w:t>
            </w:r>
            <w:r w:rsidR="00791AD2">
              <w:rPr>
                <w:rFonts w:ascii="Arial" w:hAnsi="Arial"/>
                <w:sz w:val="22"/>
              </w:rPr>
              <w:t>pour examen par le</w:t>
            </w:r>
            <w:r w:rsidRPr="00804AC7">
              <w:rPr>
                <w:rFonts w:ascii="Arial" w:hAnsi="Arial"/>
                <w:sz w:val="22"/>
              </w:rPr>
              <w:t xml:space="preserve"> Comité (</w:t>
            </w:r>
            <w:r w:rsidR="00FB26F5" w:rsidRPr="00804AC7">
              <w:rPr>
                <w:rFonts w:ascii="Arial" w:hAnsi="Arial"/>
                <w:sz w:val="22"/>
              </w:rPr>
              <w:t>Partie </w:t>
            </w:r>
            <w:r w:rsidRPr="00804AC7">
              <w:rPr>
                <w:rFonts w:ascii="Arial" w:hAnsi="Arial"/>
                <w:sz w:val="22"/>
              </w:rPr>
              <w:t>C).</w:t>
            </w:r>
          </w:p>
          <w:p w:rsidR="00C7268F" w:rsidRPr="00804AC7" w:rsidRDefault="00C7268F" w:rsidP="00FB26F5">
            <w:pPr>
              <w:pStyle w:val="Sansinterligne2"/>
              <w:spacing w:before="200" w:after="200"/>
              <w:jc w:val="both"/>
              <w:rPr>
                <w:rFonts w:ascii="Arial" w:hAnsi="Arial" w:cs="Arial"/>
                <w:b/>
                <w:sz w:val="22"/>
              </w:rPr>
            </w:pPr>
            <w:r w:rsidRPr="00804AC7">
              <w:rPr>
                <w:rFonts w:ascii="Arial" w:hAnsi="Arial"/>
                <w:b/>
                <w:sz w:val="22"/>
              </w:rPr>
              <w:t xml:space="preserve">Décision requise : </w:t>
            </w:r>
            <w:r w:rsidRPr="00804AC7">
              <w:rPr>
                <w:rFonts w:ascii="Arial" w:hAnsi="Arial"/>
                <w:sz w:val="22"/>
              </w:rPr>
              <w:t>paragraphe</w:t>
            </w:r>
            <w:r w:rsidR="00791AD2" w:rsidRPr="00804AC7">
              <w:rPr>
                <w:rFonts w:ascii="Arial" w:hAnsi="Arial"/>
                <w:b/>
                <w:sz w:val="22"/>
              </w:rPr>
              <w:t> </w:t>
            </w:r>
            <w:r w:rsidR="00FB26F5" w:rsidRPr="00804AC7">
              <w:rPr>
                <w:rFonts w:ascii="Arial" w:hAnsi="Arial"/>
                <w:sz w:val="22"/>
              </w:rPr>
              <w:t>72</w:t>
            </w:r>
          </w:p>
        </w:tc>
      </w:tr>
    </w:tbl>
    <w:p w:rsidR="00B86CF6" w:rsidRDefault="00B86CF6" w:rsidP="00B86CF6">
      <w:pPr>
        <w:pStyle w:val="COMPara"/>
        <w:ind w:left="567" w:firstLine="0"/>
        <w:jc w:val="both"/>
      </w:pPr>
    </w:p>
    <w:p w:rsidR="00C7268F" w:rsidRPr="00804AC7" w:rsidRDefault="00C7268F" w:rsidP="00B86CF6">
      <w:pPr>
        <w:pStyle w:val="COMPara"/>
        <w:numPr>
          <w:ilvl w:val="0"/>
          <w:numId w:val="5"/>
        </w:numPr>
        <w:ind w:left="567" w:hanging="567"/>
        <w:jc w:val="both"/>
      </w:pPr>
      <w:r w:rsidRPr="00804AC7">
        <w:lastRenderedPageBreak/>
        <w:t>Conformément au paragraphe 27 des Directives opérationnelles</w:t>
      </w:r>
      <w:r w:rsidR="002D4B0E" w:rsidRPr="00804AC7">
        <w:t xml:space="preserve"> (édition 2014)</w:t>
      </w:r>
      <w:r w:rsidRPr="00804AC7">
        <w:t>, l’</w:t>
      </w:r>
      <w:r w:rsidR="002D4B0E" w:rsidRPr="00804AC7">
        <w:t>évaluation</w:t>
      </w:r>
      <w:r w:rsidRPr="00804AC7">
        <w:t xml:space="preserve"> des candidatures pour inscription sur la Liste de sauvegarde urgente et sur la Liste représentative, des propositions au Registre des meilleures pratiques de sauvegarde et des demandes </w:t>
      </w:r>
      <w:r w:rsidRPr="00F016A0">
        <w:rPr>
          <w:lang w:eastAsia="en-US" w:bidi="en-US"/>
        </w:rPr>
        <w:t>d’assistance</w:t>
      </w:r>
      <w:r w:rsidRPr="00804AC7">
        <w:t xml:space="preserve"> internationale </w:t>
      </w:r>
      <w:r w:rsidR="002D4B0E" w:rsidRPr="00804AC7">
        <w:t>supérieures à</w:t>
      </w:r>
      <w:r w:rsidRPr="00804AC7">
        <w:t xml:space="preserve"> 25 000 dollars des États-Unis est </w:t>
      </w:r>
      <w:r w:rsidR="002D4B0E" w:rsidRPr="00804AC7">
        <w:t xml:space="preserve">effectuée </w:t>
      </w:r>
      <w:r w:rsidRPr="00804AC7">
        <w:t xml:space="preserve">par un organe consultatif du Comité établi conformément à l’article 8.3 de la Convention et à l’article 20 de son Règlement intérieur, </w:t>
      </w:r>
      <w:r w:rsidR="002D4B0E" w:rsidRPr="00804AC7">
        <w:t>dénommé l’</w:t>
      </w:r>
      <w:r w:rsidRPr="00804AC7">
        <w:t>« Organe d’évaluation ».</w:t>
      </w:r>
    </w:p>
    <w:p w:rsidR="00C7268F" w:rsidRPr="00804AC7" w:rsidRDefault="002D4B0E" w:rsidP="00B86CF6">
      <w:pPr>
        <w:pStyle w:val="COMPara"/>
        <w:numPr>
          <w:ilvl w:val="0"/>
          <w:numId w:val="5"/>
        </w:numPr>
        <w:ind w:left="567" w:hanging="567"/>
        <w:jc w:val="both"/>
      </w:pPr>
      <w:r w:rsidRPr="00804AC7">
        <w:t xml:space="preserve">Par </w:t>
      </w:r>
      <w:r w:rsidR="00C7268F" w:rsidRPr="00804AC7">
        <w:t>sa Décision 9.</w:t>
      </w:r>
      <w:r w:rsidR="00374BAC" w:rsidRPr="00804AC7">
        <w:t>COM</w:t>
      </w:r>
      <w:r w:rsidR="00374BAC">
        <w:t> </w:t>
      </w:r>
      <w:r w:rsidR="00C7268F" w:rsidRPr="00804AC7">
        <w:t>11, le Comité a établi un tel organe lors de sa neuvième session (</w:t>
      </w:r>
      <w:r w:rsidRPr="00804AC7">
        <w:t xml:space="preserve">Siège de l’UNESCO, </w:t>
      </w:r>
      <w:r w:rsidR="00C7268F" w:rsidRPr="00804AC7">
        <w:t>Paris, 24</w:t>
      </w:r>
      <w:r w:rsidR="00374BAC">
        <w:t>-</w:t>
      </w:r>
      <w:r w:rsidR="00C7268F" w:rsidRPr="00804AC7">
        <w:t xml:space="preserve">28 novembre 2014). L’Organe d’évaluation </w:t>
      </w:r>
      <w:r w:rsidR="00A747F8" w:rsidRPr="00804AC7">
        <w:t xml:space="preserve">est </w:t>
      </w:r>
      <w:r w:rsidR="00C7268F" w:rsidRPr="00804AC7">
        <w:t>compos</w:t>
      </w:r>
      <w:r w:rsidR="00A747F8" w:rsidRPr="00804AC7">
        <w:t>é</w:t>
      </w:r>
      <w:r w:rsidR="00C7268F" w:rsidRPr="00804AC7">
        <w:t xml:space="preserve"> de six experts </w:t>
      </w:r>
      <w:r w:rsidR="00A747F8" w:rsidRPr="00804AC7">
        <w:t xml:space="preserve">qualifiés </w:t>
      </w:r>
      <w:r w:rsidR="00C7268F" w:rsidRPr="00804AC7">
        <w:t xml:space="preserve">dans </w:t>
      </w:r>
      <w:r w:rsidR="00A747F8" w:rsidRPr="00804AC7">
        <w:t xml:space="preserve">les divers </w:t>
      </w:r>
      <w:r w:rsidR="00C7268F" w:rsidRPr="00804AC7">
        <w:t>domaines du patrimoine culturel immatériel représentants d</w:t>
      </w:r>
      <w:r w:rsidR="00A747F8" w:rsidRPr="00804AC7">
        <w:t>’</w:t>
      </w:r>
      <w:r w:rsidR="00C7268F" w:rsidRPr="00804AC7">
        <w:t xml:space="preserve">États parties non membres du Comité et </w:t>
      </w:r>
      <w:r w:rsidR="00A747F8" w:rsidRPr="00804AC7">
        <w:t xml:space="preserve">de </w:t>
      </w:r>
      <w:r w:rsidR="00C7268F" w:rsidRPr="00804AC7">
        <w:t>six organisations non</w:t>
      </w:r>
      <w:r w:rsidR="00A747F8" w:rsidRPr="00804AC7">
        <w:t xml:space="preserve"> </w:t>
      </w:r>
      <w:r w:rsidR="00C7268F" w:rsidRPr="00804AC7">
        <w:t xml:space="preserve">gouvernementales accréditées. Les douze membres de l’Organe d’évaluation ont été sélectionnés par le Comité </w:t>
      </w:r>
      <w:r w:rsidR="00A747F8" w:rsidRPr="00804AC7">
        <w:t xml:space="preserve">en tenant compte d’une </w:t>
      </w:r>
      <w:r w:rsidR="00C7268F" w:rsidRPr="00804AC7">
        <w:t xml:space="preserve">représentation géographique équitable et </w:t>
      </w:r>
      <w:r w:rsidR="00A747F8" w:rsidRPr="00804AC7">
        <w:t xml:space="preserve">de leur expertise </w:t>
      </w:r>
      <w:r w:rsidR="00C7268F" w:rsidRPr="00804AC7">
        <w:t xml:space="preserve">dans les </w:t>
      </w:r>
      <w:r w:rsidR="00A747F8" w:rsidRPr="00804AC7">
        <w:t xml:space="preserve">différents </w:t>
      </w:r>
      <w:r w:rsidR="00C7268F" w:rsidRPr="00804AC7">
        <w:t xml:space="preserve">domaines du patrimoine culturel immatériel. </w:t>
      </w:r>
      <w:r w:rsidR="00A747F8" w:rsidRPr="00804AC7">
        <w:t xml:space="preserve">Les douze </w:t>
      </w:r>
      <w:r w:rsidR="00C7268F" w:rsidRPr="00804AC7">
        <w:t>membres</w:t>
      </w:r>
      <w:r w:rsidR="00A747F8" w:rsidRPr="00804AC7">
        <w:t xml:space="preserve"> sélectionnés par le Comité</w:t>
      </w:r>
      <w:r w:rsidR="00C7268F" w:rsidRPr="00804AC7">
        <w:t>, ainsi que les pays qu’ils représentent</w:t>
      </w:r>
      <w:r w:rsidR="00A747F8" w:rsidRPr="00804AC7">
        <w:t xml:space="preserve"> dans le cas des experts</w:t>
      </w:r>
      <w:r w:rsidR="00C7268F" w:rsidRPr="00804AC7">
        <w:t>, sont :</w:t>
      </w:r>
    </w:p>
    <w:p w:rsidR="00C7268F" w:rsidRPr="00804AC7" w:rsidRDefault="00C7268F" w:rsidP="00F016A0">
      <w:pPr>
        <w:pStyle w:val="COMPara"/>
        <w:spacing w:before="120"/>
        <w:ind w:left="567" w:firstLine="0"/>
        <w:jc w:val="both"/>
        <w:rPr>
          <w:b/>
        </w:rPr>
      </w:pPr>
      <w:r w:rsidRPr="00F016A0">
        <w:rPr>
          <w:b/>
          <w:lang w:eastAsia="en-US" w:bidi="en-US"/>
        </w:rPr>
        <w:t>Experts</w:t>
      </w:r>
      <w:r w:rsidRPr="00804AC7">
        <w:rPr>
          <w:b/>
        </w:rPr>
        <w:t xml:space="preserve"> représentants des États parties non membres du Comité</w:t>
      </w:r>
    </w:p>
    <w:p w:rsidR="00C7268F" w:rsidRPr="006D5B5F" w:rsidRDefault="00656DE4" w:rsidP="00F016A0">
      <w:pPr>
        <w:pStyle w:val="COMPara"/>
        <w:spacing w:after="0"/>
        <w:ind w:left="1416" w:firstLine="0"/>
        <w:rPr>
          <w:iCs/>
          <w:lang w:val="pt-BR" w:eastAsia="en-US" w:bidi="en-US"/>
        </w:rPr>
      </w:pPr>
      <w:r w:rsidRPr="006D5B5F">
        <w:rPr>
          <w:iCs/>
          <w:lang w:val="pt-BR" w:eastAsia="en-US" w:bidi="en-US"/>
        </w:rPr>
        <w:t xml:space="preserve">EG </w:t>
      </w:r>
      <w:proofErr w:type="gramStart"/>
      <w:r w:rsidRPr="006D5B5F">
        <w:rPr>
          <w:iCs/>
          <w:lang w:val="pt-BR" w:eastAsia="en-US" w:bidi="en-US"/>
        </w:rPr>
        <w:t>I :</w:t>
      </w:r>
      <w:proofErr w:type="gramEnd"/>
      <w:r w:rsidRPr="006D5B5F">
        <w:rPr>
          <w:iCs/>
          <w:lang w:val="pt-BR" w:eastAsia="en-US" w:bidi="en-US"/>
        </w:rPr>
        <w:t xml:space="preserve"> Mme Amélia Maria de Melo Frazão Moreira (Portugal)</w:t>
      </w:r>
    </w:p>
    <w:p w:rsidR="00C7268F" w:rsidRPr="006D5B5F" w:rsidRDefault="00656DE4" w:rsidP="00F016A0">
      <w:pPr>
        <w:pStyle w:val="COMPara"/>
        <w:spacing w:after="0"/>
        <w:ind w:left="1416" w:firstLine="0"/>
        <w:rPr>
          <w:iCs/>
          <w:lang w:val="pt-BR" w:eastAsia="en-US" w:bidi="en-US"/>
        </w:rPr>
      </w:pPr>
      <w:r w:rsidRPr="006D5B5F">
        <w:rPr>
          <w:iCs/>
          <w:lang w:val="pt-BR" w:eastAsia="en-US" w:bidi="en-US"/>
        </w:rPr>
        <w:t xml:space="preserve">EG </w:t>
      </w:r>
      <w:proofErr w:type="gramStart"/>
      <w:r w:rsidRPr="006D5B5F">
        <w:rPr>
          <w:iCs/>
          <w:lang w:val="pt-BR" w:eastAsia="en-US" w:bidi="en-US"/>
        </w:rPr>
        <w:t>II :</w:t>
      </w:r>
      <w:proofErr w:type="gramEnd"/>
      <w:r w:rsidRPr="006D5B5F">
        <w:rPr>
          <w:iCs/>
          <w:lang w:val="pt-BR" w:eastAsia="en-US" w:bidi="en-US"/>
        </w:rPr>
        <w:t xml:space="preserve"> M. Saša Srećković (Serbie)</w:t>
      </w:r>
    </w:p>
    <w:p w:rsidR="00C7268F" w:rsidRPr="003057E8" w:rsidRDefault="00C7268F" w:rsidP="00F016A0">
      <w:pPr>
        <w:pStyle w:val="COMPara"/>
        <w:spacing w:after="0"/>
        <w:ind w:left="1416" w:firstLine="0"/>
        <w:rPr>
          <w:iCs/>
          <w:lang w:eastAsia="en-US" w:bidi="en-US"/>
        </w:rPr>
      </w:pPr>
      <w:r w:rsidRPr="003F7BE4">
        <w:rPr>
          <w:iCs/>
          <w:lang w:eastAsia="en-US" w:bidi="en-US"/>
        </w:rPr>
        <w:t>EG III : M. Víctor Rago (République bolivarienne du Venezuela)</w:t>
      </w:r>
    </w:p>
    <w:p w:rsidR="00C7268F" w:rsidRPr="003F7BE4" w:rsidRDefault="00C7268F" w:rsidP="00F016A0">
      <w:pPr>
        <w:pStyle w:val="COMPara"/>
        <w:spacing w:after="0"/>
        <w:ind w:left="1416" w:firstLine="0"/>
        <w:rPr>
          <w:iCs/>
          <w:lang w:eastAsia="en-US" w:bidi="en-US"/>
        </w:rPr>
      </w:pPr>
      <w:r w:rsidRPr="003F7BE4">
        <w:rPr>
          <w:iCs/>
          <w:lang w:eastAsia="en-US" w:bidi="en-US"/>
        </w:rPr>
        <w:t>EG IV : Mme Masami Iwasaki (Japon)</w:t>
      </w:r>
    </w:p>
    <w:p w:rsidR="00C7268F" w:rsidRPr="00B86CF6" w:rsidRDefault="00656DE4" w:rsidP="00F016A0">
      <w:pPr>
        <w:pStyle w:val="COMPara"/>
        <w:spacing w:after="0"/>
        <w:ind w:left="1416" w:firstLine="0"/>
        <w:rPr>
          <w:iCs/>
          <w:lang w:val="en-US" w:eastAsia="en-US" w:bidi="en-US"/>
        </w:rPr>
      </w:pPr>
      <w:r w:rsidRPr="00B86CF6">
        <w:rPr>
          <w:iCs/>
          <w:lang w:val="en-US" w:eastAsia="en-US" w:bidi="en-US"/>
        </w:rPr>
        <w:t xml:space="preserve">EG </w:t>
      </w:r>
      <w:proofErr w:type="gramStart"/>
      <w:r w:rsidRPr="00B86CF6">
        <w:rPr>
          <w:iCs/>
          <w:lang w:val="en-US" w:eastAsia="en-US" w:bidi="en-US"/>
        </w:rPr>
        <w:t>V(</w:t>
      </w:r>
      <w:proofErr w:type="gramEnd"/>
      <w:r w:rsidRPr="00B86CF6">
        <w:rPr>
          <w:iCs/>
          <w:lang w:val="en-US" w:eastAsia="en-US" w:bidi="en-US"/>
        </w:rPr>
        <w:t>a) : M. Sidi Traoré (Burkina Faso)</w:t>
      </w:r>
    </w:p>
    <w:p w:rsidR="00C7268F" w:rsidRPr="00B86CF6" w:rsidRDefault="00656DE4" w:rsidP="00F016A0">
      <w:pPr>
        <w:pStyle w:val="COMPara"/>
        <w:spacing w:after="240"/>
        <w:ind w:left="1418" w:firstLine="0"/>
        <w:rPr>
          <w:iCs/>
          <w:lang w:val="en-US" w:eastAsia="en-US" w:bidi="en-US"/>
        </w:rPr>
      </w:pPr>
      <w:r w:rsidRPr="00B86CF6">
        <w:rPr>
          <w:iCs/>
          <w:lang w:val="en-US" w:eastAsia="en-US" w:bidi="en-US"/>
        </w:rPr>
        <w:t xml:space="preserve">EG </w:t>
      </w:r>
      <w:proofErr w:type="gramStart"/>
      <w:r w:rsidRPr="00B86CF6">
        <w:rPr>
          <w:iCs/>
          <w:lang w:val="en-US" w:eastAsia="en-US" w:bidi="en-US"/>
        </w:rPr>
        <w:t>V(</w:t>
      </w:r>
      <w:proofErr w:type="gramEnd"/>
      <w:r w:rsidRPr="00B86CF6">
        <w:rPr>
          <w:iCs/>
          <w:lang w:val="en-US" w:eastAsia="en-US" w:bidi="en-US"/>
        </w:rPr>
        <w:t>b)</w:t>
      </w:r>
      <w:r w:rsidR="003F7BE4" w:rsidRPr="00B86CF6">
        <w:rPr>
          <w:iCs/>
          <w:lang w:val="en-US" w:eastAsia="en-US" w:bidi="en-US"/>
        </w:rPr>
        <w:t> </w:t>
      </w:r>
      <w:r w:rsidRPr="00B86CF6">
        <w:rPr>
          <w:iCs/>
          <w:lang w:val="en-US" w:eastAsia="en-US" w:bidi="en-US"/>
        </w:rPr>
        <w:t>: M. Ahmed Skounti (Maroc)</w:t>
      </w:r>
    </w:p>
    <w:p w:rsidR="00C7268F" w:rsidRPr="003F7BE4" w:rsidRDefault="00C7268F" w:rsidP="00F016A0">
      <w:pPr>
        <w:pStyle w:val="COMPara"/>
        <w:ind w:left="567" w:firstLine="0"/>
        <w:jc w:val="both"/>
        <w:rPr>
          <w:b/>
        </w:rPr>
      </w:pPr>
      <w:r w:rsidRPr="003F7BE4">
        <w:rPr>
          <w:b/>
          <w:lang w:eastAsia="en-US" w:bidi="en-US"/>
        </w:rPr>
        <w:t>Organisations</w:t>
      </w:r>
      <w:r w:rsidRPr="003057E8">
        <w:rPr>
          <w:b/>
        </w:rPr>
        <w:t xml:space="preserve"> non</w:t>
      </w:r>
      <w:r w:rsidR="00D76F17" w:rsidRPr="003057E8">
        <w:rPr>
          <w:b/>
        </w:rPr>
        <w:t xml:space="preserve"> </w:t>
      </w:r>
      <w:r w:rsidRPr="003F7BE4">
        <w:rPr>
          <w:b/>
        </w:rPr>
        <w:t>gouvernementales accréditées</w:t>
      </w:r>
    </w:p>
    <w:p w:rsidR="00C7268F" w:rsidRPr="003F7BE4" w:rsidRDefault="00C7268F" w:rsidP="00F016A0">
      <w:pPr>
        <w:pStyle w:val="COMPara"/>
        <w:spacing w:after="0"/>
        <w:ind w:left="1416" w:firstLine="0"/>
        <w:rPr>
          <w:iCs/>
          <w:lang w:eastAsia="en-US" w:bidi="en-US"/>
        </w:rPr>
      </w:pPr>
      <w:r w:rsidRPr="003F7BE4">
        <w:rPr>
          <w:iCs/>
          <w:lang w:eastAsia="en-US" w:bidi="en-US"/>
        </w:rPr>
        <w:t>EG I : Nederlands Centrum voor Volkscultuur/</w:t>
      </w:r>
      <w:r w:rsidR="00A747F8" w:rsidRPr="003F7BE4">
        <w:rPr>
          <w:iCs/>
        </w:rPr>
        <w:t xml:space="preserve"> </w:t>
      </w:r>
      <w:r w:rsidR="00791AD2">
        <w:rPr>
          <w:rStyle w:val="hps"/>
        </w:rPr>
        <w:t>Centre néerlandais</w:t>
      </w:r>
      <w:r w:rsidR="00791AD2">
        <w:t xml:space="preserve"> </w:t>
      </w:r>
      <w:r w:rsidR="00791AD2">
        <w:rPr>
          <w:rStyle w:val="hps"/>
        </w:rPr>
        <w:t>pour le folklore et</w:t>
      </w:r>
      <w:r w:rsidR="00791AD2">
        <w:t xml:space="preserve"> </w:t>
      </w:r>
      <w:r w:rsidR="00791AD2">
        <w:rPr>
          <w:rStyle w:val="hps"/>
        </w:rPr>
        <w:t>le patrimoine</w:t>
      </w:r>
      <w:r w:rsidR="00791AD2">
        <w:t xml:space="preserve"> </w:t>
      </w:r>
      <w:r w:rsidR="00791AD2">
        <w:rPr>
          <w:rStyle w:val="hps"/>
        </w:rPr>
        <w:t>immatériel</w:t>
      </w:r>
    </w:p>
    <w:p w:rsidR="00C7268F" w:rsidRPr="003F7BE4" w:rsidRDefault="00C7268F" w:rsidP="00F016A0">
      <w:pPr>
        <w:pStyle w:val="COMPara"/>
        <w:spacing w:after="0"/>
        <w:ind w:left="1416" w:firstLine="0"/>
        <w:rPr>
          <w:iCs/>
          <w:lang w:eastAsia="en-US" w:bidi="en-US"/>
        </w:rPr>
      </w:pPr>
      <w:r w:rsidRPr="003F7BE4">
        <w:rPr>
          <w:iCs/>
          <w:lang w:eastAsia="en-US" w:bidi="en-US"/>
        </w:rPr>
        <w:t>EG II : Conseil international de musique traditionnelle</w:t>
      </w:r>
      <w:r w:rsidR="00A747F8" w:rsidRPr="003F7BE4">
        <w:rPr>
          <w:iCs/>
          <w:lang w:eastAsia="en-US" w:bidi="en-US"/>
        </w:rPr>
        <w:t xml:space="preserve"> (CIMT)</w:t>
      </w:r>
    </w:p>
    <w:p w:rsidR="00C7268F" w:rsidRPr="006D5B5F" w:rsidRDefault="00C7268F" w:rsidP="00F016A0">
      <w:pPr>
        <w:pStyle w:val="COMPara"/>
        <w:spacing w:after="0"/>
        <w:ind w:left="1416" w:firstLine="0"/>
        <w:rPr>
          <w:iCs/>
          <w:lang w:val="pt-BR" w:eastAsia="en-US" w:bidi="en-US"/>
        </w:rPr>
      </w:pPr>
      <w:r w:rsidRPr="006D5B5F">
        <w:rPr>
          <w:iCs/>
          <w:lang w:val="pt-BR" w:eastAsia="en-US" w:bidi="en-US"/>
        </w:rPr>
        <w:t xml:space="preserve">EG </w:t>
      </w:r>
      <w:proofErr w:type="gramStart"/>
      <w:r w:rsidRPr="006D5B5F">
        <w:rPr>
          <w:iCs/>
          <w:lang w:val="pt-BR" w:eastAsia="en-US" w:bidi="en-US"/>
        </w:rPr>
        <w:t>III :</w:t>
      </w:r>
      <w:proofErr w:type="gramEnd"/>
      <w:r w:rsidRPr="006D5B5F">
        <w:rPr>
          <w:iCs/>
          <w:lang w:val="pt-BR" w:eastAsia="en-US" w:bidi="en-US"/>
        </w:rPr>
        <w:t xml:space="preserve"> Associação dos Amigos da Arte Popular Brasileira – Museu Casa do Pontal/Association des amis de l’art populaire brésilien – Musée Casa do Pontal</w:t>
      </w:r>
    </w:p>
    <w:p w:rsidR="00C7268F" w:rsidRPr="00626F7F" w:rsidRDefault="00656DE4" w:rsidP="00F016A0">
      <w:pPr>
        <w:pStyle w:val="COMPara"/>
        <w:spacing w:after="0"/>
        <w:ind w:left="1416" w:firstLine="0"/>
        <w:rPr>
          <w:iCs/>
          <w:lang w:val="pt-BR" w:eastAsia="en-US" w:bidi="en-US"/>
        </w:rPr>
      </w:pPr>
      <w:r w:rsidRPr="00626F7F">
        <w:rPr>
          <w:iCs/>
          <w:lang w:val="pt-BR" w:eastAsia="en-US" w:bidi="en-US"/>
        </w:rPr>
        <w:t xml:space="preserve">EG </w:t>
      </w:r>
      <w:proofErr w:type="gramStart"/>
      <w:r w:rsidRPr="00626F7F">
        <w:rPr>
          <w:iCs/>
          <w:lang w:val="pt-BR" w:eastAsia="en-US" w:bidi="en-US"/>
        </w:rPr>
        <w:t>IV :</w:t>
      </w:r>
      <w:proofErr w:type="gramEnd"/>
      <w:r w:rsidRPr="00626F7F">
        <w:rPr>
          <w:iCs/>
          <w:lang w:val="pt-BR" w:eastAsia="en-US" w:bidi="en-US"/>
        </w:rPr>
        <w:t xml:space="preserve"> </w:t>
      </w:r>
      <w:r w:rsidR="00C7268F" w:rsidRPr="003F7BE4">
        <w:rPr>
          <w:rFonts w:ascii="ヒラギノ明朝 ProN W3" w:eastAsia="ヒラギノ明朝 ProN W3" w:hAnsi="ヒラギノ明朝 ProN W3" w:cs="ヒラギノ明朝 ProN W3" w:hint="eastAsia"/>
          <w:iCs/>
          <w:lang w:eastAsia="en-US" w:bidi="en-US"/>
        </w:rPr>
        <w:t>中国民俗学会</w:t>
      </w:r>
      <w:r w:rsidRPr="00626F7F">
        <w:rPr>
          <w:iCs/>
          <w:lang w:val="pt-BR" w:eastAsia="en-US" w:bidi="en-US"/>
        </w:rPr>
        <w:t xml:space="preserve"> / </w:t>
      </w:r>
      <w:r w:rsidR="00791AD2" w:rsidRPr="00626F7F">
        <w:rPr>
          <w:iCs/>
          <w:lang w:val="pt-BR" w:eastAsia="en-US" w:bidi="en-US"/>
        </w:rPr>
        <w:t>Société chinoise de folklore</w:t>
      </w:r>
      <w:r w:rsidRPr="00626F7F">
        <w:rPr>
          <w:iCs/>
          <w:lang w:val="pt-BR" w:eastAsia="en-US" w:bidi="en-US"/>
        </w:rPr>
        <w:t xml:space="preserve"> </w:t>
      </w:r>
    </w:p>
    <w:p w:rsidR="00C7268F" w:rsidRPr="00626F7F" w:rsidRDefault="00656DE4" w:rsidP="00F016A0">
      <w:pPr>
        <w:pStyle w:val="COMPara"/>
        <w:spacing w:after="0"/>
        <w:ind w:left="1416" w:firstLine="0"/>
        <w:rPr>
          <w:iCs/>
          <w:lang w:val="pt-BR" w:eastAsia="en-US" w:bidi="en-US"/>
        </w:rPr>
      </w:pPr>
      <w:r w:rsidRPr="00626F7F">
        <w:rPr>
          <w:iCs/>
          <w:lang w:val="pt-BR" w:eastAsia="en-US" w:bidi="en-US"/>
        </w:rPr>
        <w:t>EG V(a</w:t>
      </w:r>
      <w:proofErr w:type="gramStart"/>
      <w:r w:rsidRPr="00626F7F">
        <w:rPr>
          <w:iCs/>
          <w:lang w:val="pt-BR" w:eastAsia="en-US" w:bidi="en-US"/>
        </w:rPr>
        <w:t>) :</w:t>
      </w:r>
      <w:proofErr w:type="gramEnd"/>
      <w:r w:rsidRPr="00626F7F">
        <w:rPr>
          <w:iCs/>
          <w:lang w:val="pt-BR" w:eastAsia="en-US" w:bidi="en-US"/>
        </w:rPr>
        <w:t xml:space="preserve"> The Cross-Cultural Foundation of Uganda (CCFU)</w:t>
      </w:r>
      <w:r w:rsidR="00791AD2" w:rsidRPr="00626F7F">
        <w:rPr>
          <w:iCs/>
          <w:lang w:val="pt-BR" w:eastAsia="en-US" w:bidi="en-US"/>
        </w:rPr>
        <w:t xml:space="preserve"> / Fondation transculturelle de l’Ouganda</w:t>
      </w:r>
    </w:p>
    <w:p w:rsidR="00C7268F" w:rsidRPr="00B86CF6" w:rsidRDefault="00656DE4" w:rsidP="00F016A0">
      <w:pPr>
        <w:pStyle w:val="COMPara"/>
        <w:ind w:left="1418" w:firstLine="0"/>
        <w:jc w:val="both"/>
        <w:rPr>
          <w:iCs/>
        </w:rPr>
      </w:pPr>
      <w:r w:rsidRPr="00B86CF6">
        <w:rPr>
          <w:iCs/>
          <w:lang w:eastAsia="en-US" w:bidi="en-US"/>
        </w:rPr>
        <w:t>EG V(b) : The Syria Trust</w:t>
      </w:r>
      <w:r w:rsidRPr="00B86CF6">
        <w:t xml:space="preserve"> for Development</w:t>
      </w:r>
      <w:r w:rsidR="00791AD2">
        <w:t xml:space="preserve"> </w:t>
      </w:r>
      <w:r w:rsidR="00791AD2" w:rsidRPr="00791AD2">
        <w:t xml:space="preserve">/ </w:t>
      </w:r>
      <w:r w:rsidR="00791AD2" w:rsidRPr="00B86CF6">
        <w:t>Fonds syrien pour le développement</w:t>
      </w:r>
    </w:p>
    <w:p w:rsidR="003E7E21" w:rsidRPr="00804AC7" w:rsidRDefault="003E7E21" w:rsidP="00B86CF6">
      <w:pPr>
        <w:pStyle w:val="COMPara"/>
        <w:numPr>
          <w:ilvl w:val="0"/>
          <w:numId w:val="5"/>
        </w:numPr>
        <w:ind w:left="567" w:hanging="567"/>
        <w:jc w:val="both"/>
      </w:pPr>
      <w:r>
        <w:t>Un fois présenté</w:t>
      </w:r>
      <w:r w:rsidR="00635803">
        <w:t>,</w:t>
      </w:r>
      <w:r>
        <w:t xml:space="preserve"> </w:t>
      </w:r>
      <w:r w:rsidR="00635803" w:rsidRPr="00804AC7">
        <w:t>à la dixième session du Comité</w:t>
      </w:r>
      <w:r w:rsidR="00635803">
        <w:t xml:space="preserve">, </w:t>
      </w:r>
      <w:r>
        <w:t>un</w:t>
      </w:r>
      <w:r w:rsidRPr="00804AC7">
        <w:t xml:space="preserve"> rapport sur ses travaux</w:t>
      </w:r>
      <w:r w:rsidR="00635803" w:rsidRPr="00804AC7">
        <w:t xml:space="preserve">, le présent Organe d’évaluation cessera d’exister. Un nouvel organe d’évaluation sera constitué </w:t>
      </w:r>
      <w:r w:rsidR="00C7268F" w:rsidRPr="00804AC7">
        <w:t xml:space="preserve">chaque année suivant </w:t>
      </w:r>
      <w:r w:rsidR="00FE3304" w:rsidRPr="00804AC7">
        <w:t xml:space="preserve">un </w:t>
      </w:r>
      <w:r w:rsidR="00C7268F" w:rsidRPr="00804AC7">
        <w:t xml:space="preserve">système de </w:t>
      </w:r>
      <w:r w:rsidR="00FE3304" w:rsidRPr="00804AC7">
        <w:t>rotation de sièges conformément à la d</w:t>
      </w:r>
      <w:r w:rsidR="00C7268F" w:rsidRPr="00804AC7">
        <w:t>écision 9.COM 11. À chaque cycle, le Comité reconduira neuf membres et en élira trois nouveaux.</w:t>
      </w:r>
    </w:p>
    <w:p w:rsidR="00C7268F" w:rsidRPr="00804AC7" w:rsidRDefault="00C7268F" w:rsidP="00B86CF6">
      <w:pPr>
        <w:pStyle w:val="COMPara"/>
        <w:numPr>
          <w:ilvl w:val="0"/>
          <w:numId w:val="5"/>
        </w:numPr>
        <w:ind w:left="567" w:hanging="567"/>
        <w:jc w:val="both"/>
      </w:pPr>
      <w:r w:rsidRPr="00804AC7">
        <w:t xml:space="preserve">Le rapport de l’Organe d’évaluation </w:t>
      </w:r>
      <w:r w:rsidR="00FE3304" w:rsidRPr="00804AC7">
        <w:t xml:space="preserve">consiste en </w:t>
      </w:r>
      <w:r w:rsidRPr="00804AC7">
        <w:t>quatre documents de travail :</w:t>
      </w:r>
    </w:p>
    <w:p w:rsidR="00FE3304" w:rsidRPr="00804AC7" w:rsidRDefault="00C7268F" w:rsidP="00B86CF6">
      <w:pPr>
        <w:pStyle w:val="COMPara"/>
        <w:numPr>
          <w:ilvl w:val="2"/>
          <w:numId w:val="5"/>
        </w:numPr>
        <w:ind w:left="993"/>
        <w:jc w:val="both"/>
      </w:pPr>
      <w:r w:rsidRPr="00F016A0">
        <w:rPr>
          <w:lang w:eastAsia="en-US" w:bidi="en-US"/>
        </w:rPr>
        <w:t>Le</w:t>
      </w:r>
      <w:r w:rsidRPr="00804AC7">
        <w:t xml:space="preserve"> </w:t>
      </w:r>
      <w:r w:rsidRPr="00F016A0">
        <w:rPr>
          <w:lang w:eastAsia="en-US" w:bidi="en-US"/>
        </w:rPr>
        <w:t>présent</w:t>
      </w:r>
      <w:r w:rsidRPr="00804AC7">
        <w:t xml:space="preserve"> document </w:t>
      </w:r>
      <w:r w:rsidR="00FE3304" w:rsidRPr="00804AC7">
        <w:t xml:space="preserve">ITH/15/10.COM/10 </w:t>
      </w:r>
      <w:r w:rsidRPr="00804AC7">
        <w:t xml:space="preserve">constitue le rapport général, qui </w:t>
      </w:r>
      <w:r w:rsidR="00FE3304" w:rsidRPr="00804AC7">
        <w:t xml:space="preserve">comprend </w:t>
      </w:r>
      <w:r w:rsidRPr="00804AC7">
        <w:t xml:space="preserve">un </w:t>
      </w:r>
      <w:r w:rsidR="00FE3304" w:rsidRPr="00804AC7">
        <w:t xml:space="preserve">aperçu </w:t>
      </w:r>
      <w:r w:rsidRPr="00804AC7">
        <w:t xml:space="preserve">de tous les </w:t>
      </w:r>
      <w:r w:rsidR="00FE3304" w:rsidRPr="00804AC7">
        <w:t xml:space="preserve">dossiers </w:t>
      </w:r>
      <w:r w:rsidRPr="00804AC7">
        <w:t>de 2015</w:t>
      </w:r>
      <w:r w:rsidR="00FE3304" w:rsidRPr="00804AC7">
        <w:t xml:space="preserve"> et de ses </w:t>
      </w:r>
      <w:r w:rsidRPr="00804AC7">
        <w:t>méthodes de travail (</w:t>
      </w:r>
      <w:r w:rsidR="00FE3304" w:rsidRPr="00804AC7">
        <w:t>Partie </w:t>
      </w:r>
      <w:r w:rsidRPr="00804AC7">
        <w:t xml:space="preserve">A), </w:t>
      </w:r>
      <w:r w:rsidR="00FE3304" w:rsidRPr="00804AC7">
        <w:t xml:space="preserve">des </w:t>
      </w:r>
      <w:r w:rsidRPr="00F016A0">
        <w:rPr>
          <w:lang w:eastAsia="en-US" w:bidi="en-US"/>
        </w:rPr>
        <w:t>observations</w:t>
      </w:r>
      <w:r w:rsidRPr="00804AC7">
        <w:t xml:space="preserve"> et </w:t>
      </w:r>
      <w:r w:rsidR="00FE3304" w:rsidRPr="00804AC7">
        <w:t xml:space="preserve">des </w:t>
      </w:r>
      <w:r w:rsidRPr="00804AC7">
        <w:t>recommandations à propos d’un certain nombre de questions transvers</w:t>
      </w:r>
      <w:r w:rsidR="00FE3304" w:rsidRPr="00804AC7">
        <w:t>al</w:t>
      </w:r>
      <w:r w:rsidRPr="00804AC7">
        <w:t>es (Partie</w:t>
      </w:r>
      <w:r w:rsidR="00093E9E" w:rsidRPr="00804AC7">
        <w:t> </w:t>
      </w:r>
      <w:r w:rsidRPr="00804AC7">
        <w:t xml:space="preserve">B) ainsi qu’un projet de décision </w:t>
      </w:r>
      <w:r w:rsidR="00635803">
        <w:t>pour examen par le</w:t>
      </w:r>
      <w:r w:rsidRPr="00804AC7">
        <w:t xml:space="preserve"> Comité (Partie</w:t>
      </w:r>
      <w:r w:rsidR="006E4168" w:rsidRPr="00804AC7">
        <w:t> </w:t>
      </w:r>
      <w:r w:rsidRPr="00804AC7">
        <w:t>C)</w:t>
      </w:r>
      <w:r w:rsidR="00FE3304" w:rsidRPr="00804AC7">
        <w:t> ;</w:t>
      </w:r>
    </w:p>
    <w:p w:rsidR="00C7268F" w:rsidRPr="00804AC7" w:rsidRDefault="00C7268F" w:rsidP="00B86CF6">
      <w:pPr>
        <w:pStyle w:val="COMPara"/>
        <w:numPr>
          <w:ilvl w:val="2"/>
          <w:numId w:val="5"/>
        </w:numPr>
        <w:ind w:left="993"/>
        <w:jc w:val="both"/>
      </w:pPr>
      <w:r w:rsidRPr="00804AC7">
        <w:t xml:space="preserve">Le document ITH/15/10.COM/10.a concerne les candidatures pour inscription sur la Liste du patrimoine culturel immatériel nécessitant une sauvegarde urgente. Il comporte une analyse de la conformité des candidatures aux critères d’inscription stipulés dans le chapitre I.1 des Directives opérationnelles, </w:t>
      </w:r>
      <w:r w:rsidR="00FE3304" w:rsidRPr="00804AC7">
        <w:t xml:space="preserve">y compris </w:t>
      </w:r>
      <w:r w:rsidRPr="00804AC7">
        <w:t>une analyse de la viabilité de l’élément</w:t>
      </w:r>
      <w:r w:rsidR="00635803">
        <w:t xml:space="preserve">, </w:t>
      </w:r>
      <w:r w:rsidRPr="00804AC7">
        <w:t xml:space="preserve">de la faisabilité et de </w:t>
      </w:r>
      <w:r w:rsidR="0037544C" w:rsidRPr="00804AC7">
        <w:t xml:space="preserve">l’adéquation </w:t>
      </w:r>
      <w:r w:rsidRPr="00804AC7">
        <w:t>du plan de sauvegarde</w:t>
      </w:r>
      <w:r w:rsidR="00635803">
        <w:t xml:space="preserve"> et </w:t>
      </w:r>
      <w:r w:rsidRPr="00804AC7">
        <w:t xml:space="preserve">des risques de </w:t>
      </w:r>
      <w:r w:rsidR="00FE3304" w:rsidRPr="00804AC7">
        <w:t>disp</w:t>
      </w:r>
      <w:r w:rsidR="0010605C" w:rsidRPr="00804AC7">
        <w:t>a</w:t>
      </w:r>
      <w:r w:rsidR="00FE3304" w:rsidRPr="00804AC7">
        <w:t>rition</w:t>
      </w:r>
      <w:r w:rsidR="00635803">
        <w:t>,</w:t>
      </w:r>
      <w:r w:rsidRPr="00804AC7">
        <w:t xml:space="preserve"> conform</w:t>
      </w:r>
      <w:r w:rsidR="00FE3304" w:rsidRPr="00804AC7">
        <w:t>ément</w:t>
      </w:r>
      <w:r w:rsidRPr="00804AC7">
        <w:t xml:space="preserve"> au paragraphe 29 des Directives opérationnelles</w:t>
      </w:r>
      <w:r w:rsidR="00635803">
        <w:t>,</w:t>
      </w:r>
      <w:r w:rsidRPr="00804AC7">
        <w:t xml:space="preserve"> ainsi qu’une recommandation au Comité d’inscrire ou non l’élément soumis sur la Liste de sauvegarde urgente</w:t>
      </w:r>
      <w:r w:rsidR="0037544C" w:rsidRPr="00804AC7">
        <w:t xml:space="preserve">, </w:t>
      </w:r>
      <w:r w:rsidR="00635803">
        <w:t>accompagnée</w:t>
      </w:r>
      <w:r w:rsidR="00983588">
        <w:t>s des</w:t>
      </w:r>
      <w:r w:rsidR="00635803">
        <w:t xml:space="preserve"> </w:t>
      </w:r>
      <w:r w:rsidR="00FE3304" w:rsidRPr="00804AC7">
        <w:t>projet</w:t>
      </w:r>
      <w:r w:rsidR="00983588">
        <w:t>s</w:t>
      </w:r>
      <w:r w:rsidR="00FE3304" w:rsidRPr="00804AC7">
        <w:t xml:space="preserve"> de décision correspondant</w:t>
      </w:r>
      <w:r w:rsidR="00983588">
        <w:t>s</w:t>
      </w:r>
      <w:r w:rsidR="00635803">
        <w:t> ;</w:t>
      </w:r>
    </w:p>
    <w:p w:rsidR="00C7268F" w:rsidRPr="00804AC7" w:rsidRDefault="00C7268F" w:rsidP="00B86CF6">
      <w:pPr>
        <w:pStyle w:val="COMPara"/>
        <w:numPr>
          <w:ilvl w:val="2"/>
          <w:numId w:val="5"/>
        </w:numPr>
        <w:ind w:left="993"/>
        <w:jc w:val="both"/>
      </w:pPr>
      <w:r w:rsidRPr="00804AC7">
        <w:lastRenderedPageBreak/>
        <w:t xml:space="preserve">Le document ITH/15/10.COM/10.b concerne les candidatures pour inscription sur la Liste représentative du patrimoine culturel immatériel de l’humanité. Il comporte une analyse de la conformité des candidatures aux critères d’inscription stipulés dans le chapitre I.2 des Directives opérationnelles ainsi qu’une recommandation au Comité d’inscrire ou non l’élément soumis </w:t>
      </w:r>
      <w:r w:rsidR="0037544C" w:rsidRPr="00804AC7">
        <w:t xml:space="preserve">à </w:t>
      </w:r>
      <w:r w:rsidRPr="00804AC7">
        <w:t xml:space="preserve">la Liste représentative ou de renvoyer la candidature à (ou aux) État(s) soumissionnaire(s) </w:t>
      </w:r>
      <w:r w:rsidR="0037544C" w:rsidRPr="00804AC7">
        <w:t xml:space="preserve">pour </w:t>
      </w:r>
      <w:r w:rsidR="00635803">
        <w:t>complément d’information</w:t>
      </w:r>
      <w:r w:rsidR="0037544C" w:rsidRPr="00804AC7">
        <w:t xml:space="preserve">, </w:t>
      </w:r>
      <w:r w:rsidR="00635803">
        <w:t>accompagn</w:t>
      </w:r>
      <w:r w:rsidR="00983588">
        <w:t>ées</w:t>
      </w:r>
      <w:r w:rsidR="00635803" w:rsidRPr="00804AC7">
        <w:t xml:space="preserve"> </w:t>
      </w:r>
      <w:r w:rsidR="0037544C" w:rsidRPr="00804AC7">
        <w:t>des projets de décision correspondant</w:t>
      </w:r>
      <w:r w:rsidR="00983588">
        <w:t>s</w:t>
      </w:r>
      <w:r w:rsidR="004B6392">
        <w:t> ;</w:t>
      </w:r>
    </w:p>
    <w:p w:rsidR="00C7268F" w:rsidRPr="00804AC7" w:rsidRDefault="00C7268F" w:rsidP="00B86CF6">
      <w:pPr>
        <w:pStyle w:val="COMPara"/>
        <w:numPr>
          <w:ilvl w:val="2"/>
          <w:numId w:val="5"/>
        </w:numPr>
        <w:ind w:left="993"/>
        <w:jc w:val="both"/>
      </w:pPr>
      <w:r w:rsidRPr="00804AC7">
        <w:t xml:space="preserve">Le document ITH/15/10.COM/10.c concerne les demandes d’assistance internationale </w:t>
      </w:r>
      <w:r w:rsidR="0037544C" w:rsidRPr="00804AC7">
        <w:t xml:space="preserve">supérieures à </w:t>
      </w:r>
      <w:r w:rsidRPr="00804AC7">
        <w:t>25 000 dollars des États-Unis. Il comporte une analyse de la conformité des demandes aux critères d’inscription stipulés dans le chapitre I.4 des Directives opérationnelles ainsi qu’une recommandation au Comité d’approuver ou non les demandes</w:t>
      </w:r>
      <w:r w:rsidR="00983588">
        <w:t xml:space="preserve">, accompagnées </w:t>
      </w:r>
      <w:r w:rsidR="0037544C" w:rsidRPr="00804AC7">
        <w:t>des projets de décision correspondant</w:t>
      </w:r>
      <w:r w:rsidR="00983588">
        <w:t>s</w:t>
      </w:r>
      <w:r w:rsidRPr="00804AC7">
        <w:t>.</w:t>
      </w:r>
    </w:p>
    <w:p w:rsidR="00C7268F" w:rsidRPr="00804AC7" w:rsidRDefault="00C7268F" w:rsidP="00B86CF6">
      <w:pPr>
        <w:pStyle w:val="COMPara"/>
        <w:numPr>
          <w:ilvl w:val="0"/>
          <w:numId w:val="5"/>
        </w:numPr>
        <w:ind w:left="567" w:hanging="567"/>
        <w:jc w:val="both"/>
      </w:pPr>
      <w:r w:rsidRPr="00804AC7">
        <w:t>Aucune proposition d’inscription au Registre des meilleures pratiques de sauvegarde n’a été soumise à l’Organe d’évaluation pour ce cycle. Les candidatures et demandes évaluées par l’Organe d’évaluation sont disponibles sur le site internet de la Convention</w:t>
      </w:r>
      <w:r w:rsidR="0037544C" w:rsidRPr="00804AC7">
        <w:t xml:space="preserve"> à l’adresse suivante : </w:t>
      </w:r>
      <w:hyperlink r:id="rId9" w:history="1">
        <w:r w:rsidR="0037544C" w:rsidRPr="00804AC7">
          <w:rPr>
            <w:rStyle w:val="Hyperlink"/>
          </w:rPr>
          <w:t>http://www.unesco.org/culture/ich/index.php?lg=fr&amp;pg=00704</w:t>
        </w:r>
      </w:hyperlink>
      <w:r w:rsidRPr="00804AC7">
        <w:t>.</w:t>
      </w:r>
    </w:p>
    <w:p w:rsidR="00C7268F" w:rsidRPr="00804AC7" w:rsidRDefault="00C7268F" w:rsidP="00F016A0">
      <w:pPr>
        <w:pStyle w:val="COMPara"/>
        <w:keepNext/>
        <w:tabs>
          <w:tab w:val="left" w:pos="567"/>
        </w:tabs>
        <w:spacing w:before="360"/>
        <w:ind w:left="0" w:firstLine="0"/>
        <w:jc w:val="both"/>
        <w:rPr>
          <w:b/>
        </w:rPr>
      </w:pPr>
      <w:r w:rsidRPr="00804AC7">
        <w:rPr>
          <w:b/>
        </w:rPr>
        <w:t>A.</w:t>
      </w:r>
      <w:r w:rsidRPr="00804AC7">
        <w:tab/>
      </w:r>
      <w:r w:rsidRPr="00804AC7">
        <w:rPr>
          <w:b/>
        </w:rPr>
        <w:t xml:space="preserve">Aperçu </w:t>
      </w:r>
      <w:r w:rsidRPr="00F016A0">
        <w:rPr>
          <w:b/>
          <w:lang w:eastAsia="en-US" w:bidi="en-US"/>
        </w:rPr>
        <w:t>général</w:t>
      </w:r>
      <w:r w:rsidRPr="00804AC7">
        <w:rPr>
          <w:b/>
        </w:rPr>
        <w:t xml:space="preserve"> des candidatures </w:t>
      </w:r>
      <w:r w:rsidR="00983588">
        <w:rPr>
          <w:b/>
        </w:rPr>
        <w:t xml:space="preserve">de </w:t>
      </w:r>
      <w:r w:rsidRPr="00804AC7">
        <w:rPr>
          <w:b/>
        </w:rPr>
        <w:t>2015 et méthodes de travail</w:t>
      </w:r>
    </w:p>
    <w:p w:rsidR="00C7268F" w:rsidRPr="00804AC7" w:rsidRDefault="00C7268F" w:rsidP="00B86CF6">
      <w:pPr>
        <w:pStyle w:val="COMPara"/>
        <w:numPr>
          <w:ilvl w:val="0"/>
          <w:numId w:val="5"/>
        </w:numPr>
        <w:ind w:left="567" w:hanging="567"/>
        <w:jc w:val="both"/>
      </w:pPr>
      <w:r w:rsidRPr="00804AC7">
        <w:t xml:space="preserve">La date limite de dépôt des candidatures </w:t>
      </w:r>
      <w:r w:rsidR="00983588">
        <w:t xml:space="preserve">de </w:t>
      </w:r>
      <w:r w:rsidRPr="00804AC7">
        <w:t>2015 était fixée au 31 mars 2014 (</w:t>
      </w:r>
      <w:r w:rsidR="00374BAC" w:rsidRPr="00804AC7">
        <w:t>paragraphe</w:t>
      </w:r>
      <w:r w:rsidR="00374BAC">
        <w:t> </w:t>
      </w:r>
      <w:r w:rsidRPr="00804AC7">
        <w:t xml:space="preserve">54 des Directives opérationnelles). Les Directives opérationnelles disposent que « le Comité détermine deux ans à l’avance, selon les ressources disponibles et ses capacités, le nombre de dossiers qui pourront être traités au cours des deux cycles </w:t>
      </w:r>
      <w:r w:rsidR="00635D72" w:rsidRPr="00804AC7">
        <w:t>suivants </w:t>
      </w:r>
      <w:r w:rsidRPr="00804AC7">
        <w:t>» (</w:t>
      </w:r>
      <w:r w:rsidR="00635D72" w:rsidRPr="00804AC7">
        <w:t>paragraphe </w:t>
      </w:r>
      <w:r w:rsidRPr="00804AC7">
        <w:t xml:space="preserve">33). A sa huitième session à Bakou (2013), le Comité a déterminé que, durant le cycle 2015, un total de 50 dossiers pourraient être traités pour la Liste de sauvegarde urgente, la Liste représentative, le Registre des meilleures pratiques de sauvegarde et les demandes d’assistance internationale </w:t>
      </w:r>
      <w:r w:rsidR="00635D72" w:rsidRPr="00804AC7">
        <w:t xml:space="preserve">supérieures à </w:t>
      </w:r>
      <w:r w:rsidRPr="00804AC7">
        <w:t>25 000 dollars des États-Unis (Décision</w:t>
      </w:r>
      <w:r w:rsidR="00374BAC">
        <w:t> </w:t>
      </w:r>
      <w:r w:rsidRPr="00804AC7">
        <w:t>8.COM</w:t>
      </w:r>
      <w:r w:rsidR="00374BAC">
        <w:t> </w:t>
      </w:r>
      <w:r w:rsidRPr="00804AC7">
        <w:t>10).</w:t>
      </w:r>
    </w:p>
    <w:p w:rsidR="00C7268F" w:rsidRPr="00804AC7" w:rsidRDefault="00C7268F" w:rsidP="00B86CF6">
      <w:pPr>
        <w:pStyle w:val="COMPara"/>
        <w:numPr>
          <w:ilvl w:val="0"/>
          <w:numId w:val="5"/>
        </w:numPr>
        <w:ind w:left="567" w:hanging="567"/>
        <w:jc w:val="both"/>
      </w:pPr>
      <w:r w:rsidRPr="00804AC7">
        <w:t xml:space="preserve">En </w:t>
      </w:r>
      <w:r w:rsidRPr="00F016A0">
        <w:rPr>
          <w:lang w:eastAsia="en-US" w:bidi="en-US"/>
        </w:rPr>
        <w:t>appliquant</w:t>
      </w:r>
      <w:r w:rsidRPr="00804AC7">
        <w:t xml:space="preserve"> les priorités visées au </w:t>
      </w:r>
      <w:r w:rsidR="00374BAC" w:rsidRPr="00804AC7">
        <w:t>paragraphe</w:t>
      </w:r>
      <w:r w:rsidR="00374BAC">
        <w:t> </w:t>
      </w:r>
      <w:r w:rsidRPr="00804AC7">
        <w:t xml:space="preserve">34 des Directives opérationnelles aux dossiers de 2015, le Secrétariat a traité un total de 50 candidatures réparties de la manière </w:t>
      </w:r>
      <w:r w:rsidR="00B102D6" w:rsidRPr="00804AC7">
        <w:t>suivante</w:t>
      </w:r>
      <w:r w:rsidR="00B102D6">
        <w:t> </w:t>
      </w:r>
      <w:r w:rsidRPr="00804AC7">
        <w:t>:</w:t>
      </w:r>
    </w:p>
    <w:p w:rsidR="00C7268F" w:rsidRPr="00804AC7" w:rsidRDefault="00C7268F" w:rsidP="00B86CF6">
      <w:pPr>
        <w:pStyle w:val="COMPara"/>
        <w:numPr>
          <w:ilvl w:val="2"/>
          <w:numId w:val="5"/>
        </w:numPr>
        <w:ind w:left="993"/>
        <w:jc w:val="both"/>
      </w:pPr>
      <w:r w:rsidRPr="00804AC7">
        <w:t xml:space="preserve">14 candidatures soumises par les États ne comptant aucun élément inscrit, aucune meilleure </w:t>
      </w:r>
      <w:r w:rsidR="00635D72" w:rsidRPr="00804AC7">
        <w:t xml:space="preserve">pratique de </w:t>
      </w:r>
      <w:r w:rsidRPr="00804AC7">
        <w:t xml:space="preserve">sauvegarde sélectionnée ou demande d’assistance internationale </w:t>
      </w:r>
      <w:r w:rsidR="00635D72" w:rsidRPr="00804AC7">
        <w:t xml:space="preserve">supérieure à </w:t>
      </w:r>
      <w:r w:rsidRPr="00804AC7">
        <w:t>25 000 dollars des États-Unis approuvée</w:t>
      </w:r>
      <w:r w:rsidR="00635D72" w:rsidRPr="00804AC7">
        <w:t>,</w:t>
      </w:r>
      <w:r w:rsidRPr="00804AC7">
        <w:t xml:space="preserve"> et 9 candidatures pour inscription sur la Liste du patrimoine culturel immatériel nécessitant une sauvegarde urgente (</w:t>
      </w:r>
      <w:r w:rsidR="00635D72" w:rsidRPr="00804AC7">
        <w:t>priorité </w:t>
      </w:r>
      <w:r w:rsidR="00374BAC">
        <w:t>[</w:t>
      </w:r>
      <w:r w:rsidRPr="00804AC7">
        <w:t>i</w:t>
      </w:r>
      <w:r w:rsidR="00374BAC">
        <w:t>]</w:t>
      </w:r>
      <w:r w:rsidRPr="00804AC7">
        <w:t>) ;</w:t>
      </w:r>
    </w:p>
    <w:p w:rsidR="00C7268F" w:rsidRPr="00804AC7" w:rsidRDefault="00C7268F" w:rsidP="00B86CF6">
      <w:pPr>
        <w:pStyle w:val="COMPara"/>
        <w:numPr>
          <w:ilvl w:val="2"/>
          <w:numId w:val="5"/>
        </w:numPr>
        <w:ind w:left="993"/>
        <w:jc w:val="both"/>
      </w:pPr>
      <w:r w:rsidRPr="00804AC7">
        <w:t xml:space="preserve">7 candidatures multinationales (priorité </w:t>
      </w:r>
      <w:r w:rsidR="00374BAC">
        <w:t>[</w:t>
      </w:r>
      <w:r w:rsidRPr="00804AC7">
        <w:t>ii</w:t>
      </w:r>
      <w:r w:rsidR="00374BAC">
        <w:t>]</w:t>
      </w:r>
      <w:r w:rsidRPr="00804AC7">
        <w:t>) ;</w:t>
      </w:r>
    </w:p>
    <w:p w:rsidR="00C7268F" w:rsidRPr="00804AC7" w:rsidRDefault="00C7268F" w:rsidP="00B86CF6">
      <w:pPr>
        <w:pStyle w:val="COMPara"/>
        <w:numPr>
          <w:ilvl w:val="2"/>
          <w:numId w:val="5"/>
        </w:numPr>
        <w:ind w:left="993"/>
        <w:jc w:val="both"/>
      </w:pPr>
      <w:r w:rsidRPr="00804AC7">
        <w:t xml:space="preserve">20 candidatures </w:t>
      </w:r>
      <w:r w:rsidR="00635D72" w:rsidRPr="00804AC7">
        <w:t xml:space="preserve">soumises </w:t>
      </w:r>
      <w:r w:rsidRPr="00804AC7">
        <w:t xml:space="preserve">par des États </w:t>
      </w:r>
      <w:r w:rsidR="00635D72" w:rsidRPr="00804AC7">
        <w:t xml:space="preserve">comptant </w:t>
      </w:r>
      <w:r w:rsidR="007750D3" w:rsidRPr="00804AC7">
        <w:t xml:space="preserve">jusqu’à </w:t>
      </w:r>
      <w:r w:rsidRPr="00804AC7">
        <w:t xml:space="preserve">7 éléments inscrits, meilleures </w:t>
      </w:r>
      <w:r w:rsidR="007750D3" w:rsidRPr="00804AC7">
        <w:t xml:space="preserve">pratiques de </w:t>
      </w:r>
      <w:r w:rsidRPr="00804AC7">
        <w:t xml:space="preserve">sauvegarde sélectionnées ou demandes d’assistance internationale </w:t>
      </w:r>
      <w:r w:rsidR="00635D72" w:rsidRPr="00804AC7">
        <w:t xml:space="preserve">supérieures à </w:t>
      </w:r>
      <w:r w:rsidRPr="00804AC7">
        <w:t xml:space="preserve">25 000 dollars des États-Unis approuvées (priorité </w:t>
      </w:r>
      <w:r w:rsidR="00374BAC">
        <w:t>[</w:t>
      </w:r>
      <w:r w:rsidRPr="00804AC7">
        <w:t>iii</w:t>
      </w:r>
      <w:r w:rsidR="00374BAC">
        <w:t>]</w:t>
      </w:r>
      <w:r w:rsidRPr="00804AC7">
        <w:t>).</w:t>
      </w:r>
    </w:p>
    <w:p w:rsidR="00C7268F" w:rsidRPr="00804AC7" w:rsidRDefault="007750D3" w:rsidP="00B86CF6">
      <w:pPr>
        <w:pStyle w:val="COMPara"/>
        <w:numPr>
          <w:ilvl w:val="0"/>
          <w:numId w:val="5"/>
        </w:numPr>
        <w:ind w:left="567" w:hanging="567"/>
        <w:jc w:val="both"/>
      </w:pPr>
      <w:r w:rsidRPr="00804AC7">
        <w:t>O</w:t>
      </w:r>
      <w:r w:rsidR="00C7268F" w:rsidRPr="00804AC7">
        <w:t xml:space="preserve">nze États (Belgique, Chine, Croatie, France, Inde, Japon, Mexique, République de Corée, Espagne, Turquie et Viet Nam) ayant soumis des candidatures </w:t>
      </w:r>
      <w:r w:rsidRPr="00804AC7">
        <w:t>pour le cycle 2015 n’ont pas pu voir leurs dossiers</w:t>
      </w:r>
      <w:r w:rsidR="00C7268F" w:rsidRPr="00804AC7">
        <w:t xml:space="preserve"> traités dans le cadre des 50 prévues pour le cycle 2015</w:t>
      </w:r>
      <w:r w:rsidRPr="00804AC7">
        <w:t> ;</w:t>
      </w:r>
      <w:r w:rsidR="00C7268F" w:rsidRPr="00804AC7">
        <w:t xml:space="preserve"> </w:t>
      </w:r>
      <w:r w:rsidRPr="00804AC7">
        <w:t xml:space="preserve">ils seront </w:t>
      </w:r>
      <w:r w:rsidR="00C7268F" w:rsidRPr="00804AC7">
        <w:t>prioritaires dans l’examen de leurs dossiers pour le cycle 2016</w:t>
      </w:r>
      <w:r w:rsidRPr="00804AC7">
        <w:t>, conformément au principe d’une candidature minimum par État soumissionnaire et par période de deux ans (Décision 8.COM 10)</w:t>
      </w:r>
      <w:r w:rsidR="00E40B55">
        <w:t>.</w:t>
      </w:r>
    </w:p>
    <w:p w:rsidR="00C7268F" w:rsidRPr="00804AC7" w:rsidRDefault="00C7268F" w:rsidP="00B86CF6">
      <w:pPr>
        <w:pStyle w:val="COMPara"/>
        <w:numPr>
          <w:ilvl w:val="0"/>
          <w:numId w:val="5"/>
        </w:numPr>
        <w:ind w:left="567" w:hanging="567"/>
        <w:jc w:val="both"/>
      </w:pPr>
      <w:r w:rsidRPr="00804AC7">
        <w:t>Le Secrétariat a traité cha</w:t>
      </w:r>
      <w:r w:rsidR="007750D3" w:rsidRPr="00804AC7">
        <w:t>cun des 50</w:t>
      </w:r>
      <w:r w:rsidRPr="00804AC7">
        <w:t xml:space="preserve"> dossier</w:t>
      </w:r>
      <w:r w:rsidR="007750D3" w:rsidRPr="00804AC7">
        <w:t>s</w:t>
      </w:r>
      <w:r w:rsidRPr="00804AC7">
        <w:t xml:space="preserve"> et, entre juillet et décembre 2014, a informé le (ou les) État(s) soumissionnaire(s) des informations nécessaires pour les compléter (exception faite de deux dossiers </w:t>
      </w:r>
      <w:r w:rsidR="007750D3" w:rsidRPr="00804AC7">
        <w:t xml:space="preserve">considérés </w:t>
      </w:r>
      <w:r w:rsidRPr="00804AC7">
        <w:t xml:space="preserve">complets). Lorsqu’il a traité les candidatures pour inscription sur la Liste de sauvegarde urgente et sur la Liste représentative, le Secrétariat a concentré son attention exclusivement sur les exigences techniques de base. Cependant, lors du traitement des deux demandes d’assistance internationale, le Secrétariat a également </w:t>
      </w:r>
      <w:r w:rsidR="000F2D64">
        <w:t>signalé</w:t>
      </w:r>
      <w:r w:rsidR="000F2D64" w:rsidRPr="00804AC7">
        <w:t xml:space="preserve"> </w:t>
      </w:r>
      <w:r w:rsidR="000F2D64">
        <w:t>aux</w:t>
      </w:r>
      <w:r w:rsidR="000F2D64" w:rsidRPr="00804AC7">
        <w:t xml:space="preserve"> </w:t>
      </w:r>
      <w:r w:rsidRPr="00804AC7">
        <w:t xml:space="preserve">États soumissionnaires </w:t>
      </w:r>
      <w:r w:rsidR="000F2D64">
        <w:t>si</w:t>
      </w:r>
      <w:r w:rsidR="000F2D64" w:rsidRPr="00804AC7">
        <w:t xml:space="preserve"> </w:t>
      </w:r>
      <w:r w:rsidRPr="00804AC7">
        <w:t xml:space="preserve">des informations manquaient de clarté, étaient </w:t>
      </w:r>
      <w:r w:rsidR="007750D3" w:rsidRPr="00804AC7">
        <w:t>mal placées</w:t>
      </w:r>
      <w:r w:rsidRPr="00804AC7">
        <w:t xml:space="preserve"> ou insuffisamment détaillées, de sorte que les </w:t>
      </w:r>
      <w:r w:rsidR="000F2D64">
        <w:t>dossiers</w:t>
      </w:r>
      <w:r w:rsidR="000F2D64" w:rsidRPr="00804AC7">
        <w:t xml:space="preserve"> </w:t>
      </w:r>
      <w:r w:rsidRPr="00804AC7">
        <w:t xml:space="preserve">puissent être améliorés avant </w:t>
      </w:r>
      <w:r w:rsidR="002E01E7" w:rsidRPr="00804AC7">
        <w:t>d’être transmis</w:t>
      </w:r>
      <w:r w:rsidRPr="00804AC7">
        <w:t xml:space="preserve"> à l’Organe d’évaluation.</w:t>
      </w:r>
    </w:p>
    <w:p w:rsidR="00C7268F" w:rsidRPr="00804AC7" w:rsidRDefault="002E01E7" w:rsidP="00B86CF6">
      <w:pPr>
        <w:pStyle w:val="COMPara"/>
        <w:numPr>
          <w:ilvl w:val="0"/>
          <w:numId w:val="5"/>
        </w:numPr>
        <w:ind w:left="567" w:hanging="567"/>
        <w:jc w:val="both"/>
      </w:pPr>
      <w:r w:rsidRPr="00804AC7">
        <w:t xml:space="preserve">Au cours du processus, trois </w:t>
      </w:r>
      <w:r w:rsidR="00C7268F" w:rsidRPr="00804AC7">
        <w:t>États ont décidé de retirer leur candidature</w:t>
      </w:r>
      <w:r w:rsidRPr="00804AC7">
        <w:t>, et d</w:t>
      </w:r>
      <w:r w:rsidR="00C7268F" w:rsidRPr="00804AC7">
        <w:t xml:space="preserve">eux dossiers </w:t>
      </w:r>
      <w:r w:rsidRPr="00804AC7">
        <w:t xml:space="preserve">sont </w:t>
      </w:r>
      <w:r w:rsidR="00C7268F" w:rsidRPr="00804AC7">
        <w:t xml:space="preserve">restés incomplets </w:t>
      </w:r>
      <w:r w:rsidRPr="00804AC7">
        <w:t xml:space="preserve">et </w:t>
      </w:r>
      <w:r w:rsidR="00C7268F" w:rsidRPr="00804AC7">
        <w:t>n’ont par conséquent pas pu être transmis par le Secrétariat à l’Organe d’évaluation.</w:t>
      </w:r>
    </w:p>
    <w:p w:rsidR="00C7268F" w:rsidRPr="00804AC7" w:rsidRDefault="00883D2A" w:rsidP="00B86CF6">
      <w:pPr>
        <w:pStyle w:val="COMPara"/>
        <w:numPr>
          <w:ilvl w:val="0"/>
          <w:numId w:val="5"/>
        </w:numPr>
        <w:ind w:left="567" w:hanging="567"/>
        <w:jc w:val="both"/>
      </w:pPr>
      <w:r w:rsidRPr="00804AC7">
        <w:t xml:space="preserve">C’est dans ce contexte que </w:t>
      </w:r>
      <w:r w:rsidR="00C7268F" w:rsidRPr="00804AC7">
        <w:t xml:space="preserve">le Secrétariat </w:t>
      </w:r>
      <w:r w:rsidRPr="00804AC7">
        <w:t xml:space="preserve">a inclus </w:t>
      </w:r>
      <w:r w:rsidR="00C7268F" w:rsidRPr="00804AC7">
        <w:t xml:space="preserve">une candidature </w:t>
      </w:r>
      <w:r w:rsidRPr="00804AC7">
        <w:t xml:space="preserve">soumise par l’Arabie saoudite </w:t>
      </w:r>
      <w:r w:rsidR="00C7268F" w:rsidRPr="00804AC7">
        <w:t xml:space="preserve">pour inscription sur la Liste représentative </w:t>
      </w:r>
      <w:r w:rsidRPr="00804AC7">
        <w:t>pour le cycle 2016</w:t>
      </w:r>
      <w:r w:rsidR="00C7268F" w:rsidRPr="00804AC7">
        <w:t xml:space="preserve">. Une candidature </w:t>
      </w:r>
      <w:r w:rsidRPr="00804AC7">
        <w:t xml:space="preserve">précédente </w:t>
      </w:r>
      <w:r w:rsidR="00C7268F" w:rsidRPr="00804AC7">
        <w:t xml:space="preserve">portant sur le même élément avait été renvoyée à l’État soumissionnaire en novembre 2014 </w:t>
      </w:r>
      <w:r w:rsidRPr="00804AC7">
        <w:t>par</w:t>
      </w:r>
      <w:r w:rsidR="00C7268F" w:rsidRPr="00804AC7">
        <w:t xml:space="preserve"> la neuvième session du Comité, </w:t>
      </w:r>
      <w:r w:rsidRPr="00804AC7">
        <w:t xml:space="preserve">avec </w:t>
      </w:r>
      <w:r w:rsidR="000F2D64">
        <w:t xml:space="preserve">une </w:t>
      </w:r>
      <w:r w:rsidRPr="00804AC7">
        <w:t xml:space="preserve">invitation </w:t>
      </w:r>
      <w:r w:rsidR="00C7268F" w:rsidRPr="00804AC7">
        <w:t xml:space="preserve">à </w:t>
      </w:r>
      <w:r w:rsidR="000F2D64">
        <w:t xml:space="preserve">la </w:t>
      </w:r>
      <w:r w:rsidR="00C7268F" w:rsidRPr="00804AC7">
        <w:t xml:space="preserve">lui </w:t>
      </w:r>
      <w:r w:rsidRPr="00804AC7">
        <w:t>re</w:t>
      </w:r>
      <w:r w:rsidR="00C7268F" w:rsidRPr="00804AC7">
        <w:t>soumettre pour examen au cours d’un prochain cycle (Décision 9.</w:t>
      </w:r>
      <w:r w:rsidR="00B102D6" w:rsidRPr="00804AC7">
        <w:t>COM</w:t>
      </w:r>
      <w:r w:rsidR="00B102D6">
        <w:t> </w:t>
      </w:r>
      <w:r w:rsidR="00C7268F" w:rsidRPr="00804AC7">
        <w:t xml:space="preserve">10.38). Suite au dépôt de cette </w:t>
      </w:r>
      <w:r w:rsidRPr="00804AC7">
        <w:t xml:space="preserve">nouvelle </w:t>
      </w:r>
      <w:r w:rsidR="00C7268F" w:rsidRPr="00804AC7">
        <w:t xml:space="preserve">candidature le 31 mars 2015, et </w:t>
      </w:r>
      <w:r w:rsidR="000F2D64">
        <w:t>tenant</w:t>
      </w:r>
      <w:r w:rsidR="000F2D64" w:rsidRPr="00804AC7">
        <w:t xml:space="preserve"> </w:t>
      </w:r>
      <w:r w:rsidRPr="00804AC7">
        <w:t xml:space="preserve">en compte le </w:t>
      </w:r>
      <w:r w:rsidR="00C7268F" w:rsidRPr="00804AC7">
        <w:t xml:space="preserve">fait que l’Arabie saoudite ne possède aucun élément inscrit </w:t>
      </w:r>
      <w:r w:rsidR="000F2D64">
        <w:t>à titre</w:t>
      </w:r>
      <w:r w:rsidR="00C7268F" w:rsidRPr="00804AC7">
        <w:t xml:space="preserve"> national sur aucune des Listes de la Convention (ce qui constitue la plus haute priorité selon le paragraphe 34 des Directives opérationnelles), </w:t>
      </w:r>
      <w:r w:rsidRPr="00804AC7">
        <w:t xml:space="preserve">et que l’Organe d’évaluation avait reçu moins de dossiers qu’initialement prévu (voir le paragraphe 10), </w:t>
      </w:r>
      <w:r w:rsidR="00C7268F" w:rsidRPr="00804AC7">
        <w:t xml:space="preserve">le Secrétariat a considéré que ce dossier pouvait, à titre exceptionnel, être examiné par le Comité lors de sa dixième session et non lors de la onzième session </w:t>
      </w:r>
      <w:r w:rsidRPr="00804AC7">
        <w:t xml:space="preserve">en </w:t>
      </w:r>
      <w:r w:rsidR="00C7268F" w:rsidRPr="00804AC7">
        <w:t xml:space="preserve">2016. </w:t>
      </w:r>
      <w:r w:rsidRPr="00804AC7">
        <w:t xml:space="preserve">Après avoir reçu des conseils </w:t>
      </w:r>
      <w:r w:rsidR="002B54E9" w:rsidRPr="00804AC7">
        <w:t xml:space="preserve">précis du Secrétariat sur la manière dont la candidature soumise en mars 2015 pouvait être complétée, l’Arabie </w:t>
      </w:r>
      <w:r w:rsidR="00C7268F" w:rsidRPr="00804AC7">
        <w:t xml:space="preserve">saoudite a </w:t>
      </w:r>
      <w:r w:rsidR="002B54E9" w:rsidRPr="00804AC7">
        <w:t>re</w:t>
      </w:r>
      <w:r w:rsidR="00C7268F" w:rsidRPr="00804AC7">
        <w:t xml:space="preserve">soumis sa candidature révisée le 11 mai 2015. Celle-ci a alors été transmise à l’Organe d’évaluation pour </w:t>
      </w:r>
      <w:r w:rsidR="002B54E9" w:rsidRPr="00804AC7">
        <w:t>évaluation</w:t>
      </w:r>
      <w:r w:rsidR="00C7268F" w:rsidRPr="00804AC7">
        <w:t>.</w:t>
      </w:r>
    </w:p>
    <w:p w:rsidR="00C7268F" w:rsidRPr="00804AC7" w:rsidRDefault="000F2D64" w:rsidP="00B86CF6">
      <w:pPr>
        <w:pStyle w:val="COMPara"/>
        <w:keepNext/>
        <w:numPr>
          <w:ilvl w:val="0"/>
          <w:numId w:val="5"/>
        </w:numPr>
        <w:ind w:left="567" w:hanging="567"/>
        <w:jc w:val="both"/>
      </w:pPr>
      <w:r>
        <w:t xml:space="preserve">Au total, </w:t>
      </w:r>
      <w:r w:rsidR="00C7268F" w:rsidRPr="00804AC7">
        <w:t>45 dossiers</w:t>
      </w:r>
      <w:r w:rsidR="00896A41">
        <w:t>,</w:t>
      </w:r>
      <w:r w:rsidR="007218F0" w:rsidRPr="00804AC7">
        <w:t xml:space="preserve"> dont huit </w:t>
      </w:r>
      <w:r w:rsidR="00C7268F" w:rsidRPr="00804AC7">
        <w:t xml:space="preserve">multinationaux, ont été ainsi </w:t>
      </w:r>
      <w:r w:rsidR="00C7268F" w:rsidRPr="00F016A0">
        <w:rPr>
          <w:lang w:eastAsia="en-US" w:bidi="en-US"/>
        </w:rPr>
        <w:t>complétés</w:t>
      </w:r>
      <w:r w:rsidR="00C7268F" w:rsidRPr="00804AC7">
        <w:t xml:space="preserve"> par les États soumissionnaires </w:t>
      </w:r>
      <w:r w:rsidR="007218F0" w:rsidRPr="00804AC7">
        <w:t xml:space="preserve">à temps </w:t>
      </w:r>
      <w:r w:rsidR="00C7268F" w:rsidRPr="00804AC7">
        <w:t xml:space="preserve">pour être </w:t>
      </w:r>
      <w:r w:rsidR="00594646">
        <w:t>évalués</w:t>
      </w:r>
      <w:r w:rsidR="00594646" w:rsidRPr="00804AC7">
        <w:t xml:space="preserve"> </w:t>
      </w:r>
      <w:r w:rsidR="00C7268F" w:rsidRPr="00804AC7">
        <w:t xml:space="preserve">par l’Organe d’évaluation comme </w:t>
      </w:r>
      <w:r w:rsidR="007218F0" w:rsidRPr="00804AC7">
        <w:t>suit </w:t>
      </w:r>
      <w:r w:rsidR="00C7268F" w:rsidRPr="00804AC7">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0"/>
        <w:gridCol w:w="850"/>
      </w:tblGrid>
      <w:tr w:rsidR="00C7268F" w:rsidRPr="00804AC7">
        <w:trPr>
          <w:cantSplit/>
          <w:jc w:val="center"/>
        </w:trPr>
        <w:tc>
          <w:tcPr>
            <w:tcW w:w="569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0" w:firstLine="0"/>
              <w:rPr>
                <w:rFonts w:eastAsiaTheme="majorEastAsia"/>
                <w:i/>
                <w:iCs/>
                <w:color w:val="404040" w:themeColor="text1" w:themeTint="BF"/>
              </w:rPr>
            </w:pPr>
            <w:r w:rsidRPr="00804AC7">
              <w:t xml:space="preserve">Liste de </w:t>
            </w:r>
            <w:r w:rsidRPr="00F016A0">
              <w:rPr>
                <w:lang w:eastAsia="en-US" w:bidi="en-US"/>
              </w:rPr>
              <w:t>sauvegarde</w:t>
            </w:r>
            <w:r w:rsidRPr="00804AC7">
              <w:t xml:space="preserve"> urgente</w:t>
            </w:r>
          </w:p>
        </w:tc>
        <w:tc>
          <w:tcPr>
            <w:tcW w:w="85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0" w:firstLine="0"/>
              <w:jc w:val="right"/>
              <w:rPr>
                <w:rFonts w:eastAsiaTheme="majorEastAsia"/>
                <w:i/>
                <w:iCs/>
                <w:color w:val="404040" w:themeColor="text1" w:themeTint="BF"/>
              </w:rPr>
            </w:pPr>
            <w:r w:rsidRPr="00804AC7">
              <w:t>8</w:t>
            </w:r>
          </w:p>
        </w:tc>
      </w:tr>
      <w:tr w:rsidR="00C7268F" w:rsidRPr="00804AC7">
        <w:trPr>
          <w:cantSplit/>
          <w:jc w:val="center"/>
        </w:trPr>
        <w:tc>
          <w:tcPr>
            <w:tcW w:w="569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567" w:hanging="567"/>
              <w:rPr>
                <w:rFonts w:eastAsiaTheme="majorEastAsia"/>
                <w:i/>
                <w:iCs/>
                <w:color w:val="404040" w:themeColor="text1" w:themeTint="BF"/>
              </w:rPr>
            </w:pPr>
            <w:r w:rsidRPr="00804AC7">
              <w:t>Liste représentative</w:t>
            </w:r>
          </w:p>
        </w:tc>
        <w:tc>
          <w:tcPr>
            <w:tcW w:w="85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0" w:firstLine="0"/>
              <w:jc w:val="right"/>
              <w:rPr>
                <w:rFonts w:eastAsiaTheme="majorEastAsia"/>
                <w:i/>
                <w:iCs/>
                <w:color w:val="404040" w:themeColor="text1" w:themeTint="BF"/>
              </w:rPr>
            </w:pPr>
            <w:r w:rsidRPr="00804AC7">
              <w:t>35</w:t>
            </w:r>
          </w:p>
        </w:tc>
      </w:tr>
      <w:tr w:rsidR="00C7268F" w:rsidRPr="00804AC7">
        <w:trPr>
          <w:cantSplit/>
          <w:jc w:val="center"/>
        </w:trPr>
        <w:tc>
          <w:tcPr>
            <w:tcW w:w="569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567" w:hanging="567"/>
              <w:rPr>
                <w:rFonts w:eastAsiaTheme="majorEastAsia"/>
                <w:i/>
                <w:iCs/>
                <w:color w:val="404040" w:themeColor="text1" w:themeTint="BF"/>
              </w:rPr>
            </w:pPr>
            <w:r w:rsidRPr="00804AC7">
              <w:t>Registre des meilleures pratiques de sauvegarde</w:t>
            </w:r>
          </w:p>
        </w:tc>
        <w:tc>
          <w:tcPr>
            <w:tcW w:w="85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0" w:firstLine="0"/>
              <w:jc w:val="right"/>
              <w:rPr>
                <w:rFonts w:eastAsiaTheme="majorEastAsia"/>
                <w:i/>
                <w:iCs/>
                <w:color w:val="404040" w:themeColor="text1" w:themeTint="BF"/>
              </w:rPr>
            </w:pPr>
            <w:r w:rsidRPr="00804AC7">
              <w:t>0</w:t>
            </w:r>
          </w:p>
        </w:tc>
      </w:tr>
      <w:tr w:rsidR="00C7268F" w:rsidRPr="00804AC7">
        <w:trPr>
          <w:cantSplit/>
          <w:jc w:val="center"/>
        </w:trPr>
        <w:tc>
          <w:tcPr>
            <w:tcW w:w="569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567" w:hanging="567"/>
              <w:rPr>
                <w:rFonts w:eastAsiaTheme="majorEastAsia"/>
                <w:i/>
                <w:iCs/>
                <w:color w:val="404040" w:themeColor="text1" w:themeTint="BF"/>
              </w:rPr>
            </w:pPr>
            <w:r w:rsidRPr="00804AC7">
              <w:t>Assistance internationale</w:t>
            </w:r>
          </w:p>
        </w:tc>
        <w:tc>
          <w:tcPr>
            <w:tcW w:w="85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keepNext/>
              <w:spacing w:before="120"/>
              <w:ind w:left="0" w:firstLine="0"/>
              <w:jc w:val="right"/>
              <w:rPr>
                <w:rFonts w:eastAsiaTheme="majorEastAsia"/>
                <w:i/>
                <w:iCs/>
                <w:color w:val="404040" w:themeColor="text1" w:themeTint="BF"/>
              </w:rPr>
            </w:pPr>
            <w:r w:rsidRPr="00804AC7">
              <w:t>2</w:t>
            </w:r>
          </w:p>
        </w:tc>
      </w:tr>
      <w:tr w:rsidR="00C7268F" w:rsidRPr="00804AC7">
        <w:trPr>
          <w:cantSplit/>
          <w:jc w:val="center"/>
        </w:trPr>
        <w:tc>
          <w:tcPr>
            <w:tcW w:w="569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spacing w:before="120"/>
              <w:ind w:left="567" w:hanging="567"/>
              <w:rPr>
                <w:rFonts w:eastAsiaTheme="majorEastAsia"/>
                <w:i/>
                <w:iCs/>
                <w:color w:val="404040" w:themeColor="text1" w:themeTint="BF"/>
              </w:rPr>
            </w:pPr>
            <w:r w:rsidRPr="00804AC7">
              <w:t>Total</w:t>
            </w:r>
          </w:p>
        </w:tc>
        <w:tc>
          <w:tcPr>
            <w:tcW w:w="850" w:type="dxa"/>
            <w:tcBorders>
              <w:top w:val="single" w:sz="4" w:space="0" w:color="000000"/>
              <w:left w:val="single" w:sz="4" w:space="0" w:color="000000"/>
              <w:bottom w:val="single" w:sz="4" w:space="0" w:color="000000"/>
              <w:right w:val="single" w:sz="4" w:space="0" w:color="000000"/>
            </w:tcBorders>
          </w:tcPr>
          <w:p w:rsidR="00C7268F" w:rsidRPr="00804AC7" w:rsidRDefault="00C7268F" w:rsidP="00F016A0">
            <w:pPr>
              <w:pStyle w:val="COMPara"/>
              <w:spacing w:before="120"/>
              <w:ind w:left="0" w:firstLine="0"/>
              <w:jc w:val="right"/>
              <w:rPr>
                <w:rFonts w:eastAsiaTheme="majorEastAsia"/>
                <w:i/>
                <w:iCs/>
                <w:color w:val="404040" w:themeColor="text1" w:themeTint="BF"/>
              </w:rPr>
            </w:pPr>
            <w:r w:rsidRPr="00804AC7">
              <w:t>45</w:t>
            </w:r>
          </w:p>
        </w:tc>
      </w:tr>
    </w:tbl>
    <w:p w:rsidR="00896A41" w:rsidRDefault="00656DE4" w:rsidP="00B86CF6">
      <w:pPr>
        <w:pStyle w:val="COMPara"/>
        <w:numPr>
          <w:ilvl w:val="0"/>
          <w:numId w:val="5"/>
        </w:numPr>
        <w:spacing w:before="120"/>
        <w:ind w:left="567" w:hanging="567"/>
        <w:jc w:val="both"/>
      </w:pPr>
      <w:r w:rsidRPr="00B86CF6">
        <w:t>Parmi les candidatures évaluées pour inscription sur la Liste de sauvegarde urgente</w:t>
      </w:r>
      <w:r w:rsidR="00896A41">
        <w:t>,</w:t>
      </w:r>
      <w:r w:rsidRPr="00B86CF6">
        <w:t xml:space="preserve"> trois </w:t>
      </w:r>
      <w:r w:rsidR="00896A41" w:rsidRPr="00E9442F">
        <w:t>concern</w:t>
      </w:r>
      <w:r w:rsidR="00896A41">
        <w:t>ai</w:t>
      </w:r>
      <w:r w:rsidR="00896A41" w:rsidRPr="00E9442F">
        <w:t>ent</w:t>
      </w:r>
      <w:r w:rsidR="00896A41" w:rsidRPr="00896A41">
        <w:t xml:space="preserve"> </w:t>
      </w:r>
      <w:r w:rsidR="00896A41">
        <w:t>des</w:t>
      </w:r>
      <w:r w:rsidRPr="00B86CF6">
        <w:t xml:space="preserve"> </w:t>
      </w:r>
      <w:r w:rsidR="00896A41">
        <w:t>resoumissions</w:t>
      </w:r>
      <w:r w:rsidRPr="00B86CF6">
        <w:t xml:space="preserve">, deux </w:t>
      </w:r>
      <w:r w:rsidR="00896A41">
        <w:t>candidatures</w:t>
      </w:r>
      <w:r w:rsidRPr="00B86CF6">
        <w:t xml:space="preserve"> qui </w:t>
      </w:r>
      <w:r w:rsidR="00896A41">
        <w:t>n’avaient pas</w:t>
      </w:r>
      <w:r w:rsidRPr="00B86CF6">
        <w:t xml:space="preserve"> </w:t>
      </w:r>
      <w:r w:rsidR="00896A41">
        <w:t>été</w:t>
      </w:r>
      <w:r w:rsidRPr="00B86CF6">
        <w:t xml:space="preserve"> inscrit</w:t>
      </w:r>
      <w:r w:rsidR="00896A41">
        <w:t>e</w:t>
      </w:r>
      <w:r w:rsidRPr="00B86CF6">
        <w:t xml:space="preserve">s par le Comité en 2013 et une </w:t>
      </w:r>
      <w:r w:rsidR="00896A41">
        <w:t>retiré</w:t>
      </w:r>
      <w:r w:rsidR="00927120">
        <w:t>e</w:t>
      </w:r>
      <w:r w:rsidR="00896A41">
        <w:t xml:space="preserve"> par l’État</w:t>
      </w:r>
      <w:r w:rsidRPr="00B86CF6">
        <w:t xml:space="preserve"> </w:t>
      </w:r>
      <w:r w:rsidR="00896A41">
        <w:t>soumissionnaire</w:t>
      </w:r>
      <w:r w:rsidRPr="00B86CF6">
        <w:t xml:space="preserve"> </w:t>
      </w:r>
      <w:r w:rsidR="00896A41">
        <w:t>suite à</w:t>
      </w:r>
      <w:r w:rsidRPr="00B86CF6">
        <w:t xml:space="preserve"> une recommandation négative </w:t>
      </w:r>
      <w:r w:rsidR="00896A41">
        <w:t>de</w:t>
      </w:r>
      <w:r w:rsidRPr="00B86CF6">
        <w:t xml:space="preserve"> l</w:t>
      </w:r>
      <w:r w:rsidR="00896A41">
        <w:t>’</w:t>
      </w:r>
      <w:r w:rsidRPr="00B86CF6">
        <w:t xml:space="preserve">Organe consultatif en 2011. Trois </w:t>
      </w:r>
      <w:r w:rsidR="00896A41">
        <w:t>des candidatures</w:t>
      </w:r>
      <w:r w:rsidRPr="00B86CF6">
        <w:t xml:space="preserve"> évalué</w:t>
      </w:r>
      <w:r w:rsidR="00896A41">
        <w:t>es</w:t>
      </w:r>
      <w:r w:rsidRPr="00B86CF6">
        <w:t xml:space="preserve"> </w:t>
      </w:r>
      <w:r w:rsidR="00896A41">
        <w:t>par l’</w:t>
      </w:r>
      <w:r w:rsidRPr="00B86CF6">
        <w:t xml:space="preserve">Organe pour inscription sur la Liste représentative </w:t>
      </w:r>
      <w:r w:rsidR="00896A41">
        <w:t>avaient</w:t>
      </w:r>
      <w:r w:rsidRPr="00B86CF6">
        <w:t xml:space="preserve"> été </w:t>
      </w:r>
      <w:r w:rsidR="00896A41">
        <w:t>renvoyées</w:t>
      </w:r>
      <w:r w:rsidR="00896A41" w:rsidRPr="008F2893">
        <w:t xml:space="preserve"> par le Comité</w:t>
      </w:r>
      <w:r w:rsidR="00896A41" w:rsidRPr="00896A41">
        <w:t xml:space="preserve"> auparavant</w:t>
      </w:r>
      <w:r w:rsidRPr="00B86CF6">
        <w:t>, deux en 2013 et un</w:t>
      </w:r>
      <w:r w:rsidR="00896A41">
        <w:t>e</w:t>
      </w:r>
      <w:r w:rsidRPr="00B86CF6">
        <w:t xml:space="preserve"> en 2014. </w:t>
      </w:r>
      <w:r w:rsidR="00896A41">
        <w:t>U</w:t>
      </w:r>
      <w:r w:rsidRPr="00B86CF6">
        <w:t>ne des deux demandes d</w:t>
      </w:r>
      <w:r w:rsidR="00896A41">
        <w:t>’</w:t>
      </w:r>
      <w:r w:rsidRPr="00B86CF6">
        <w:t>assistance internationale propose des activités pour sauvegarde</w:t>
      </w:r>
      <w:r w:rsidR="00896A41">
        <w:t>r</w:t>
      </w:r>
      <w:r w:rsidRPr="00B86CF6">
        <w:t xml:space="preserve"> un élément proposé pour inscription sur la Liste de sauvegarde urgente en 2013.</w:t>
      </w:r>
    </w:p>
    <w:p w:rsidR="00C7268F" w:rsidRPr="00804AC7" w:rsidRDefault="00C7268F" w:rsidP="00B86CF6">
      <w:pPr>
        <w:pStyle w:val="COMPara"/>
        <w:numPr>
          <w:ilvl w:val="0"/>
          <w:numId w:val="5"/>
        </w:numPr>
        <w:spacing w:before="120"/>
        <w:ind w:left="567" w:hanging="567"/>
        <w:jc w:val="both"/>
      </w:pPr>
      <w:r w:rsidRPr="00804AC7">
        <w:t xml:space="preserve">L’Organe d’évaluation s’est réuni au siège de l’UNESCO à Paris les 3 et 4 mars 2015 afin de définir ses méthodes de travail et son calendrier. L’Organe a élu M. </w:t>
      </w:r>
      <w:r w:rsidRPr="00F016A0">
        <w:rPr>
          <w:rStyle w:val="listnormtitle"/>
          <w:rFonts w:ascii="Arial" w:hAnsi="Arial" w:cs="Arial"/>
        </w:rPr>
        <w:t>Ahmed Skounti</w:t>
      </w:r>
      <w:r w:rsidRPr="00804AC7">
        <w:t xml:space="preserve"> (Maroc) </w:t>
      </w:r>
      <w:r w:rsidR="00793FD1" w:rsidRPr="00804AC7">
        <w:t>comme</w:t>
      </w:r>
      <w:r w:rsidRPr="00804AC7">
        <w:t xml:space="preserve"> </w:t>
      </w:r>
      <w:r w:rsidR="00793FD1" w:rsidRPr="00804AC7">
        <w:t>p</w:t>
      </w:r>
      <w:r w:rsidRPr="00804AC7">
        <w:t xml:space="preserve">résident, Mme Emily </w:t>
      </w:r>
      <w:r w:rsidR="00E40B55">
        <w:t xml:space="preserve">Drania </w:t>
      </w:r>
      <w:r w:rsidRPr="00804AC7">
        <w:t>Drani (</w:t>
      </w:r>
      <w:r w:rsidR="00793FD1" w:rsidRPr="00804AC7">
        <w:t xml:space="preserve">the </w:t>
      </w:r>
      <w:r w:rsidR="00793FD1" w:rsidRPr="00804AC7">
        <w:rPr>
          <w:iCs/>
        </w:rPr>
        <w:t>Cross-cultural Foundation of Uganda</w:t>
      </w:r>
      <w:r w:rsidRPr="00804AC7">
        <w:t xml:space="preserve">) </w:t>
      </w:r>
      <w:r w:rsidR="00793FD1" w:rsidRPr="00804AC7">
        <w:t>comme vice</w:t>
      </w:r>
      <w:r w:rsidRPr="00804AC7">
        <w:t>-</w:t>
      </w:r>
      <w:r w:rsidR="00793FD1" w:rsidRPr="00804AC7">
        <w:t xml:space="preserve">présidente </w:t>
      </w:r>
      <w:r w:rsidRPr="00804AC7">
        <w:t xml:space="preserve">et Mme Naila Ceribašic (Conseil international de la musique traditionnelle) </w:t>
      </w:r>
      <w:r w:rsidR="00793FD1" w:rsidRPr="00804AC7">
        <w:t xml:space="preserve">comme </w:t>
      </w:r>
      <w:r w:rsidRPr="00804AC7">
        <w:t>rapporteur.</w:t>
      </w:r>
    </w:p>
    <w:p w:rsidR="00C7268F" w:rsidRPr="00804AC7" w:rsidRDefault="00C7268F" w:rsidP="00B86CF6">
      <w:pPr>
        <w:pStyle w:val="Marge"/>
        <w:numPr>
          <w:ilvl w:val="0"/>
          <w:numId w:val="5"/>
        </w:numPr>
        <w:spacing w:after="120"/>
        <w:ind w:left="567" w:hanging="567"/>
        <w:rPr>
          <w:rFonts w:cs="Arial"/>
        </w:rPr>
      </w:pPr>
      <w:r w:rsidRPr="00804AC7">
        <w:t xml:space="preserve">Comme lors des cycles précédents, le Secrétariat a mis en place un site Internet dédié, protégé </w:t>
      </w:r>
      <w:r w:rsidRPr="00F016A0">
        <w:rPr>
          <w:rFonts w:cs="Arial"/>
          <w:iCs/>
          <w:snapToGrid/>
          <w:lang w:bidi="en-US"/>
        </w:rPr>
        <w:t>par</w:t>
      </w:r>
      <w:r w:rsidRPr="00804AC7">
        <w:t xml:space="preserve"> un mot de passe, grâce auquel les membres ont pu consulter les dossiers ainsi que toute la documentation </w:t>
      </w:r>
      <w:r w:rsidR="000F2D64">
        <w:t>afférente</w:t>
      </w:r>
      <w:r w:rsidRPr="00804AC7">
        <w:t xml:space="preserve">, </w:t>
      </w:r>
      <w:r w:rsidR="00793FD1" w:rsidRPr="00804AC7">
        <w:t>les</w:t>
      </w:r>
      <w:r w:rsidRPr="00804AC7">
        <w:t xml:space="preserve"> dossiers initialement soumis et </w:t>
      </w:r>
      <w:r w:rsidR="000F2D64">
        <w:t>l</w:t>
      </w:r>
      <w:r w:rsidRPr="00804AC7">
        <w:t xml:space="preserve">es demandes d’informations complémentaires du Secrétariat. Une liste de diffusion par courriel a facilité la communication entre les membres de l’Organe. Chacun des membres de l’Organe d’évaluation a </w:t>
      </w:r>
      <w:r w:rsidR="00793FD1" w:rsidRPr="00804AC7">
        <w:t xml:space="preserve">évalué </w:t>
      </w:r>
      <w:r w:rsidRPr="00804AC7">
        <w:t xml:space="preserve">chaque dossier en ligne et a préparé un rapport </w:t>
      </w:r>
      <w:r w:rsidR="00793FD1" w:rsidRPr="00804AC7">
        <w:t xml:space="preserve">individuel </w:t>
      </w:r>
      <w:r w:rsidRPr="00804AC7">
        <w:t xml:space="preserve">expliquant si et comment </w:t>
      </w:r>
      <w:r w:rsidR="000F2D64">
        <w:t>le dossier</w:t>
      </w:r>
      <w:r w:rsidRPr="00804AC7">
        <w:t xml:space="preserve"> répondait aux critères applicables.</w:t>
      </w:r>
    </w:p>
    <w:p w:rsidR="00C7268F" w:rsidRPr="00804AC7" w:rsidRDefault="00C7268F" w:rsidP="00B86CF6">
      <w:pPr>
        <w:pStyle w:val="Marge"/>
        <w:numPr>
          <w:ilvl w:val="0"/>
          <w:numId w:val="5"/>
        </w:numPr>
        <w:spacing w:after="120"/>
        <w:ind w:left="567" w:hanging="567"/>
        <w:rPr>
          <w:rFonts w:cs="Arial"/>
          <w:iCs/>
        </w:rPr>
      </w:pPr>
      <w:r w:rsidRPr="00804AC7">
        <w:t xml:space="preserve">L’Organe </w:t>
      </w:r>
      <w:r w:rsidRPr="00F016A0">
        <w:rPr>
          <w:rFonts w:cs="Arial"/>
          <w:iCs/>
          <w:snapToGrid/>
          <w:lang w:bidi="en-US"/>
        </w:rPr>
        <w:t>consultatif</w:t>
      </w:r>
      <w:r w:rsidRPr="00804AC7">
        <w:t xml:space="preserve"> s’est réuni du 15 au 19 juin 2015 pour débattre de ses recommandations sur chaque critère </w:t>
      </w:r>
      <w:r w:rsidR="008D58FA" w:rsidRPr="00804AC7">
        <w:t>pour chaque dossier. Sur cette base, l</w:t>
      </w:r>
      <w:r w:rsidRPr="00804AC7">
        <w:t xml:space="preserve">e rapporteur </w:t>
      </w:r>
      <w:r w:rsidR="008D58FA" w:rsidRPr="00804AC7">
        <w:t xml:space="preserve">a </w:t>
      </w:r>
      <w:r w:rsidRPr="00804AC7">
        <w:t>élabor</w:t>
      </w:r>
      <w:r w:rsidR="008D58FA" w:rsidRPr="00804AC7">
        <w:t>é</w:t>
      </w:r>
      <w:r w:rsidRPr="00804AC7">
        <w:t xml:space="preserve"> des projets de </w:t>
      </w:r>
      <w:r w:rsidR="008D58FA" w:rsidRPr="00804AC7">
        <w:t xml:space="preserve">décision </w:t>
      </w:r>
      <w:r w:rsidRPr="00804AC7">
        <w:t xml:space="preserve">pour chaque dossier, ainsi que </w:t>
      </w:r>
      <w:r w:rsidR="008C3845">
        <w:t>d</w:t>
      </w:r>
      <w:r w:rsidRPr="00804AC7">
        <w:t xml:space="preserve">es remarques et </w:t>
      </w:r>
      <w:r w:rsidR="008C3845">
        <w:t xml:space="preserve">des </w:t>
      </w:r>
      <w:r w:rsidRPr="00804AC7">
        <w:t xml:space="preserve">recommandations d’ordre général formulées par l’Organe. L’Organe d’évaluation s’est à nouveau réuni du 9 au 11 septembre 2015 pour valider les projets de recommandation pour chaque dossier et adopter ses rapports. Les projets de décision ainsi </w:t>
      </w:r>
      <w:r w:rsidR="008D58FA" w:rsidRPr="00804AC7">
        <w:t xml:space="preserve">formulés </w:t>
      </w:r>
      <w:r w:rsidRPr="00804AC7">
        <w:t xml:space="preserve">et présentés dans les quatre rapports respectifs représentent </w:t>
      </w:r>
      <w:r w:rsidR="008D58FA" w:rsidRPr="00804AC7">
        <w:t xml:space="preserve">le consensus </w:t>
      </w:r>
      <w:r w:rsidRPr="00804AC7">
        <w:t>unanime des membres de l’Organe d’évaluation.</w:t>
      </w:r>
    </w:p>
    <w:p w:rsidR="00C7268F" w:rsidRPr="00804AC7" w:rsidRDefault="00C7268F" w:rsidP="00F016A0">
      <w:pPr>
        <w:pStyle w:val="COMPara"/>
        <w:keepNext/>
        <w:tabs>
          <w:tab w:val="left" w:pos="567"/>
        </w:tabs>
        <w:spacing w:before="360"/>
        <w:ind w:left="0" w:firstLine="0"/>
        <w:jc w:val="both"/>
        <w:rPr>
          <w:b/>
        </w:rPr>
      </w:pPr>
      <w:r w:rsidRPr="00804AC7">
        <w:rPr>
          <w:b/>
        </w:rPr>
        <w:t>B.</w:t>
      </w:r>
      <w:r w:rsidRPr="00804AC7">
        <w:tab/>
      </w:r>
      <w:r w:rsidRPr="00804AC7">
        <w:rPr>
          <w:b/>
        </w:rPr>
        <w:t xml:space="preserve">Observations </w:t>
      </w:r>
      <w:r w:rsidRPr="00F016A0">
        <w:rPr>
          <w:b/>
          <w:lang w:eastAsia="en-US" w:bidi="en-US"/>
        </w:rPr>
        <w:t>générales</w:t>
      </w:r>
      <w:r w:rsidRPr="00804AC7">
        <w:rPr>
          <w:b/>
        </w:rPr>
        <w:t xml:space="preserve"> et recommandations</w:t>
      </w:r>
    </w:p>
    <w:p w:rsidR="00C7268F" w:rsidRDefault="003E0E8B" w:rsidP="003E7E21">
      <w:pPr>
        <w:pStyle w:val="COMPara"/>
        <w:numPr>
          <w:ilvl w:val="0"/>
          <w:numId w:val="5"/>
        </w:numPr>
        <w:ind w:left="567" w:hanging="567"/>
        <w:jc w:val="both"/>
      </w:pPr>
      <w:r w:rsidRPr="00804AC7">
        <w:t xml:space="preserve">Cette partie </w:t>
      </w:r>
      <w:r w:rsidR="008C3845">
        <w:t>tente d’</w:t>
      </w:r>
      <w:r w:rsidRPr="00804AC7">
        <w:t>éviter</w:t>
      </w:r>
      <w:r w:rsidR="00C7268F" w:rsidRPr="00804AC7">
        <w:t xml:space="preserve"> de </w:t>
      </w:r>
      <w:r w:rsidRPr="00804AC7">
        <w:t xml:space="preserve">réitérer </w:t>
      </w:r>
      <w:r w:rsidR="009A30FD" w:rsidRPr="00804AC7">
        <w:t xml:space="preserve">simplement </w:t>
      </w:r>
      <w:r w:rsidRPr="00804AC7">
        <w:t xml:space="preserve">la jurisprudence accumulée au cours de l’évaluation des </w:t>
      </w:r>
      <w:r w:rsidR="00C7268F" w:rsidRPr="00804AC7">
        <w:t>candidatures et demandes d’assistance</w:t>
      </w:r>
      <w:r w:rsidRPr="00804AC7">
        <w:t xml:space="preserve">. Elle </w:t>
      </w:r>
      <w:r w:rsidR="00C7268F" w:rsidRPr="00804AC7">
        <w:t xml:space="preserve">vise </w:t>
      </w:r>
      <w:r w:rsidRPr="00804AC7">
        <w:t xml:space="preserve">plutôt </w:t>
      </w:r>
      <w:r w:rsidR="009A30FD">
        <w:t>à faire ressortir</w:t>
      </w:r>
      <w:r w:rsidR="009A30FD" w:rsidRPr="00804AC7">
        <w:t xml:space="preserve"> </w:t>
      </w:r>
      <w:r w:rsidR="00C7268F" w:rsidRPr="00804AC7">
        <w:t xml:space="preserve">les aspects et </w:t>
      </w:r>
      <w:r w:rsidR="009A30FD">
        <w:t>questions</w:t>
      </w:r>
      <w:r w:rsidR="009A30FD" w:rsidRPr="00804AC7">
        <w:t xml:space="preserve"> </w:t>
      </w:r>
      <w:r w:rsidR="00C7268F" w:rsidRPr="00F016A0">
        <w:rPr>
          <w:lang w:eastAsia="en-US" w:bidi="en-US"/>
        </w:rPr>
        <w:t>les</w:t>
      </w:r>
      <w:r w:rsidR="00C7268F" w:rsidRPr="00804AC7">
        <w:t xml:space="preserve"> plus </w:t>
      </w:r>
      <w:r w:rsidRPr="00804AC7">
        <w:t xml:space="preserve">récurrents </w:t>
      </w:r>
      <w:r w:rsidR="00C7268F" w:rsidRPr="00804AC7">
        <w:t>et les plus discutés au cours de ce cycle, et</w:t>
      </w:r>
      <w:r w:rsidRPr="00804AC7">
        <w:t>, en particulier,</w:t>
      </w:r>
      <w:r w:rsidR="00C7268F" w:rsidRPr="00804AC7">
        <w:t xml:space="preserve"> à </w:t>
      </w:r>
      <w:r w:rsidRPr="00804AC7">
        <w:t xml:space="preserve">délimiter </w:t>
      </w:r>
      <w:r w:rsidR="00C7268F" w:rsidRPr="00804AC7">
        <w:t xml:space="preserve">ceux ayant fait émerger de nouveaux </w:t>
      </w:r>
      <w:r w:rsidRPr="009E0371">
        <w:t>point</w:t>
      </w:r>
      <w:r w:rsidR="009A30FD" w:rsidRPr="009E0371">
        <w:t>s</w:t>
      </w:r>
      <w:r w:rsidRPr="009E0371">
        <w:t xml:space="preserve"> d’importance</w:t>
      </w:r>
      <w:r w:rsidRPr="00804AC7">
        <w:t xml:space="preserve"> ou </w:t>
      </w:r>
      <w:r w:rsidR="00C7268F" w:rsidRPr="00804AC7">
        <w:t xml:space="preserve">suggestions. Ainsi, après une première série de commentaires portant sur les méthodes de travail et les principes </w:t>
      </w:r>
      <w:r w:rsidRPr="00804AC7">
        <w:t xml:space="preserve">d’évaluation </w:t>
      </w:r>
      <w:r w:rsidR="00C7268F" w:rsidRPr="00804AC7">
        <w:t xml:space="preserve">de l’Organe d’évaluation, suivie d’un aperçu des dossiers soumis pour le cycle 2015, cette section </w:t>
      </w:r>
      <w:r w:rsidRPr="00804AC7">
        <w:t xml:space="preserve">se concentre sur </w:t>
      </w:r>
      <w:r w:rsidR="00C7268F" w:rsidRPr="00804AC7">
        <w:t>des thèmes et questions transvers</w:t>
      </w:r>
      <w:r w:rsidRPr="00804AC7">
        <w:t>al</w:t>
      </w:r>
      <w:r w:rsidR="00C7268F" w:rsidRPr="00804AC7">
        <w:t xml:space="preserve">es </w:t>
      </w:r>
      <w:r w:rsidR="009A30FD">
        <w:t xml:space="preserve">et </w:t>
      </w:r>
      <w:r w:rsidRPr="00804AC7">
        <w:t xml:space="preserve">d’ordre général qui sont </w:t>
      </w:r>
      <w:r w:rsidR="00C7268F" w:rsidRPr="00804AC7">
        <w:t xml:space="preserve">apparus au cours </w:t>
      </w:r>
      <w:r w:rsidRPr="00804AC7">
        <w:t xml:space="preserve">du processus </w:t>
      </w:r>
      <w:r w:rsidR="00C7268F" w:rsidRPr="00804AC7">
        <w:t xml:space="preserve">d’évaluation, puis </w:t>
      </w:r>
      <w:r w:rsidRPr="00804AC7">
        <w:t xml:space="preserve">sur </w:t>
      </w:r>
      <w:r w:rsidR="00C7268F" w:rsidRPr="00804AC7">
        <w:t xml:space="preserve">des questions plus intimement liées </w:t>
      </w:r>
      <w:r w:rsidRPr="00804AC7">
        <w:t>aux</w:t>
      </w:r>
      <w:r w:rsidR="00C7268F" w:rsidRPr="00804AC7">
        <w:t xml:space="preserve"> critères spécifiques des mécanismes évalués au cours du présent cycle. Les remarques font souvent référence à </w:t>
      </w:r>
      <w:r w:rsidRPr="00804AC7">
        <w:t>l’Aide</w:t>
      </w:r>
      <w:r w:rsidR="00C7268F" w:rsidRPr="00804AC7">
        <w:t>-mémoire pour l</w:t>
      </w:r>
      <w:r w:rsidRPr="00804AC7">
        <w:t>’élaboration</w:t>
      </w:r>
      <w:r w:rsidR="00C7268F" w:rsidRPr="00804AC7">
        <w:t xml:space="preserve"> d’un</w:t>
      </w:r>
      <w:r w:rsidRPr="00804AC7">
        <w:t xml:space="preserve"> dossier de </w:t>
      </w:r>
      <w:r w:rsidR="00C7268F" w:rsidRPr="00804AC7">
        <w:t xml:space="preserve">candidature à la Liste représentative du patrimoine culturel immatériel de l’humanité, ainsi qu’à </w:t>
      </w:r>
      <w:r w:rsidRPr="00804AC7">
        <w:t>l’Aide</w:t>
      </w:r>
      <w:r w:rsidR="00C7268F" w:rsidRPr="00804AC7">
        <w:t>-mémoire pour l</w:t>
      </w:r>
      <w:r w:rsidRPr="00804AC7">
        <w:t xml:space="preserve">’élaboration </w:t>
      </w:r>
      <w:r w:rsidR="00C7268F" w:rsidRPr="00804AC7">
        <w:t>d’une candidature à la Liste du patrimoine culturel immatériel nécessitant une sauvegarde urgente, deux outils</w:t>
      </w:r>
      <w:r w:rsidRPr="00804AC7">
        <w:t xml:space="preserve"> qui se sont révélés</w:t>
      </w:r>
      <w:r w:rsidR="00C7268F" w:rsidRPr="00804AC7">
        <w:t xml:space="preserve"> précieux pour les membres de l’Organe d’évaluation, notamment dans leur </w:t>
      </w:r>
      <w:r w:rsidR="009A30FD">
        <w:t>souci</w:t>
      </w:r>
      <w:r w:rsidR="009A30FD" w:rsidRPr="00804AC7">
        <w:t xml:space="preserve"> </w:t>
      </w:r>
      <w:r w:rsidR="00C7268F" w:rsidRPr="00804AC7">
        <w:t>de cohérence avec les rapports et recommandations des organes précédents et les décisions du Comité.</w:t>
      </w:r>
    </w:p>
    <w:p w:rsidR="00C7268F" w:rsidRPr="00804AC7" w:rsidRDefault="00C7268F" w:rsidP="00F016A0">
      <w:pPr>
        <w:pStyle w:val="DocMain"/>
        <w:keepNext/>
        <w:tabs>
          <w:tab w:val="left" w:pos="567"/>
        </w:tabs>
        <w:spacing w:after="120"/>
        <w:ind w:left="567" w:firstLine="0"/>
        <w:rPr>
          <w:b/>
        </w:rPr>
      </w:pPr>
      <w:r w:rsidRPr="00804AC7">
        <w:rPr>
          <w:b/>
        </w:rPr>
        <w:t xml:space="preserve">Méthodes de </w:t>
      </w:r>
      <w:r w:rsidRPr="00F016A0">
        <w:rPr>
          <w:b/>
          <w:lang w:eastAsia="zh-CN" w:bidi="ar-SA"/>
        </w:rPr>
        <w:t>travail</w:t>
      </w:r>
      <w:r w:rsidRPr="00804AC7">
        <w:rPr>
          <w:b/>
        </w:rPr>
        <w:t xml:space="preserve"> et principes d’évaluation</w:t>
      </w:r>
    </w:p>
    <w:p w:rsidR="00C7268F" w:rsidRPr="00804AC7" w:rsidRDefault="00656DE4" w:rsidP="00B86CF6">
      <w:pPr>
        <w:pStyle w:val="COMPara"/>
        <w:numPr>
          <w:ilvl w:val="0"/>
          <w:numId w:val="5"/>
        </w:numPr>
        <w:ind w:left="567" w:hanging="567"/>
        <w:jc w:val="both"/>
      </w:pPr>
      <w:r w:rsidRPr="00B86CF6">
        <w:rPr>
          <w:b/>
          <w:i/>
        </w:rPr>
        <w:t>Un organe au lieu de deux</w:t>
      </w:r>
      <w:r w:rsidRPr="00B86CF6">
        <w:rPr>
          <w:b/>
        </w:rPr>
        <w:t>.</w:t>
      </w:r>
      <w:r w:rsidRPr="00B86CF6">
        <w:t xml:space="preserve"> L’Organe d’évaluation considère que l’établissement d’un organe unique a largement démontré ses avantages par rapport à la précédente organisation en deux organes : Organe consultatif et Organe subsidiaire. Non seulement elle a permis d’assurer plus de cohérence et de consistance dans les recommandations, du fait de l’application de</w:t>
      </w:r>
      <w:r w:rsidR="00E726BD">
        <w:t>s mêmes</w:t>
      </w:r>
      <w:r w:rsidRPr="00B86CF6">
        <w:t xml:space="preserve"> normes dans l’évaluation, mais elle a aussi facilité l’émergence des similarités et des spécificités propres aux quatre mécanismes de la Convention (réduits à trois pour le présent cycle), et de chacun de leurs critères. </w:t>
      </w:r>
      <w:r w:rsidR="00FD5452" w:rsidRPr="00804AC7">
        <w:t xml:space="preserve">Il en a été </w:t>
      </w:r>
      <w:r w:rsidR="00C7268F" w:rsidRPr="00804AC7">
        <w:t xml:space="preserve">particulièrement </w:t>
      </w:r>
      <w:r w:rsidR="00FD5452" w:rsidRPr="00804AC7">
        <w:t xml:space="preserve">ainsi </w:t>
      </w:r>
      <w:r w:rsidR="00C7268F" w:rsidRPr="00804AC7">
        <w:t xml:space="preserve">pour la relation entre Liste de sauvegarde urgente et Liste représentative, contribuant ainsi </w:t>
      </w:r>
      <w:r w:rsidR="00FD5452" w:rsidRPr="00804AC7">
        <w:t xml:space="preserve">aux </w:t>
      </w:r>
      <w:r w:rsidR="00C7268F" w:rsidRPr="00804AC7">
        <w:t xml:space="preserve">principes et objectifs généraux de la Convention </w:t>
      </w:r>
      <w:r w:rsidR="00E726BD">
        <w:t>dans</w:t>
      </w:r>
      <w:r w:rsidR="00E726BD" w:rsidRPr="00804AC7">
        <w:t xml:space="preserve"> </w:t>
      </w:r>
      <w:r w:rsidR="00C7268F" w:rsidRPr="00804AC7">
        <w:t>le respect de la nature spécifique et complémentaire de chacun</w:t>
      </w:r>
      <w:r w:rsidR="00FD5452" w:rsidRPr="00804AC7">
        <w:t>e</w:t>
      </w:r>
      <w:r w:rsidR="00C7268F" w:rsidRPr="00804AC7">
        <w:t xml:space="preserve"> d’entre </w:t>
      </w:r>
      <w:r w:rsidR="00FD5452" w:rsidRPr="00804AC7">
        <w:t>elles</w:t>
      </w:r>
      <w:r w:rsidRPr="00B86CF6">
        <w:t xml:space="preserve">. </w:t>
      </w:r>
      <w:r w:rsidR="00B00068">
        <w:t>Grâce à cette</w:t>
      </w:r>
      <w:r w:rsidRPr="00B86CF6">
        <w:t xml:space="preserve"> nouvelle situation</w:t>
      </w:r>
      <w:r w:rsidR="007A4062">
        <w:t>, l’</w:t>
      </w:r>
      <w:r w:rsidRPr="00B86CF6">
        <w:t xml:space="preserve">Organe </w:t>
      </w:r>
      <w:r w:rsidR="007A4062">
        <w:t>d’</w:t>
      </w:r>
      <w:r w:rsidRPr="00B86CF6">
        <w:t>évaluation propose un</w:t>
      </w:r>
      <w:r w:rsidR="007A4062">
        <w:t xml:space="preserve"> seul projet de décision généra</w:t>
      </w:r>
      <w:r w:rsidR="00B00068">
        <w:t>l</w:t>
      </w:r>
      <w:r w:rsidR="00D55245">
        <w:t>e</w:t>
      </w:r>
      <w:r w:rsidRPr="00B86CF6">
        <w:t xml:space="preserve"> </w:t>
      </w:r>
      <w:r w:rsidR="007A4062">
        <w:t>couvrant</w:t>
      </w:r>
      <w:r w:rsidRPr="00B86CF6">
        <w:t xml:space="preserve"> tous les mécanismes</w:t>
      </w:r>
      <w:r w:rsidR="00B00068">
        <w:t>.</w:t>
      </w:r>
      <w:r w:rsidRPr="00B86CF6">
        <w:t xml:space="preserve"> </w:t>
      </w:r>
    </w:p>
    <w:p w:rsidR="00C7268F" w:rsidRPr="00804AC7" w:rsidRDefault="00656DE4" w:rsidP="00B86CF6">
      <w:pPr>
        <w:pStyle w:val="COMPara"/>
        <w:numPr>
          <w:ilvl w:val="0"/>
          <w:numId w:val="5"/>
        </w:numPr>
        <w:ind w:left="567" w:hanging="567"/>
        <w:jc w:val="both"/>
      </w:pPr>
      <w:r w:rsidRPr="00B86CF6">
        <w:rPr>
          <w:b/>
          <w:i/>
          <w:color w:val="000000"/>
        </w:rPr>
        <w:t xml:space="preserve">Les recommandations sont basées sur les dossiers et non sur les mérites de l’élément ou </w:t>
      </w:r>
      <w:r w:rsidR="00E726BD">
        <w:rPr>
          <w:b/>
          <w:i/>
          <w:color w:val="000000"/>
        </w:rPr>
        <w:t>l</w:t>
      </w:r>
      <w:r w:rsidRPr="00B86CF6">
        <w:rPr>
          <w:b/>
          <w:i/>
          <w:color w:val="000000"/>
        </w:rPr>
        <w:t>es intentions du projet.</w:t>
      </w:r>
      <w:r w:rsidR="00C7268F" w:rsidRPr="00804AC7">
        <w:rPr>
          <w:color w:val="000000"/>
        </w:rPr>
        <w:t xml:space="preserve"> </w:t>
      </w:r>
      <w:r w:rsidR="00C7268F" w:rsidRPr="00804AC7">
        <w:t xml:space="preserve">Il </w:t>
      </w:r>
      <w:r w:rsidR="005940FF" w:rsidRPr="00804AC7">
        <w:t xml:space="preserve">est </w:t>
      </w:r>
      <w:r w:rsidR="00C7268F" w:rsidRPr="00804AC7">
        <w:t xml:space="preserve">important de souligner à nouveau que, </w:t>
      </w:r>
      <w:r w:rsidR="005940FF" w:rsidRPr="00804AC7">
        <w:t>à l’instar de l’approche des</w:t>
      </w:r>
      <w:r w:rsidR="00C7268F" w:rsidRPr="00804AC7">
        <w:t xml:space="preserve"> précédents organes, l’Organe d’évaluation </w:t>
      </w:r>
      <w:r w:rsidR="00C7268F" w:rsidRPr="00804AC7">
        <w:rPr>
          <w:color w:val="000000"/>
        </w:rPr>
        <w:t xml:space="preserve">a </w:t>
      </w:r>
      <w:r w:rsidR="005940FF" w:rsidRPr="00804AC7">
        <w:rPr>
          <w:color w:val="000000"/>
        </w:rPr>
        <w:t xml:space="preserve">fondé </w:t>
      </w:r>
      <w:r w:rsidR="00C7268F" w:rsidRPr="00804AC7">
        <w:rPr>
          <w:color w:val="000000"/>
        </w:rPr>
        <w:t xml:space="preserve">ses recommandations </w:t>
      </w:r>
      <w:r w:rsidR="005940FF" w:rsidRPr="00804AC7">
        <w:rPr>
          <w:color w:val="000000"/>
        </w:rPr>
        <w:t xml:space="preserve">exclusivement </w:t>
      </w:r>
      <w:r w:rsidR="00C7268F" w:rsidRPr="00804AC7">
        <w:rPr>
          <w:color w:val="000000"/>
        </w:rPr>
        <w:t xml:space="preserve">sur l’analyse de l’adéquation des informations </w:t>
      </w:r>
      <w:r w:rsidR="00C7268F" w:rsidRPr="00F016A0">
        <w:rPr>
          <w:color w:val="000000"/>
          <w:lang w:eastAsia="en-US" w:bidi="en-US"/>
        </w:rPr>
        <w:t>présentées</w:t>
      </w:r>
      <w:r w:rsidR="00C7268F" w:rsidRPr="00804AC7">
        <w:rPr>
          <w:color w:val="000000"/>
        </w:rPr>
        <w:t xml:space="preserve"> dans les dossiers de candidature et les demandes, </w:t>
      </w:r>
      <w:r w:rsidR="005940FF" w:rsidRPr="00804AC7">
        <w:rPr>
          <w:color w:val="000000"/>
        </w:rPr>
        <w:t>y compris</w:t>
      </w:r>
      <w:r w:rsidR="00C7268F" w:rsidRPr="00804AC7">
        <w:rPr>
          <w:color w:val="000000"/>
        </w:rPr>
        <w:t xml:space="preserve"> les attestations de consentement </w:t>
      </w:r>
      <w:r w:rsidR="005940FF" w:rsidRPr="00804AC7">
        <w:rPr>
          <w:color w:val="000000"/>
        </w:rPr>
        <w:t>des commun</w:t>
      </w:r>
      <w:r w:rsidR="00C92AA8">
        <w:rPr>
          <w:color w:val="000000"/>
        </w:rPr>
        <w:t>a</w:t>
      </w:r>
      <w:r w:rsidR="005940FF" w:rsidRPr="00804AC7">
        <w:rPr>
          <w:color w:val="000000"/>
        </w:rPr>
        <w:t xml:space="preserve">utés </w:t>
      </w:r>
      <w:r w:rsidR="00C7268F" w:rsidRPr="00804AC7">
        <w:rPr>
          <w:color w:val="000000"/>
        </w:rPr>
        <w:t>jointes et un extrait pertinent d</w:t>
      </w:r>
      <w:r w:rsidR="005940FF" w:rsidRPr="00804AC7">
        <w:rPr>
          <w:color w:val="000000"/>
        </w:rPr>
        <w:t>u (d</w:t>
      </w:r>
      <w:r w:rsidR="00C7268F" w:rsidRPr="00804AC7">
        <w:rPr>
          <w:color w:val="000000"/>
        </w:rPr>
        <w:t>e</w:t>
      </w:r>
      <w:r w:rsidR="005940FF" w:rsidRPr="00804AC7">
        <w:rPr>
          <w:color w:val="000000"/>
        </w:rPr>
        <w:t>s)</w:t>
      </w:r>
      <w:r w:rsidR="00C7268F" w:rsidRPr="00804AC7">
        <w:rPr>
          <w:color w:val="000000"/>
        </w:rPr>
        <w:t xml:space="preserve"> inventaire(s), et non sur l’élément en tant que tel, sur ses mérites ou sur ceux d</w:t>
      </w:r>
      <w:r w:rsidR="00927120">
        <w:rPr>
          <w:color w:val="000000"/>
        </w:rPr>
        <w:t>es intentions d</w:t>
      </w:r>
      <w:r w:rsidR="00C7268F" w:rsidRPr="00804AC7">
        <w:rPr>
          <w:color w:val="000000"/>
        </w:rPr>
        <w:t>u projet</w:t>
      </w:r>
      <w:r w:rsidR="00C7268F" w:rsidRPr="00804AC7">
        <w:t xml:space="preserve">. </w:t>
      </w:r>
      <w:r w:rsidR="005940FF" w:rsidRPr="00804AC7">
        <w:t>Toute connaissance préalable ou information que</w:t>
      </w:r>
      <w:r w:rsidR="00C7268F" w:rsidRPr="00804AC7">
        <w:t xml:space="preserve"> les évaluateurs et évaluatrices </w:t>
      </w:r>
      <w:r w:rsidR="005940FF" w:rsidRPr="00804AC7">
        <w:t xml:space="preserve">auraient pu détenir sur </w:t>
      </w:r>
      <w:r w:rsidR="00C7268F" w:rsidRPr="00804AC7">
        <w:t xml:space="preserve">l’élément ou </w:t>
      </w:r>
      <w:r w:rsidR="005940FF" w:rsidRPr="00804AC7">
        <w:t xml:space="preserve">le </w:t>
      </w:r>
      <w:r w:rsidR="00C7268F" w:rsidRPr="00804AC7">
        <w:t xml:space="preserve">projet </w:t>
      </w:r>
      <w:r w:rsidR="005940FF" w:rsidRPr="00804AC7">
        <w:t xml:space="preserve">n’a pas été </w:t>
      </w:r>
      <w:r w:rsidR="00C7268F" w:rsidRPr="00804AC7">
        <w:t>pris</w:t>
      </w:r>
      <w:r w:rsidR="005940FF" w:rsidRPr="00804AC7">
        <w:t>e</w:t>
      </w:r>
      <w:r w:rsidR="00C7268F" w:rsidRPr="00804AC7">
        <w:t xml:space="preserve"> en compte</w:t>
      </w:r>
      <w:r w:rsidR="00C7268F" w:rsidRPr="00804AC7">
        <w:rPr>
          <w:color w:val="000000"/>
        </w:rPr>
        <w:t>.</w:t>
      </w:r>
    </w:p>
    <w:p w:rsidR="00C7268F" w:rsidRPr="00804AC7" w:rsidRDefault="00656DE4" w:rsidP="00B86CF6">
      <w:pPr>
        <w:pStyle w:val="COMPara"/>
        <w:numPr>
          <w:ilvl w:val="0"/>
          <w:numId w:val="5"/>
        </w:numPr>
        <w:ind w:left="567" w:hanging="567"/>
        <w:jc w:val="both"/>
      </w:pPr>
      <w:r w:rsidRPr="00B86CF6">
        <w:rPr>
          <w:b/>
          <w:i/>
        </w:rPr>
        <w:t>Neutralité des évaluateurs</w:t>
      </w:r>
      <w:r w:rsidRPr="00B86CF6">
        <w:rPr>
          <w:b/>
          <w:i/>
          <w:color w:val="000000"/>
        </w:rPr>
        <w:t xml:space="preserve"> et évaluatrices.</w:t>
      </w:r>
      <w:r w:rsidR="00C7268F" w:rsidRPr="00804AC7">
        <w:rPr>
          <w:color w:val="000000"/>
        </w:rPr>
        <w:t xml:space="preserve"> </w:t>
      </w:r>
      <w:r w:rsidR="00C7268F" w:rsidRPr="00804AC7">
        <w:t xml:space="preserve">Comme cela </w:t>
      </w:r>
      <w:r w:rsidR="002B3ADC" w:rsidRPr="00804AC7">
        <w:t xml:space="preserve">a été </w:t>
      </w:r>
      <w:r w:rsidR="00C7268F" w:rsidRPr="00804AC7">
        <w:t xml:space="preserve">le cas </w:t>
      </w:r>
      <w:r w:rsidR="002B3ADC" w:rsidRPr="00804AC7">
        <w:t xml:space="preserve">pour les deux </w:t>
      </w:r>
      <w:r w:rsidR="00C7268F" w:rsidRPr="00804AC7">
        <w:t>organes</w:t>
      </w:r>
      <w:r w:rsidR="002B3ADC" w:rsidRPr="00804AC7">
        <w:t xml:space="preserve"> précédents</w:t>
      </w:r>
      <w:r w:rsidR="00C7268F" w:rsidRPr="00804AC7">
        <w:t xml:space="preserve">, </w:t>
      </w:r>
      <w:r w:rsidR="002B3ADC" w:rsidRPr="00804AC7">
        <w:t>aucun</w:t>
      </w:r>
      <w:r w:rsidR="00C7268F" w:rsidRPr="00804AC7">
        <w:rPr>
          <w:rStyle w:val="hps"/>
        </w:rPr>
        <w:t xml:space="preserve"> membre de l’Organe d’évaluation </w:t>
      </w:r>
      <w:r w:rsidR="002B3ADC" w:rsidRPr="00804AC7">
        <w:rPr>
          <w:rStyle w:val="hps"/>
        </w:rPr>
        <w:t>n’a participé à l’évaluation d’une candidature soumise par un pays qu’il ou elle représentait</w:t>
      </w:r>
      <w:r w:rsidR="002B3ADC" w:rsidRPr="00804AC7">
        <w:t xml:space="preserve"> afin d’assurer la neutralité et l’équité des évaluations</w:t>
      </w:r>
      <w:r w:rsidR="00C7268F" w:rsidRPr="00804AC7">
        <w:rPr>
          <w:rStyle w:val="hps"/>
        </w:rPr>
        <w:t>.</w:t>
      </w:r>
      <w:r w:rsidR="00D55245">
        <w:rPr>
          <w:rStyle w:val="hps"/>
        </w:rPr>
        <w:t xml:space="preserve"> Par conséquent, dans le cas des experts individuels</w:t>
      </w:r>
      <w:r w:rsidR="00C7268F" w:rsidRPr="00804AC7">
        <w:rPr>
          <w:rStyle w:val="hps"/>
        </w:rPr>
        <w:t xml:space="preserve"> </w:t>
      </w:r>
      <w:r w:rsidR="00C7268F" w:rsidRPr="00804AC7">
        <w:t xml:space="preserve">Mme Amélia Frazão Moreira </w:t>
      </w:r>
      <w:r w:rsidR="00D55245">
        <w:t xml:space="preserve">n’a pas participé à l’évaluation de </w:t>
      </w:r>
      <w:r w:rsidR="00C7268F" w:rsidRPr="00804AC7">
        <w:t xml:space="preserve">la candidature </w:t>
      </w:r>
      <w:r w:rsidR="00D76F17" w:rsidRPr="00804AC7">
        <w:t>soumise par le Portugal</w:t>
      </w:r>
      <w:r w:rsidR="00C7268F" w:rsidRPr="00804AC7">
        <w:t xml:space="preserve"> et </w:t>
      </w:r>
      <w:r w:rsidR="00D55245">
        <w:t xml:space="preserve">ni </w:t>
      </w:r>
      <w:r w:rsidR="00C7268F" w:rsidRPr="00804AC7">
        <w:t xml:space="preserve">M. Victor Rago </w:t>
      </w:r>
      <w:r w:rsidR="00D55245">
        <w:t>à</w:t>
      </w:r>
      <w:r w:rsidR="00C7268F" w:rsidRPr="00804AC7">
        <w:t xml:space="preserve"> celle </w:t>
      </w:r>
      <w:r w:rsidR="00D76F17" w:rsidRPr="00804AC7">
        <w:t xml:space="preserve">soumise par </w:t>
      </w:r>
      <w:r w:rsidR="00C7268F" w:rsidRPr="00804AC7">
        <w:t xml:space="preserve">la République bolivarienne du Venezuela. Le même principe </w:t>
      </w:r>
      <w:r w:rsidR="00D76F17" w:rsidRPr="00804AC7">
        <w:t xml:space="preserve">a été </w:t>
      </w:r>
      <w:r w:rsidR="00C7268F" w:rsidRPr="00804AC7">
        <w:t xml:space="preserve">appliqué aux dossiers soumis par les États </w:t>
      </w:r>
      <w:r w:rsidR="00C7268F" w:rsidRPr="00804AC7">
        <w:rPr>
          <w:rStyle w:val="hps"/>
        </w:rPr>
        <w:t>de domiciliation d’une organisation non</w:t>
      </w:r>
      <w:r w:rsidR="00D76F17" w:rsidRPr="00804AC7">
        <w:rPr>
          <w:rStyle w:val="hps"/>
        </w:rPr>
        <w:t xml:space="preserve"> </w:t>
      </w:r>
      <w:r w:rsidR="00C7268F" w:rsidRPr="00804AC7">
        <w:rPr>
          <w:rStyle w:val="hps"/>
        </w:rPr>
        <w:t xml:space="preserve">gouvernementale ou de nationalité identique </w:t>
      </w:r>
      <w:r w:rsidR="00E261A7" w:rsidRPr="00804AC7">
        <w:rPr>
          <w:rStyle w:val="hps"/>
        </w:rPr>
        <w:t xml:space="preserve">au </w:t>
      </w:r>
      <w:r w:rsidR="00C7268F" w:rsidRPr="00804AC7">
        <w:rPr>
          <w:rStyle w:val="hps"/>
        </w:rPr>
        <w:t>représentant d’une ONG</w:t>
      </w:r>
      <w:r w:rsidR="00D55245">
        <w:rPr>
          <w:rStyle w:val="hps"/>
        </w:rPr>
        <w:t> ;</w:t>
      </w:r>
      <w:r w:rsidR="00E261A7" w:rsidRPr="00804AC7">
        <w:rPr>
          <w:rStyle w:val="hps"/>
        </w:rPr>
        <w:t xml:space="preserve"> même </w:t>
      </w:r>
      <w:r w:rsidR="00C7268F" w:rsidRPr="00804AC7">
        <w:rPr>
          <w:rStyle w:val="hps"/>
        </w:rPr>
        <w:t xml:space="preserve">si ce membre, par définition, ne représente pas le pays, cette précaution </w:t>
      </w:r>
      <w:r w:rsidR="00E261A7" w:rsidRPr="00804AC7">
        <w:rPr>
          <w:rStyle w:val="hps"/>
        </w:rPr>
        <w:t xml:space="preserve">a été </w:t>
      </w:r>
      <w:r w:rsidR="00C7268F" w:rsidRPr="00804AC7">
        <w:rPr>
          <w:rStyle w:val="hps"/>
        </w:rPr>
        <w:t xml:space="preserve">jugée prudente afin d’éviter </w:t>
      </w:r>
      <w:r w:rsidR="00E261A7" w:rsidRPr="00804AC7">
        <w:rPr>
          <w:rStyle w:val="hps"/>
        </w:rPr>
        <w:t xml:space="preserve">tout </w:t>
      </w:r>
      <w:r w:rsidR="00C7268F" w:rsidRPr="00804AC7">
        <w:rPr>
          <w:rStyle w:val="hps"/>
        </w:rPr>
        <w:t>conflit d’intérêt</w:t>
      </w:r>
      <w:r w:rsidR="00E261A7" w:rsidRPr="00804AC7">
        <w:rPr>
          <w:rStyle w:val="hps"/>
        </w:rPr>
        <w:t xml:space="preserve"> potentiel</w:t>
      </w:r>
      <w:r w:rsidR="00C7268F" w:rsidRPr="00804AC7">
        <w:rPr>
          <w:rStyle w:val="hps"/>
        </w:rPr>
        <w:t xml:space="preserve">. </w:t>
      </w:r>
      <w:r w:rsidR="00C7268F" w:rsidRPr="00804AC7">
        <w:t xml:space="preserve">Ainsi, </w:t>
      </w:r>
      <w:r w:rsidR="00E261A7" w:rsidRPr="00804AC7">
        <w:t>l</w:t>
      </w:r>
      <w:r w:rsidR="00C7268F" w:rsidRPr="00804AC7">
        <w:t xml:space="preserve">a </w:t>
      </w:r>
      <w:r w:rsidR="001A6990">
        <w:rPr>
          <w:iCs/>
          <w:lang w:eastAsia="en-US" w:bidi="en-US"/>
        </w:rPr>
        <w:t>Fondation transculturelle de l’Ouganda</w:t>
      </w:r>
      <w:r w:rsidR="00E261A7" w:rsidRPr="00804AC7">
        <w:t xml:space="preserve"> </w:t>
      </w:r>
      <w:r w:rsidR="00C7268F" w:rsidRPr="00804AC7">
        <w:t xml:space="preserve">n’a pas participé à l’évaluation de la candidature présentée par l’Ouganda, </w:t>
      </w:r>
      <w:r w:rsidR="00E261A7" w:rsidRPr="00804AC7">
        <w:t>pa</w:t>
      </w:r>
      <w:r w:rsidR="001A6990">
        <w:t>s</w:t>
      </w:r>
      <w:r w:rsidR="00E261A7" w:rsidRPr="00804AC7">
        <w:t xml:space="preserve"> plus que </w:t>
      </w:r>
      <w:r w:rsidR="00C7268F" w:rsidRPr="00804AC7">
        <w:t>le Conseil international de la musique traditionnelle à celle de la Slovénie.</w:t>
      </w:r>
    </w:p>
    <w:p w:rsidR="00C7268F" w:rsidRPr="009D0A7B" w:rsidRDefault="00656DE4" w:rsidP="00B86CF6">
      <w:pPr>
        <w:pStyle w:val="COMPara"/>
        <w:numPr>
          <w:ilvl w:val="0"/>
          <w:numId w:val="5"/>
        </w:numPr>
        <w:ind w:left="567" w:hanging="567"/>
        <w:jc w:val="both"/>
      </w:pPr>
      <w:r w:rsidRPr="00B86CF6">
        <w:rPr>
          <w:b/>
          <w:i/>
        </w:rPr>
        <w:t>Recommandations globales et commentaires spécifiques.</w:t>
      </w:r>
      <w:r w:rsidR="00C7268F" w:rsidRPr="00804AC7">
        <w:rPr>
          <w:i/>
        </w:rPr>
        <w:t xml:space="preserve"> </w:t>
      </w:r>
      <w:r w:rsidR="00C7268F" w:rsidRPr="00804AC7">
        <w:t xml:space="preserve">Pour aider au mieux les États soumissionnaires, l’Organe d’évaluation </w:t>
      </w:r>
      <w:r w:rsidR="00C4131D" w:rsidRPr="00804AC7">
        <w:t xml:space="preserve">intègre dans </w:t>
      </w:r>
      <w:r w:rsidR="00C7268F" w:rsidRPr="00804AC7">
        <w:t xml:space="preserve">ses projets de décision </w:t>
      </w:r>
      <w:r w:rsidR="00C4131D" w:rsidRPr="00804AC7">
        <w:t>des commentaires</w:t>
      </w:r>
      <w:r w:rsidR="00C7268F" w:rsidRPr="00804AC7">
        <w:t xml:space="preserve"> </w:t>
      </w:r>
      <w:r w:rsidR="00C4131D" w:rsidRPr="00804AC7">
        <w:t xml:space="preserve">et </w:t>
      </w:r>
      <w:r w:rsidR="00C7268F" w:rsidRPr="00F016A0">
        <w:rPr>
          <w:lang w:eastAsia="en-US" w:bidi="en-US"/>
        </w:rPr>
        <w:t>préoccupations</w:t>
      </w:r>
      <w:r w:rsidR="00C7268F" w:rsidRPr="00804AC7">
        <w:t xml:space="preserve"> spécifiques</w:t>
      </w:r>
      <w:r w:rsidR="00C4131D" w:rsidRPr="00804AC7">
        <w:t xml:space="preserve">, en </w:t>
      </w:r>
      <w:r w:rsidR="00C7268F" w:rsidRPr="00804AC7">
        <w:t>particuli</w:t>
      </w:r>
      <w:r w:rsidR="00C4131D" w:rsidRPr="00804AC7">
        <w:t>er</w:t>
      </w:r>
      <w:r w:rsidR="00C7268F" w:rsidRPr="00804AC7">
        <w:t xml:space="preserve"> pour les dossier</w:t>
      </w:r>
      <w:r w:rsidR="00C4131D" w:rsidRPr="00804AC7">
        <w:t>s qu’il est recommandé de renvoyer</w:t>
      </w:r>
      <w:r w:rsidR="00C7268F" w:rsidRPr="00804AC7">
        <w:t xml:space="preserve">, mais également </w:t>
      </w:r>
      <w:r w:rsidR="00C4131D" w:rsidRPr="00804AC7">
        <w:t>pour les dossiers recommandés pour inscription</w:t>
      </w:r>
      <w:r w:rsidR="00C7268F" w:rsidRPr="00804AC7">
        <w:t xml:space="preserve">. Dans certains cas, les membres favorables au renvoi d’un dossier </w:t>
      </w:r>
      <w:r w:rsidR="00C4131D" w:rsidRPr="00804AC7">
        <w:t xml:space="preserve">ont accepté de se </w:t>
      </w:r>
      <w:r w:rsidR="00C7268F" w:rsidRPr="00804AC7">
        <w:t xml:space="preserve">joindre </w:t>
      </w:r>
      <w:r w:rsidR="00C4131D" w:rsidRPr="00804AC7">
        <w:t xml:space="preserve">au consensus </w:t>
      </w:r>
      <w:r w:rsidR="00FC676E" w:rsidRPr="00804AC7">
        <w:t xml:space="preserve">et de recommander l’inscription à condition </w:t>
      </w:r>
      <w:r w:rsidR="00C7268F" w:rsidRPr="00804AC7">
        <w:t xml:space="preserve">que ces considérations supplémentaires </w:t>
      </w:r>
      <w:r w:rsidR="00FC676E" w:rsidRPr="00804AC7">
        <w:t xml:space="preserve">soient notifiées </w:t>
      </w:r>
      <w:r w:rsidR="00C7268F" w:rsidRPr="00804AC7">
        <w:t xml:space="preserve">dans le projet de décision. De plus, </w:t>
      </w:r>
      <w:r w:rsidR="00FC676E" w:rsidRPr="00804AC7">
        <w:t xml:space="preserve">la formulation </w:t>
      </w:r>
      <w:r w:rsidR="00C7268F" w:rsidRPr="00804AC7">
        <w:t xml:space="preserve">proposée pour chaque critère est généralement plus détaillée et donc plus </w:t>
      </w:r>
      <w:r w:rsidR="00942ABB" w:rsidRPr="00804AC7">
        <w:t xml:space="preserve">longue que celle </w:t>
      </w:r>
      <w:r w:rsidR="00C7268F" w:rsidRPr="00804AC7">
        <w:t xml:space="preserve">des commentaires émis par les précédents organes, et ce pour </w:t>
      </w:r>
      <w:r w:rsidR="00FC676E" w:rsidRPr="00804AC7">
        <w:t xml:space="preserve">une </w:t>
      </w:r>
      <w:r w:rsidR="00C7268F" w:rsidRPr="00804AC7">
        <w:t xml:space="preserve">même raison : faciliter une possible resoumission ou </w:t>
      </w:r>
      <w:r w:rsidR="00942ABB" w:rsidRPr="00804AC7">
        <w:t xml:space="preserve">prendre acte de </w:t>
      </w:r>
      <w:r w:rsidR="00C7268F" w:rsidRPr="00804AC7">
        <w:t xml:space="preserve">certaines </w:t>
      </w:r>
      <w:r w:rsidR="00942ABB" w:rsidRPr="00804AC7">
        <w:t>qualités</w:t>
      </w:r>
      <w:r w:rsidR="00C7268F" w:rsidRPr="00804AC7">
        <w:t xml:space="preserve">. Chaque projet de décision constitue donc un tout composé avec minutie, accommodant les points de vue divers des différents membres, mais représentant </w:t>
      </w:r>
      <w:r w:rsidR="00942ABB" w:rsidRPr="00804AC7">
        <w:t xml:space="preserve">le consensus </w:t>
      </w:r>
      <w:r w:rsidR="00C7268F" w:rsidRPr="00804AC7">
        <w:t>de l’Organe d’évaluation</w:t>
      </w:r>
      <w:r w:rsidR="00942ABB" w:rsidRPr="00804AC7">
        <w:t xml:space="preserve"> dans son ensemble</w:t>
      </w:r>
      <w:r w:rsidR="00C7268F" w:rsidRPr="00804AC7">
        <w:t xml:space="preserve">. Une fois adoptée par le Comité, la décision, dans son intégralité, </w:t>
      </w:r>
      <w:r w:rsidR="00942ABB" w:rsidRPr="00804AC7">
        <w:t xml:space="preserve">revêt un caractère obligatoire </w:t>
      </w:r>
      <w:r w:rsidR="00C7268F" w:rsidRPr="00804AC7">
        <w:t>pour l’État partie.</w:t>
      </w:r>
      <w:r w:rsidR="009D0A7B">
        <w:t xml:space="preserve"> </w:t>
      </w:r>
      <w:r w:rsidR="001A6990">
        <w:t>Chaque État partie</w:t>
      </w:r>
      <w:r w:rsidR="009D0A7B">
        <w:t xml:space="preserve"> </w:t>
      </w:r>
      <w:r w:rsidR="001A6990">
        <w:t>est</w:t>
      </w:r>
      <w:r w:rsidR="00CE3440">
        <w:t xml:space="preserve"> vivement</w:t>
      </w:r>
      <w:r w:rsidR="009D0A7B">
        <w:t xml:space="preserve"> encouragé à prendre en compte toutes les remarques </w:t>
      </w:r>
      <w:r w:rsidR="00CE3440">
        <w:t>émises par le</w:t>
      </w:r>
      <w:r w:rsidR="009D0A7B">
        <w:t xml:space="preserve"> Comité et à les </w:t>
      </w:r>
      <w:r w:rsidR="00D56858" w:rsidRPr="00511AC0">
        <w:t>traiter</w:t>
      </w:r>
      <w:r w:rsidR="009D0A7B">
        <w:t xml:space="preserve"> dans </w:t>
      </w:r>
      <w:r w:rsidR="00D56858">
        <w:t>leurs</w:t>
      </w:r>
      <w:r w:rsidR="009D0A7B">
        <w:t xml:space="preserve"> rapports périodiques.</w:t>
      </w:r>
    </w:p>
    <w:p w:rsidR="00C7268F" w:rsidRDefault="00656DE4" w:rsidP="003E7E21">
      <w:pPr>
        <w:pStyle w:val="COMPara"/>
        <w:numPr>
          <w:ilvl w:val="0"/>
          <w:numId w:val="5"/>
        </w:numPr>
        <w:ind w:left="567" w:hanging="567"/>
        <w:jc w:val="both"/>
        <w:rPr>
          <w:rStyle w:val="hps"/>
        </w:rPr>
      </w:pPr>
      <w:r w:rsidRPr="00B86CF6">
        <w:rPr>
          <w:b/>
          <w:i/>
        </w:rPr>
        <w:t>Cohérence de l’évaluation au sein des dossiers et entre les dossiers.</w:t>
      </w:r>
      <w:r w:rsidR="00C7268F" w:rsidRPr="00804AC7">
        <w:t xml:space="preserve"> L</w:t>
      </w:r>
      <w:r w:rsidR="0075009E" w:rsidRPr="00804AC7">
        <w:t>ors de son évaluation, l</w:t>
      </w:r>
      <w:r w:rsidR="00C7268F" w:rsidRPr="00804AC7">
        <w:t xml:space="preserve">’Organe a procédé critère par critère. Toutefois, </w:t>
      </w:r>
      <w:r w:rsidR="0075009E" w:rsidRPr="00804AC7">
        <w:t xml:space="preserve">lorsqu’il a cherché à </w:t>
      </w:r>
      <w:r w:rsidR="00C7268F" w:rsidRPr="00804AC7">
        <w:t xml:space="preserve">déterminer si un critère particulier était satisfait, </w:t>
      </w:r>
      <w:r w:rsidR="0075009E" w:rsidRPr="00804AC7">
        <w:t xml:space="preserve">il a </w:t>
      </w:r>
      <w:r w:rsidR="00C7268F" w:rsidRPr="00804AC7">
        <w:t xml:space="preserve">été attentif à la cohérence globale du dossier dans son ensemble, tout en étant lié par la Décision 7.COM 11 en vertu de laquelle </w:t>
      </w:r>
      <w:r w:rsidR="0075009E" w:rsidRPr="00804AC7">
        <w:t>« </w:t>
      </w:r>
      <w:r w:rsidR="009B53E2" w:rsidRPr="00804AC7">
        <w:t>l’information placée dans les sections inadéquates de la candidature ne pourra pas être prise en cons</w:t>
      </w:r>
      <w:r w:rsidR="0010605C" w:rsidRPr="00804AC7">
        <w:t>id</w:t>
      </w:r>
      <w:r w:rsidR="009B53E2" w:rsidRPr="00804AC7">
        <w:t>ération</w:t>
      </w:r>
      <w:r w:rsidR="0075009E" w:rsidRPr="00804AC7">
        <w:t> </w:t>
      </w:r>
      <w:r w:rsidR="00C7268F" w:rsidRPr="00804AC7">
        <w:t xml:space="preserve">». </w:t>
      </w:r>
      <w:r w:rsidR="00567AE8" w:rsidRPr="00804AC7">
        <w:t xml:space="preserve">Cependant, comme expliqué ci-dessous </w:t>
      </w:r>
      <w:r w:rsidR="00C7268F" w:rsidRPr="00804AC7">
        <w:t xml:space="preserve">en référence à l’extrait d’inventaire, </w:t>
      </w:r>
      <w:r w:rsidR="00567AE8" w:rsidRPr="00804AC7">
        <w:t xml:space="preserve">des </w:t>
      </w:r>
      <w:r w:rsidR="00C7268F" w:rsidRPr="00804AC7">
        <w:t xml:space="preserve">informations contradictoires </w:t>
      </w:r>
      <w:r w:rsidR="001C151C">
        <w:t>d’une section à une autre</w:t>
      </w:r>
      <w:r w:rsidR="00567AE8" w:rsidRPr="00804AC7">
        <w:t xml:space="preserve"> n’ont pu </w:t>
      </w:r>
      <w:r w:rsidR="00C7268F" w:rsidRPr="00804AC7">
        <w:t xml:space="preserve">être ignorées dans la mesure où elles </w:t>
      </w:r>
      <w:r w:rsidR="001C151C" w:rsidRPr="00804AC7">
        <w:t>soulev</w:t>
      </w:r>
      <w:r w:rsidR="001C151C">
        <w:t>ai</w:t>
      </w:r>
      <w:r w:rsidR="001C151C" w:rsidRPr="00804AC7">
        <w:t>ent</w:t>
      </w:r>
      <w:r w:rsidR="00C7268F" w:rsidRPr="00804AC7">
        <w:t xml:space="preserve"> des doutes quant à leur exactitude et à leur cohérence. En outre, l’Organe a maintenu autant que </w:t>
      </w:r>
      <w:r w:rsidR="00567AE8" w:rsidRPr="00804AC7">
        <w:t>possible</w:t>
      </w:r>
      <w:r w:rsidR="00C7268F" w:rsidRPr="00804AC7">
        <w:t xml:space="preserve"> </w:t>
      </w:r>
      <w:r w:rsidR="00567AE8" w:rsidRPr="00804AC7">
        <w:t xml:space="preserve">une </w:t>
      </w:r>
      <w:r w:rsidR="00C7268F" w:rsidRPr="00804AC7">
        <w:rPr>
          <w:rStyle w:val="hps"/>
        </w:rPr>
        <w:t>cohérence entre tous les dossiers soumis</w:t>
      </w:r>
      <w:r w:rsidR="00C7268F" w:rsidRPr="00804AC7">
        <w:t xml:space="preserve"> </w:t>
      </w:r>
      <w:r w:rsidR="00567AE8" w:rsidRPr="00804AC7">
        <w:t>ainsi qu’</w:t>
      </w:r>
      <w:r w:rsidR="00C7268F" w:rsidRPr="00804AC7">
        <w:t xml:space="preserve">avec les évaluations des </w:t>
      </w:r>
      <w:r w:rsidR="00C7268F" w:rsidRPr="00804AC7">
        <w:rPr>
          <w:rStyle w:val="hps"/>
        </w:rPr>
        <w:t>précédents cycles.</w:t>
      </w:r>
    </w:p>
    <w:p w:rsidR="00C7268F" w:rsidRPr="00804AC7" w:rsidRDefault="00656DE4" w:rsidP="00B86CF6">
      <w:pPr>
        <w:pStyle w:val="COMPara"/>
        <w:numPr>
          <w:ilvl w:val="0"/>
          <w:numId w:val="5"/>
        </w:numPr>
        <w:ind w:left="567" w:hanging="567"/>
        <w:jc w:val="both"/>
      </w:pPr>
      <w:r w:rsidRPr="00B86CF6">
        <w:rPr>
          <w:b/>
          <w:i/>
        </w:rPr>
        <w:t>Cohérence avec les décisions antérieures du Comité.</w:t>
      </w:r>
      <w:r w:rsidR="00C7268F" w:rsidRPr="00804AC7">
        <w:rPr>
          <w:rStyle w:val="hps"/>
        </w:rPr>
        <w:t xml:space="preserve"> </w:t>
      </w:r>
      <w:r w:rsidR="00C7268F" w:rsidRPr="00804AC7">
        <w:t xml:space="preserve">Dans le cas de certains </w:t>
      </w:r>
      <w:r w:rsidR="00796BE6" w:rsidRPr="00804AC7">
        <w:t xml:space="preserve">dossiers </w:t>
      </w:r>
      <w:r w:rsidR="00C7268F" w:rsidRPr="00804AC7">
        <w:t xml:space="preserve">resoumis, l’Organe d’évaluation a rencontré des difficultés à réconcilier la cohérence de son approche avec les décisions </w:t>
      </w:r>
      <w:r w:rsidR="00796BE6" w:rsidRPr="00804AC7">
        <w:t xml:space="preserve">antérieures </w:t>
      </w:r>
      <w:r w:rsidR="00C7268F" w:rsidRPr="00804AC7">
        <w:t xml:space="preserve">du Comité, compte tenu </w:t>
      </w:r>
      <w:r w:rsidR="0091280B">
        <w:t>du fait que le</w:t>
      </w:r>
      <w:r w:rsidR="00C7268F" w:rsidRPr="00804AC7">
        <w:t xml:space="preserve"> patrimoine culturel immatériel</w:t>
      </w:r>
      <w:r w:rsidR="0091280B">
        <w:t xml:space="preserve"> est en constante évolution</w:t>
      </w:r>
      <w:r w:rsidR="00796BE6" w:rsidRPr="00804AC7">
        <w:t>. L</w:t>
      </w:r>
      <w:r w:rsidR="00C7268F" w:rsidRPr="00804AC7">
        <w:t xml:space="preserve">es inventaires </w:t>
      </w:r>
      <w:r w:rsidR="00796BE6" w:rsidRPr="00804AC7">
        <w:t xml:space="preserve">doivent être mis à jour </w:t>
      </w:r>
      <w:r w:rsidR="0091280B">
        <w:t>régulièrement</w:t>
      </w:r>
      <w:r w:rsidR="00C7268F" w:rsidRPr="00804AC7">
        <w:t xml:space="preserve"> et les mesures de sauvegarde </w:t>
      </w:r>
      <w:r w:rsidR="00796BE6" w:rsidRPr="00804AC7">
        <w:t xml:space="preserve">doivent être adaptées </w:t>
      </w:r>
      <w:r w:rsidR="00C7268F" w:rsidRPr="00804AC7">
        <w:t xml:space="preserve">aux circonstances réelles. Le fait de confirmer </w:t>
      </w:r>
      <w:r w:rsidR="00796BE6" w:rsidRPr="00804AC7">
        <w:t xml:space="preserve">strictement et mécaniquement </w:t>
      </w:r>
      <w:r w:rsidR="00C7268F" w:rsidRPr="00804AC7">
        <w:t xml:space="preserve">les décisions précédentes portant sur les inventaires et les mesures de sauvegarde </w:t>
      </w:r>
      <w:r w:rsidR="0091280B">
        <w:t>pourrait contribuer à figer</w:t>
      </w:r>
      <w:r w:rsidR="00C7268F" w:rsidRPr="00804AC7">
        <w:t xml:space="preserve"> l’élément, </w:t>
      </w:r>
      <w:r w:rsidR="00F87C93">
        <w:t>du fait du</w:t>
      </w:r>
      <w:r w:rsidR="00C7268F" w:rsidRPr="00804AC7">
        <w:t xml:space="preserve"> temps écoulé depuis la décision précédente. </w:t>
      </w:r>
      <w:r w:rsidR="00796BE6" w:rsidRPr="00804AC7">
        <w:t xml:space="preserve">Dans le </w:t>
      </w:r>
      <w:r w:rsidR="00C7268F" w:rsidRPr="00804AC7">
        <w:t xml:space="preserve">même temps, la jurisprudence du Comité évolue </w:t>
      </w:r>
      <w:r w:rsidR="00796BE6" w:rsidRPr="00804AC7">
        <w:t>également</w:t>
      </w:r>
      <w:r w:rsidR="00C7268F" w:rsidRPr="00804AC7">
        <w:t xml:space="preserve">, et ce qui avait pu être </w:t>
      </w:r>
      <w:r w:rsidR="00796BE6" w:rsidRPr="00804AC7">
        <w:t>in</w:t>
      </w:r>
      <w:r w:rsidR="00C7268F" w:rsidRPr="00804AC7">
        <w:t xml:space="preserve">défini autrefois peut parfois </w:t>
      </w:r>
      <w:r w:rsidR="00796BE6" w:rsidRPr="00804AC7">
        <w:t xml:space="preserve">ne plus </w:t>
      </w:r>
      <w:r w:rsidR="00C7268F" w:rsidRPr="00804AC7">
        <w:t xml:space="preserve">l’être aujourd’hui. </w:t>
      </w:r>
      <w:r w:rsidR="00796BE6" w:rsidRPr="00804AC7">
        <w:t>L</w:t>
      </w:r>
      <w:r w:rsidR="00C7268F" w:rsidRPr="00804AC7">
        <w:t xml:space="preserve">a nouvelle exigence portant sur l’extrait </w:t>
      </w:r>
      <w:r w:rsidR="00796BE6" w:rsidRPr="00804AC7">
        <w:t xml:space="preserve">pertinent </w:t>
      </w:r>
      <w:r w:rsidR="00C7268F" w:rsidRPr="00804AC7">
        <w:t xml:space="preserve">de </w:t>
      </w:r>
      <w:proofErr w:type="gramStart"/>
      <w:r w:rsidR="00C7268F" w:rsidRPr="00804AC7">
        <w:t>l’(</w:t>
      </w:r>
      <w:proofErr w:type="gramEnd"/>
      <w:r w:rsidR="00C7268F" w:rsidRPr="00804AC7">
        <w:t xml:space="preserve">des) inventaire(s) à fournir a </w:t>
      </w:r>
      <w:r w:rsidR="00796BE6" w:rsidRPr="00804AC7">
        <w:t xml:space="preserve">en particulier </w:t>
      </w:r>
      <w:r w:rsidR="00C7268F" w:rsidRPr="00804AC7">
        <w:t xml:space="preserve">engendré certains problèmes (voir plus bas). Après de longues discussions, les membres de l’Organe ont convenu d’accepter tous les critères précédemment approuvés dans les dossiers renvoyés si les informations fournies dans la nouvelle candidature restaient inchangées, respectant par </w:t>
      </w:r>
      <w:r w:rsidR="00796BE6" w:rsidRPr="00804AC7">
        <w:t xml:space="preserve">là même </w:t>
      </w:r>
      <w:r w:rsidR="00C7268F" w:rsidRPr="00804AC7">
        <w:t xml:space="preserve">les décisions du Comité en tant qu’organe </w:t>
      </w:r>
      <w:r w:rsidR="0091280B">
        <w:t>avec la plus haute autorité</w:t>
      </w:r>
      <w:r w:rsidR="00C7268F" w:rsidRPr="00804AC7">
        <w:t xml:space="preserve">, </w:t>
      </w:r>
      <w:r w:rsidR="00796BE6" w:rsidRPr="00804AC7">
        <w:t xml:space="preserve">tout </w:t>
      </w:r>
      <w:r w:rsidR="00C7268F" w:rsidRPr="00804AC7">
        <w:t xml:space="preserve">en </w:t>
      </w:r>
      <w:r w:rsidR="0091280B">
        <w:t xml:space="preserve">y </w:t>
      </w:r>
      <w:r w:rsidR="00C7268F" w:rsidRPr="00804AC7">
        <w:t>ajoutant</w:t>
      </w:r>
      <w:r w:rsidR="0091280B">
        <w:t>, le cas échéant,</w:t>
      </w:r>
      <w:r w:rsidR="00C7268F" w:rsidRPr="00804AC7">
        <w:t xml:space="preserve"> des recommandations et conseils spécifiques sur les critères déjà approuvés.</w:t>
      </w:r>
    </w:p>
    <w:p w:rsidR="00C7268F" w:rsidRDefault="00656DE4" w:rsidP="003E7E21">
      <w:pPr>
        <w:pStyle w:val="COMPara"/>
        <w:numPr>
          <w:ilvl w:val="0"/>
          <w:numId w:val="5"/>
        </w:numPr>
        <w:ind w:left="567" w:hanging="567"/>
        <w:jc w:val="both"/>
      </w:pPr>
      <w:r w:rsidRPr="00B86CF6">
        <w:rPr>
          <w:b/>
          <w:i/>
        </w:rPr>
        <w:t>Cohérence au sein des candidatures multinationales.</w:t>
      </w:r>
      <w:r w:rsidRPr="00B86CF6">
        <w:rPr>
          <w:b/>
        </w:rPr>
        <w:t xml:space="preserve"> </w:t>
      </w:r>
      <w:r w:rsidR="00BD72E8" w:rsidRPr="00804AC7">
        <w:t xml:space="preserve">Pour ce qui est des candidatures multinationales, et tout en reconnaissant la complexité de leur élaboration, l’Organe </w:t>
      </w:r>
      <w:r w:rsidR="00C7268F" w:rsidRPr="00804AC7">
        <w:t xml:space="preserve">d’évaluation a appliqué les mêmes règles d’évaluation que pour les candidatures nationales. Contrairement à un précédent lors d’un cycle passé, où une candidature avait été renvoyée à l’un des États soumissionnaires alors que les critères étaient considérés satisfaits pour les autres États soumissionnaires, l’Organe est d’avis que </w:t>
      </w:r>
      <w:r w:rsidR="00BD72E8" w:rsidRPr="00804AC7">
        <w:t xml:space="preserve">les </w:t>
      </w:r>
      <w:r w:rsidR="00C7268F" w:rsidRPr="00804AC7">
        <w:t>candidature</w:t>
      </w:r>
      <w:r w:rsidR="00BD72E8" w:rsidRPr="00804AC7">
        <w:t>s</w:t>
      </w:r>
      <w:r w:rsidR="00C7268F" w:rsidRPr="00804AC7">
        <w:t xml:space="preserve"> multinationale</w:t>
      </w:r>
      <w:r w:rsidR="00BD72E8" w:rsidRPr="00804AC7">
        <w:t>s</w:t>
      </w:r>
      <w:r w:rsidR="00C7268F" w:rsidRPr="00804AC7">
        <w:t xml:space="preserve">, qui </w:t>
      </w:r>
      <w:r w:rsidR="00BD72E8" w:rsidRPr="00804AC7">
        <w:t xml:space="preserve">font </w:t>
      </w:r>
      <w:r w:rsidR="00C7268F" w:rsidRPr="00804AC7">
        <w:t xml:space="preserve">appel au cœur même de la coopération internationale </w:t>
      </w:r>
      <w:r w:rsidR="00BD72E8" w:rsidRPr="00804AC7">
        <w:t xml:space="preserve">et du dialogue </w:t>
      </w:r>
      <w:r w:rsidR="00C7268F" w:rsidRPr="00804AC7">
        <w:t xml:space="preserve">entre cultures et communautés, </w:t>
      </w:r>
      <w:r w:rsidR="00BD72E8" w:rsidRPr="00804AC7">
        <w:t xml:space="preserve">doivent </w:t>
      </w:r>
      <w:r w:rsidR="008760A5">
        <w:t xml:space="preserve">être </w:t>
      </w:r>
      <w:r w:rsidR="00C7268F" w:rsidRPr="00804AC7">
        <w:t>évaluée</w:t>
      </w:r>
      <w:r w:rsidR="00BD72E8" w:rsidRPr="00804AC7">
        <w:t>s chacune</w:t>
      </w:r>
      <w:r w:rsidR="00C7268F" w:rsidRPr="00804AC7">
        <w:t xml:space="preserve"> comme un</w:t>
      </w:r>
      <w:r w:rsidR="008760A5">
        <w:t>e seule et même candidature.</w:t>
      </w:r>
      <w:r w:rsidR="00C7268F" w:rsidRPr="00804AC7">
        <w:t xml:space="preserve"> Ainsi, des informations manquantes </w:t>
      </w:r>
      <w:r w:rsidR="00BD72E8" w:rsidRPr="00804AC7">
        <w:t>de la part d’</w:t>
      </w:r>
      <w:r w:rsidR="00C7268F" w:rsidRPr="00804AC7">
        <w:t xml:space="preserve">un ou plusieurs États soumissionnaires affectent la candidature dans son ensemble. L’Organe considère que les candidatures multinationales doivent non seulement </w:t>
      </w:r>
      <w:r w:rsidR="00BD72E8" w:rsidRPr="00804AC7">
        <w:t>démontrer un</w:t>
      </w:r>
      <w:r w:rsidR="009F5773">
        <w:t xml:space="preserve"> accord entre des</w:t>
      </w:r>
      <w:r w:rsidR="009760A5">
        <w:t xml:space="preserve"> autorité</w:t>
      </w:r>
      <w:r w:rsidR="009F5773">
        <w:t>s</w:t>
      </w:r>
      <w:r w:rsidR="009760A5">
        <w:t xml:space="preserve"> nationale</w:t>
      </w:r>
      <w:r w:rsidR="009F5773">
        <w:t>s</w:t>
      </w:r>
      <w:r w:rsidR="00C7268F" w:rsidRPr="00804AC7">
        <w:t xml:space="preserve"> mais également </w:t>
      </w:r>
      <w:r w:rsidR="00BD72E8" w:rsidRPr="00804AC7">
        <w:t xml:space="preserve">la </w:t>
      </w:r>
      <w:r w:rsidR="00C7268F" w:rsidRPr="00804AC7">
        <w:t xml:space="preserve">conscience </w:t>
      </w:r>
      <w:r w:rsidR="00BD72E8" w:rsidRPr="00804AC7">
        <w:t xml:space="preserve">et l’accord </w:t>
      </w:r>
      <w:r w:rsidR="00C7268F" w:rsidRPr="00804AC7">
        <w:t xml:space="preserve">de l’ensemble des communautés concernées à propos de la nature partagée de l’élément proposé ainsi que de leur engagement à défendre le caractère multinational de la candidature. La candidature doit également </w:t>
      </w:r>
      <w:r w:rsidR="00BD72E8" w:rsidRPr="00804AC7">
        <w:t xml:space="preserve">démontrer </w:t>
      </w:r>
      <w:r w:rsidR="00C7268F" w:rsidRPr="00804AC7">
        <w:t>la participation active des communautés et leur coopération mutuelle dans l’élaboration</w:t>
      </w:r>
      <w:r w:rsidR="00BD72E8" w:rsidRPr="00804AC7">
        <w:t xml:space="preserve"> des mesures de sauvegarde</w:t>
      </w:r>
      <w:r w:rsidR="00C7268F" w:rsidRPr="00804AC7">
        <w:t>, puis dans l</w:t>
      </w:r>
      <w:r w:rsidR="00BD72E8" w:rsidRPr="00804AC7">
        <w:t>eur</w:t>
      </w:r>
      <w:r w:rsidR="00C7268F" w:rsidRPr="00804AC7">
        <w:t xml:space="preserve"> mise en œuvre. Qui plus est, </w:t>
      </w:r>
      <w:r w:rsidR="008760A5">
        <w:t>l’inclusion</w:t>
      </w:r>
      <w:r w:rsidR="008760A5" w:rsidRPr="00804AC7">
        <w:t xml:space="preserve"> </w:t>
      </w:r>
      <w:r w:rsidR="00C7268F" w:rsidRPr="00804AC7">
        <w:t xml:space="preserve">de tous les sous-groupes partageant une même pratique d’un côté </w:t>
      </w:r>
      <w:r w:rsidR="00783AA6" w:rsidRPr="00804AC7">
        <w:t>ou de</w:t>
      </w:r>
      <w:r w:rsidR="00C7268F" w:rsidRPr="00804AC7">
        <w:t xml:space="preserve"> l’autre des frontières nationales ne </w:t>
      </w:r>
      <w:proofErr w:type="gramStart"/>
      <w:r w:rsidR="008760A5">
        <w:t>devrait</w:t>
      </w:r>
      <w:proofErr w:type="gramEnd"/>
      <w:r w:rsidR="008760A5" w:rsidRPr="00804AC7">
        <w:t xml:space="preserve"> </w:t>
      </w:r>
      <w:r w:rsidR="00C7268F" w:rsidRPr="00804AC7">
        <w:t xml:space="preserve">pas être compromise, et les informations fournies par </w:t>
      </w:r>
      <w:r w:rsidR="008760A5">
        <w:t xml:space="preserve">les </w:t>
      </w:r>
      <w:r w:rsidR="00C7268F" w:rsidRPr="00804AC7">
        <w:t xml:space="preserve">différents pays </w:t>
      </w:r>
      <w:r w:rsidR="008760A5">
        <w:t>devraient</w:t>
      </w:r>
      <w:r w:rsidR="008760A5" w:rsidRPr="00804AC7">
        <w:t xml:space="preserve"> </w:t>
      </w:r>
      <w:r w:rsidR="00C7268F" w:rsidRPr="00804AC7">
        <w:t>être aussi équilibrées que possible.</w:t>
      </w:r>
    </w:p>
    <w:p w:rsidR="00C7268F" w:rsidRDefault="00656DE4" w:rsidP="003E7E21">
      <w:pPr>
        <w:pStyle w:val="COMPara"/>
        <w:numPr>
          <w:ilvl w:val="0"/>
          <w:numId w:val="5"/>
        </w:numPr>
        <w:ind w:left="567" w:hanging="567"/>
        <w:jc w:val="both"/>
      </w:pPr>
      <w:r w:rsidRPr="00B86CF6">
        <w:rPr>
          <w:b/>
          <w:i/>
        </w:rPr>
        <w:t xml:space="preserve">Évaluation de l’argumentation/démonstration versus simples </w:t>
      </w:r>
      <w:r w:rsidR="00B91311" w:rsidRPr="00B91311">
        <w:rPr>
          <w:b/>
          <w:i/>
        </w:rPr>
        <w:t>affirmations</w:t>
      </w:r>
      <w:r w:rsidRPr="00B86CF6">
        <w:rPr>
          <w:b/>
          <w:i/>
        </w:rPr>
        <w:t>.</w:t>
      </w:r>
      <w:r w:rsidR="00C7268F" w:rsidRPr="00B91311">
        <w:t xml:space="preserve"> Le besoin </w:t>
      </w:r>
      <w:r w:rsidR="00C9205A" w:rsidRPr="00B91311">
        <w:t xml:space="preserve">de fournir </w:t>
      </w:r>
      <w:r w:rsidR="00B91311" w:rsidRPr="00B91311">
        <w:t xml:space="preserve">des </w:t>
      </w:r>
      <w:r w:rsidR="00C7268F" w:rsidRPr="00B91311">
        <w:t>argument</w:t>
      </w:r>
      <w:r w:rsidR="00B91311" w:rsidRPr="00B91311">
        <w:t>ations</w:t>
      </w:r>
      <w:r w:rsidR="00C7268F" w:rsidRPr="00B91311">
        <w:t xml:space="preserve"> </w:t>
      </w:r>
      <w:r w:rsidR="00C9205A" w:rsidRPr="00B91311">
        <w:t xml:space="preserve">et </w:t>
      </w:r>
      <w:r w:rsidR="00B91311" w:rsidRPr="00B91311">
        <w:t xml:space="preserve">des </w:t>
      </w:r>
      <w:r w:rsidR="00C9205A" w:rsidRPr="00B91311">
        <w:t>démonstration</w:t>
      </w:r>
      <w:r w:rsidR="00B91311" w:rsidRPr="00B91311">
        <w:t>s</w:t>
      </w:r>
      <w:r w:rsidR="00C7268F" w:rsidRPr="00B91311">
        <w:t xml:space="preserve"> </w:t>
      </w:r>
      <w:r w:rsidR="00C9205A" w:rsidRPr="00B91311">
        <w:t xml:space="preserve">plutôt </w:t>
      </w:r>
      <w:r w:rsidR="00B91311" w:rsidRPr="00B91311">
        <w:t xml:space="preserve">que des </w:t>
      </w:r>
      <w:r w:rsidR="00C9205A" w:rsidRPr="00B91311">
        <w:t>simple</w:t>
      </w:r>
      <w:r w:rsidR="00B91311" w:rsidRPr="00B91311">
        <w:t>s</w:t>
      </w:r>
      <w:r w:rsidR="00C9205A" w:rsidRPr="00B91311">
        <w:t xml:space="preserve"> </w:t>
      </w:r>
      <w:r w:rsidR="00B91311" w:rsidRPr="00B91311">
        <w:t xml:space="preserve">affirmations </w:t>
      </w:r>
      <w:r w:rsidR="00C7268F" w:rsidRPr="00B91311">
        <w:t xml:space="preserve">a été </w:t>
      </w:r>
      <w:r w:rsidR="00B91311" w:rsidRPr="00B91311">
        <w:t xml:space="preserve">déclaré </w:t>
      </w:r>
      <w:r w:rsidR="00C7268F" w:rsidRPr="00B91311">
        <w:t xml:space="preserve">à maintes reprises par les organes précédents, comme l’expliquent </w:t>
      </w:r>
      <w:r w:rsidR="00C9205A" w:rsidRPr="00B91311">
        <w:t xml:space="preserve">en détails </w:t>
      </w:r>
      <w:r w:rsidR="00C7268F" w:rsidRPr="00B91311">
        <w:t xml:space="preserve">les </w:t>
      </w:r>
      <w:r w:rsidR="00C9205A" w:rsidRPr="00B91311">
        <w:t>Aide</w:t>
      </w:r>
      <w:r w:rsidR="00C7268F" w:rsidRPr="00B91311">
        <w:t xml:space="preserve">-mémoire. </w:t>
      </w:r>
      <w:r w:rsidR="00C9205A" w:rsidRPr="00B91311">
        <w:t xml:space="preserve">Du fait </w:t>
      </w:r>
      <w:r w:rsidR="00C7268F" w:rsidRPr="00B91311">
        <w:t xml:space="preserve">de son évaluation des </w:t>
      </w:r>
      <w:r w:rsidR="00C7268F" w:rsidRPr="00B91311">
        <w:rPr>
          <w:lang w:eastAsia="en-US" w:bidi="en-US"/>
        </w:rPr>
        <w:t>candidatures</w:t>
      </w:r>
      <w:r w:rsidR="00C7268F" w:rsidRPr="00B91311">
        <w:t xml:space="preserve"> sur les deux Listes, l’Organe a </w:t>
      </w:r>
      <w:r w:rsidR="00C9205A" w:rsidRPr="00B91311">
        <w:t xml:space="preserve">toutefois </w:t>
      </w:r>
      <w:r w:rsidR="00C7268F" w:rsidRPr="00B91311">
        <w:t>pu noter différentes pratiques passées concernant le degré de démonstration jugé acceptable</w:t>
      </w:r>
      <w:r w:rsidR="00C9205A" w:rsidRPr="00B91311">
        <w:t xml:space="preserve"> d’un critère à un autre</w:t>
      </w:r>
      <w:r w:rsidR="00C7268F" w:rsidRPr="00B91311">
        <w:t xml:space="preserve">. </w:t>
      </w:r>
      <w:r w:rsidRPr="00B86CF6">
        <w:t xml:space="preserve">Il </w:t>
      </w:r>
      <w:r w:rsidR="00B91311" w:rsidRPr="00B86CF6">
        <w:t>semble</w:t>
      </w:r>
      <w:r w:rsidRPr="00B86CF6">
        <w:t xml:space="preserve"> que la pratique </w:t>
      </w:r>
      <w:r w:rsidR="00B91311" w:rsidRPr="00B86CF6">
        <w:t xml:space="preserve">habituellement </w:t>
      </w:r>
      <w:r w:rsidRPr="00B86CF6">
        <w:t xml:space="preserve">suivie à l’égard du critère R.2 a permis à l’Organe </w:t>
      </w:r>
      <w:r w:rsidR="00B91311" w:rsidRPr="00B86CF6">
        <w:t xml:space="preserve">une approche plus souple que, par exemple, celle vis-à-vis du critère U.2. </w:t>
      </w:r>
      <w:r w:rsidR="00794BF9" w:rsidRPr="00B91311">
        <w:t xml:space="preserve">De même, les </w:t>
      </w:r>
      <w:r w:rsidR="00C7268F" w:rsidRPr="00B91311">
        <w:t xml:space="preserve">organes précédents ont </w:t>
      </w:r>
      <w:r w:rsidR="00C9205A" w:rsidRPr="00B91311">
        <w:t>fait preuve</w:t>
      </w:r>
      <w:r w:rsidR="00B91311" w:rsidRPr="00B91311">
        <w:t xml:space="preserve">, </w:t>
      </w:r>
      <w:r w:rsidR="00B91311" w:rsidRPr="00B91311">
        <w:rPr>
          <w:rStyle w:val="hps"/>
        </w:rPr>
        <w:t>au fil du temps,</w:t>
      </w:r>
      <w:r w:rsidR="00C7268F" w:rsidRPr="00B91311">
        <w:t xml:space="preserve"> </w:t>
      </w:r>
      <w:r w:rsidR="00C9205A" w:rsidRPr="00B91311">
        <w:t xml:space="preserve">d’une flexibilité importante concernant la </w:t>
      </w:r>
      <w:r w:rsidR="00B91311" w:rsidRPr="00B91311">
        <w:t xml:space="preserve">démonstration </w:t>
      </w:r>
      <w:r w:rsidR="00C9205A" w:rsidRPr="00B91311">
        <w:t>de la conformi</w:t>
      </w:r>
      <w:r w:rsidR="0010605C" w:rsidRPr="00B91311">
        <w:t>té</w:t>
      </w:r>
      <w:r w:rsidR="00C9205A" w:rsidRPr="00B91311">
        <w:t xml:space="preserve"> </w:t>
      </w:r>
      <w:r w:rsidR="00B91311" w:rsidRPr="00B91311">
        <w:t>d’un inventaire aux</w:t>
      </w:r>
      <w:r w:rsidR="00C9205A" w:rsidRPr="00B91311">
        <w:t xml:space="preserve"> articles </w:t>
      </w:r>
      <w:r w:rsidR="00C7268F" w:rsidRPr="00B91311">
        <w:t xml:space="preserve">11 et 12 de la Convention (critère U.5/R.5). </w:t>
      </w:r>
      <w:r w:rsidR="00794BF9" w:rsidRPr="00B91311">
        <w:t>L</w:t>
      </w:r>
      <w:r w:rsidR="00B91311">
        <w:t xml:space="preserve">’actuelle </w:t>
      </w:r>
      <w:r w:rsidR="00794BF9" w:rsidRPr="00B91311">
        <w:t xml:space="preserve">mise à disposition </w:t>
      </w:r>
      <w:r w:rsidR="00C7268F" w:rsidRPr="00B91311">
        <w:t>d’un extrait pertinent d</w:t>
      </w:r>
      <w:r w:rsidR="009955DF">
        <w:t xml:space="preserve">’un </w:t>
      </w:r>
      <w:r w:rsidR="00C7268F" w:rsidRPr="00B91311">
        <w:t xml:space="preserve">inventaire en anglais ou en français </w:t>
      </w:r>
      <w:r w:rsidR="00C9205A" w:rsidRPr="00B91311">
        <w:t xml:space="preserve">fait </w:t>
      </w:r>
      <w:r w:rsidR="00C7268F" w:rsidRPr="00B91311">
        <w:t xml:space="preserve">parfois </w:t>
      </w:r>
      <w:r w:rsidR="00C9205A" w:rsidRPr="00B91311">
        <w:t xml:space="preserve">apparaître </w:t>
      </w:r>
      <w:r w:rsidR="00C7268F" w:rsidRPr="00B91311">
        <w:t xml:space="preserve">que la conformité </w:t>
      </w:r>
      <w:r w:rsidR="009955DF">
        <w:t xml:space="preserve">exigée </w:t>
      </w:r>
      <w:r w:rsidR="00C7268F" w:rsidRPr="00B91311">
        <w:t xml:space="preserve">est </w:t>
      </w:r>
      <w:r w:rsidR="00C9205A" w:rsidRPr="00B91311">
        <w:t>seulement déclarative</w:t>
      </w:r>
      <w:r w:rsidR="00C7268F" w:rsidRPr="00B91311">
        <w:t xml:space="preserve">, </w:t>
      </w:r>
      <w:r w:rsidR="00C9205A" w:rsidRPr="00B91311">
        <w:t>sans preuve de sa mise en œuvre réelle</w:t>
      </w:r>
      <w:r w:rsidR="00C7268F" w:rsidRPr="00B91311">
        <w:t xml:space="preserve">. Des recommandations spécifiques sur </w:t>
      </w:r>
      <w:r w:rsidR="009955DF">
        <w:t>la manière</w:t>
      </w:r>
      <w:r w:rsidR="00C7268F" w:rsidRPr="00B91311">
        <w:t xml:space="preserve"> de combler </w:t>
      </w:r>
      <w:r w:rsidR="00C9205A" w:rsidRPr="00B91311">
        <w:t xml:space="preserve">ces lacunes dans les </w:t>
      </w:r>
      <w:r w:rsidR="00C7268F" w:rsidRPr="00B91311">
        <w:t xml:space="preserve">candidatures soumises – </w:t>
      </w:r>
      <w:r w:rsidR="00C9205A" w:rsidRPr="00B91311">
        <w:t xml:space="preserve">et par conséquent </w:t>
      </w:r>
      <w:r w:rsidR="00C7268F" w:rsidRPr="00B91311">
        <w:t>dans leur évaluation – sont proposées ci-dessous</w:t>
      </w:r>
      <w:r w:rsidR="00C9205A" w:rsidRPr="00B91311">
        <w:t xml:space="preserve">, sachant que </w:t>
      </w:r>
      <w:r w:rsidR="003404E9" w:rsidRPr="00B91311">
        <w:t>pour</w:t>
      </w:r>
      <w:r w:rsidR="00C7268F" w:rsidRPr="00B91311">
        <w:t xml:space="preserve"> le présent cycle, les membres de l’Organe d’évaluation ont convenu de suivre les pratiques de leurs prédécesseurs.</w:t>
      </w:r>
    </w:p>
    <w:p w:rsidR="00C7268F" w:rsidRPr="00804AC7" w:rsidRDefault="00656DE4" w:rsidP="00B86CF6">
      <w:pPr>
        <w:pStyle w:val="COMPara"/>
        <w:numPr>
          <w:ilvl w:val="0"/>
          <w:numId w:val="5"/>
        </w:numPr>
        <w:ind w:left="567" w:hanging="567"/>
        <w:jc w:val="both"/>
      </w:pPr>
      <w:r w:rsidRPr="00B86CF6">
        <w:rPr>
          <w:b/>
          <w:i/>
        </w:rPr>
        <w:t>Option de renvoi.</w:t>
      </w:r>
      <w:r w:rsidR="00C7268F" w:rsidRPr="00804AC7">
        <w:t xml:space="preserve"> L’Organe d’évaluation accueille avec satisfaction la décision du Comité</w:t>
      </w:r>
      <w:r w:rsidR="00166FEA">
        <w:t>, concernant la Liste représentative,</w:t>
      </w:r>
      <w:r w:rsidR="00C7268F" w:rsidRPr="00804AC7">
        <w:t xml:space="preserve"> de considérer que </w:t>
      </w:r>
      <w:r w:rsidR="00074B22" w:rsidRPr="00804AC7">
        <w:t>« </w:t>
      </w:r>
      <w:r w:rsidR="00C7268F" w:rsidRPr="00804AC7">
        <w:t xml:space="preserve">l’option de renvoi devrait être utilisée dans le cas de manque d’informations, qu’il s’agisse d’informations de </w:t>
      </w:r>
      <w:r w:rsidR="00C7268F" w:rsidRPr="00F016A0">
        <w:rPr>
          <w:lang w:eastAsia="en-US" w:bidi="en-US"/>
        </w:rPr>
        <w:t>nature</w:t>
      </w:r>
      <w:r w:rsidR="00C7268F" w:rsidRPr="00804AC7">
        <w:t xml:space="preserve"> technique ou substantielle, dans les candidatures</w:t>
      </w:r>
      <w:r w:rsidR="00074B22" w:rsidRPr="00804AC7">
        <w:t> </w:t>
      </w:r>
      <w:r w:rsidR="00C7268F" w:rsidRPr="00804AC7">
        <w:t xml:space="preserve">» (Décision 9.COM 13.c). Une recommandation défavorable a ainsi été appliquée uniquement en cas de problèmes graves, tels qu’une </w:t>
      </w:r>
      <w:r w:rsidR="00074B22" w:rsidRPr="00804AC7">
        <w:t xml:space="preserve">sérieuse inadéquation avec </w:t>
      </w:r>
      <w:r w:rsidR="00C7268F" w:rsidRPr="00804AC7">
        <w:t>des principes et objectifs élémentaires de la Convention</w:t>
      </w:r>
      <w:r w:rsidR="00074B22" w:rsidRPr="00804AC7">
        <w:t xml:space="preserve">, </w:t>
      </w:r>
      <w:r w:rsidR="00C7268F" w:rsidRPr="00804AC7">
        <w:t xml:space="preserve">un </w:t>
      </w:r>
      <w:r w:rsidR="00074B22" w:rsidRPr="00804AC7">
        <w:t xml:space="preserve">seul </w:t>
      </w:r>
      <w:r w:rsidR="00C7268F" w:rsidRPr="00804AC7">
        <w:t xml:space="preserve">dossier </w:t>
      </w:r>
      <w:r w:rsidR="00074B22" w:rsidRPr="00804AC7">
        <w:t xml:space="preserve">étant dans ce cas </w:t>
      </w:r>
      <w:r w:rsidR="00C7268F" w:rsidRPr="00804AC7">
        <w:t xml:space="preserve">dans le présent cycle. Dans le cas d’une autre candidature pour laquelle aucun des critères </w:t>
      </w:r>
      <w:r w:rsidR="00074B22" w:rsidRPr="00804AC7">
        <w:t xml:space="preserve">n’a été considéré </w:t>
      </w:r>
      <w:r w:rsidR="00C7268F" w:rsidRPr="00804AC7">
        <w:t>rempli, l’Organe a toutefois opté pour le renvoi. Il a justifié son choix par le fait que l’initiative provenait de la communauté elle-même et que l’État soumissionnaire méritait des encouragements, afin de prêter plus d’attention à ce dossier</w:t>
      </w:r>
      <w:r w:rsidR="00074B22" w:rsidRPr="00804AC7">
        <w:t>,</w:t>
      </w:r>
      <w:r w:rsidR="00C7268F" w:rsidRPr="00804AC7">
        <w:t xml:space="preserve"> qui constituait pour lui une première candidature. Une candidature pour un élément émanant d’un État partie durement touché par un conflit récent a également été renvoyée plutôt que déclinée, afin d’envoyer un signal encourageant à l’État soumissionnaire pour sa première candidature.</w:t>
      </w:r>
    </w:p>
    <w:p w:rsidR="00C7268F" w:rsidRPr="00804AC7" w:rsidRDefault="00656DE4" w:rsidP="00B86CF6">
      <w:pPr>
        <w:pStyle w:val="COMPara"/>
        <w:numPr>
          <w:ilvl w:val="0"/>
          <w:numId w:val="5"/>
        </w:numPr>
        <w:ind w:left="567" w:hanging="567"/>
        <w:jc w:val="both"/>
      </w:pPr>
      <w:r w:rsidRPr="00B86CF6">
        <w:rPr>
          <w:b/>
          <w:i/>
        </w:rPr>
        <w:t>Approches novatrices pour les demandes d’assistance internationale.</w:t>
      </w:r>
      <w:r w:rsidR="00C7268F" w:rsidRPr="00804AC7">
        <w:rPr>
          <w:i/>
        </w:rPr>
        <w:t xml:space="preserve"> </w:t>
      </w:r>
      <w:r w:rsidR="002524AF">
        <w:t>Concernant le</w:t>
      </w:r>
      <w:r w:rsidR="00C7268F" w:rsidRPr="00804AC7">
        <w:t xml:space="preserve"> mécanisme d’assistance internationale</w:t>
      </w:r>
      <w:r w:rsidR="00216B7C" w:rsidRPr="00804AC7">
        <w:t>,</w:t>
      </w:r>
      <w:r w:rsidR="00C7268F" w:rsidRPr="00804AC7">
        <w:t xml:space="preserve"> </w:t>
      </w:r>
      <w:r w:rsidR="002524AF">
        <w:t xml:space="preserve">l’Organe d’évaluation </w:t>
      </w:r>
      <w:r w:rsidR="00E05702">
        <w:t>a</w:t>
      </w:r>
      <w:r w:rsidR="002524AF">
        <w:t xml:space="preserve"> </w:t>
      </w:r>
      <w:r w:rsidR="00E05702">
        <w:t xml:space="preserve">de nouveau été </w:t>
      </w:r>
      <w:r w:rsidR="002524AF">
        <w:t xml:space="preserve">confronté </w:t>
      </w:r>
      <w:r w:rsidR="00C7268F" w:rsidRPr="00804AC7">
        <w:t xml:space="preserve">au manque d’informations essentielles </w:t>
      </w:r>
      <w:r w:rsidR="00216B7C" w:rsidRPr="00804AC7">
        <w:t>dans</w:t>
      </w:r>
      <w:r w:rsidR="00C7268F" w:rsidRPr="00804AC7">
        <w:t xml:space="preserve"> les demandes</w:t>
      </w:r>
      <w:r w:rsidR="002524AF">
        <w:t xml:space="preserve">. </w:t>
      </w:r>
      <w:r w:rsidR="002524AF">
        <w:rPr>
          <w:rStyle w:val="hps"/>
        </w:rPr>
        <w:t>Compte tenu de l’</w:t>
      </w:r>
      <w:r w:rsidR="002524AF">
        <w:t xml:space="preserve">importance de ce mécanisme </w:t>
      </w:r>
      <w:r w:rsidR="002524AF">
        <w:rPr>
          <w:rStyle w:val="hps"/>
        </w:rPr>
        <w:t>pour atteindre les objectifs</w:t>
      </w:r>
      <w:r w:rsidR="002524AF">
        <w:t xml:space="preserve"> </w:t>
      </w:r>
      <w:r w:rsidR="002524AF">
        <w:rPr>
          <w:rStyle w:val="hps"/>
        </w:rPr>
        <w:t>de</w:t>
      </w:r>
      <w:r w:rsidR="002524AF">
        <w:t xml:space="preserve"> </w:t>
      </w:r>
      <w:r w:rsidR="002524AF">
        <w:rPr>
          <w:rStyle w:val="hps"/>
        </w:rPr>
        <w:t>la Convention</w:t>
      </w:r>
      <w:r w:rsidR="002524AF">
        <w:t xml:space="preserve">, l’Organe </w:t>
      </w:r>
      <w:r w:rsidR="002524AF">
        <w:rPr>
          <w:rStyle w:val="hps"/>
        </w:rPr>
        <w:t>d</w:t>
      </w:r>
      <w:r w:rsidR="00B102D6">
        <w:rPr>
          <w:rStyle w:val="hps"/>
        </w:rPr>
        <w:t>’</w:t>
      </w:r>
      <w:r w:rsidR="002524AF">
        <w:rPr>
          <w:rStyle w:val="hps"/>
        </w:rPr>
        <w:t>évaluation</w:t>
      </w:r>
      <w:r w:rsidR="002524AF" w:rsidRPr="00804AC7">
        <w:t xml:space="preserve"> </w:t>
      </w:r>
      <w:r w:rsidR="00C7268F" w:rsidRPr="00804AC7">
        <w:t xml:space="preserve">a envisagé différentes façons d’obtenir des informations supplémentaires et des corrections dans un délai relativement </w:t>
      </w:r>
      <w:r w:rsidR="00216B7C" w:rsidRPr="00804AC7">
        <w:t>court, y compris</w:t>
      </w:r>
      <w:r w:rsidR="00C7268F" w:rsidRPr="00804AC7">
        <w:t xml:space="preserve"> une aide significative </w:t>
      </w:r>
      <w:r w:rsidR="00216B7C" w:rsidRPr="00804AC7">
        <w:t>du</w:t>
      </w:r>
      <w:r w:rsidR="00C7268F" w:rsidRPr="00804AC7">
        <w:t xml:space="preserve"> Secrétariat </w:t>
      </w:r>
      <w:r w:rsidR="00216B7C" w:rsidRPr="00804AC7">
        <w:t>et</w:t>
      </w:r>
      <w:r w:rsidR="009D0A7B">
        <w:t>/</w:t>
      </w:r>
      <w:r w:rsidR="00C7268F" w:rsidRPr="00804AC7">
        <w:t xml:space="preserve">ou </w:t>
      </w:r>
      <w:r w:rsidR="00216B7C" w:rsidRPr="00804AC7">
        <w:t>d’</w:t>
      </w:r>
      <w:r w:rsidR="00C7268F" w:rsidRPr="00804AC7">
        <w:t>un expert</w:t>
      </w:r>
      <w:r w:rsidR="00216B7C" w:rsidRPr="00804AC7">
        <w:t xml:space="preserve">, </w:t>
      </w:r>
      <w:r w:rsidR="00C7268F" w:rsidRPr="00804AC7">
        <w:t xml:space="preserve">et </w:t>
      </w:r>
      <w:r w:rsidR="00216B7C" w:rsidRPr="00804AC7">
        <w:t xml:space="preserve">la délégation par </w:t>
      </w:r>
      <w:r w:rsidR="00C7268F" w:rsidRPr="00804AC7">
        <w:t>le Comité de son autorité décisionnelle au Bureau. Des recommandations concrètes sont incluses dans les projets de décision respectifs.</w:t>
      </w:r>
    </w:p>
    <w:p w:rsidR="00C7268F" w:rsidRPr="00804AC7" w:rsidRDefault="00C7268F" w:rsidP="00F016A0">
      <w:pPr>
        <w:pStyle w:val="DocMain"/>
        <w:keepNext/>
        <w:tabs>
          <w:tab w:val="left" w:pos="567"/>
        </w:tabs>
        <w:spacing w:after="120"/>
        <w:ind w:left="567" w:firstLine="0"/>
        <w:rPr>
          <w:b/>
        </w:rPr>
      </w:pPr>
      <w:r w:rsidRPr="00804AC7">
        <w:rPr>
          <w:b/>
        </w:rPr>
        <w:t xml:space="preserve">Aperçu des </w:t>
      </w:r>
      <w:r w:rsidR="00C27F02" w:rsidRPr="00804AC7">
        <w:rPr>
          <w:b/>
        </w:rPr>
        <w:t>dossiers</w:t>
      </w:r>
    </w:p>
    <w:p w:rsidR="00C7268F" w:rsidRPr="00804AC7" w:rsidRDefault="00656DE4" w:rsidP="00B86CF6">
      <w:pPr>
        <w:pStyle w:val="COMPara"/>
        <w:numPr>
          <w:ilvl w:val="0"/>
          <w:numId w:val="5"/>
        </w:numPr>
        <w:ind w:left="567" w:hanging="567"/>
        <w:jc w:val="both"/>
      </w:pPr>
      <w:r w:rsidRPr="00B86CF6">
        <w:rPr>
          <w:b/>
          <w:i/>
        </w:rPr>
        <w:t>Diversité du patrimoine.</w:t>
      </w:r>
      <w:r w:rsidR="00C7268F" w:rsidRPr="00804AC7">
        <w:t xml:space="preserve"> Comme cela </w:t>
      </w:r>
      <w:r w:rsidR="00C27F02" w:rsidRPr="00804AC7">
        <w:t xml:space="preserve">a été </w:t>
      </w:r>
      <w:r w:rsidR="00C7268F" w:rsidRPr="00804AC7">
        <w:t xml:space="preserve">déjà le cas lors des cycles précédents, les </w:t>
      </w:r>
      <w:r w:rsidR="00C27F02" w:rsidRPr="00804AC7">
        <w:t xml:space="preserve">dossiers </w:t>
      </w:r>
      <w:r w:rsidR="00C7268F" w:rsidRPr="00804AC7">
        <w:t xml:space="preserve">soumis témoignent de la grande </w:t>
      </w:r>
      <w:r w:rsidR="00C27F02" w:rsidRPr="00804AC7">
        <w:t xml:space="preserve">diversité </w:t>
      </w:r>
      <w:r w:rsidR="00C7268F" w:rsidRPr="00804AC7">
        <w:t xml:space="preserve">des expressions et pratiques </w:t>
      </w:r>
      <w:r w:rsidR="00C27F02" w:rsidRPr="00804AC7">
        <w:t xml:space="preserve">faisant partie d’un ou plusieurs domaines </w:t>
      </w:r>
      <w:r w:rsidR="00C7268F" w:rsidRPr="00804AC7">
        <w:t xml:space="preserve">du patrimoine culturel immatériel, </w:t>
      </w:r>
      <w:r w:rsidR="009972AA" w:rsidRPr="00804AC7">
        <w:t xml:space="preserve">ainsi que celles qui </w:t>
      </w:r>
      <w:r w:rsidR="009972AA" w:rsidRPr="00F016A0">
        <w:rPr>
          <w:lang w:eastAsia="en-US" w:bidi="en-US"/>
        </w:rPr>
        <w:t xml:space="preserve">démontrent </w:t>
      </w:r>
      <w:r w:rsidR="00C7268F" w:rsidRPr="00804AC7">
        <w:t xml:space="preserve">le lien étroit qui existe entre patrimoine immatériel et </w:t>
      </w:r>
      <w:r w:rsidR="009972AA" w:rsidRPr="00804AC7">
        <w:t xml:space="preserve">patrimoine </w:t>
      </w:r>
      <w:r w:rsidR="00C7268F" w:rsidRPr="00804AC7">
        <w:t>matériel</w:t>
      </w:r>
      <w:r w:rsidR="007004C9">
        <w:t xml:space="preserve">, la nature dynamique du patrimoine culturel immatériel dans des contextes urbains et ruraux et l’interaction entre </w:t>
      </w:r>
      <w:r w:rsidR="00C749D5">
        <w:t xml:space="preserve">les êtres humains </w:t>
      </w:r>
      <w:r w:rsidR="00A958EF">
        <w:t xml:space="preserve">et leur </w:t>
      </w:r>
      <w:r w:rsidR="007004C9">
        <w:t>environnement naturel</w:t>
      </w:r>
      <w:r w:rsidR="00C7268F" w:rsidRPr="00804AC7">
        <w:t xml:space="preserve">. Nombre de ces expressions et pratiques illustrent le lien entre le patrimoine culturel immatériel et les préoccupations relatives au développement durable, </w:t>
      </w:r>
      <w:r w:rsidR="009972AA" w:rsidRPr="00804AC7">
        <w:t xml:space="preserve">y compris </w:t>
      </w:r>
      <w:r w:rsidR="00C7268F" w:rsidRPr="00804AC7">
        <w:t xml:space="preserve">son usage face aux problématiques économiques et environnementales actuelles. D’autres candidatures </w:t>
      </w:r>
      <w:r w:rsidR="00A159C1" w:rsidRPr="00804AC7">
        <w:t>mettent</w:t>
      </w:r>
      <w:r w:rsidR="00C7268F" w:rsidRPr="00804AC7">
        <w:t xml:space="preserve"> en évidence la relation entre patrimoine culturel immatériel et sports organisés, l’interaction entre l’homme et l’animal</w:t>
      </w:r>
      <w:r w:rsidR="00A159C1" w:rsidRPr="00804AC7">
        <w:t>,</w:t>
      </w:r>
      <w:r w:rsidR="00C7268F" w:rsidRPr="00804AC7">
        <w:t xml:space="preserve"> et d’autres sujets complexes. Les dossiers proposés ont également fait apparaître la </w:t>
      </w:r>
      <w:r w:rsidR="00A159C1" w:rsidRPr="00804AC7">
        <w:t xml:space="preserve">grande variété </w:t>
      </w:r>
      <w:r w:rsidR="00C7268F" w:rsidRPr="00804AC7">
        <w:t xml:space="preserve">des communautés et des groupes impliqués dans la transmission et la pratique du patrimoine culturel immatériel </w:t>
      </w:r>
      <w:r w:rsidR="00080205">
        <w:t>tels que</w:t>
      </w:r>
      <w:r w:rsidR="00C7268F" w:rsidRPr="00804AC7">
        <w:t xml:space="preserve"> détenteurs, praticiens, </w:t>
      </w:r>
      <w:r w:rsidR="00A159C1" w:rsidRPr="00804AC7">
        <w:t>dépositaires de savoirs</w:t>
      </w:r>
      <w:r w:rsidR="00C7268F" w:rsidRPr="00804AC7">
        <w:t xml:space="preserve">, parties prenantes et </w:t>
      </w:r>
      <w:r w:rsidR="00A159C1" w:rsidRPr="00804AC7">
        <w:t>audience</w:t>
      </w:r>
      <w:r w:rsidR="00C7268F" w:rsidRPr="00804AC7">
        <w:t xml:space="preserve">, </w:t>
      </w:r>
      <w:r w:rsidR="00A159C1" w:rsidRPr="00804AC7">
        <w:t>y compris l</w:t>
      </w:r>
      <w:r w:rsidR="00C7268F" w:rsidRPr="00804AC7">
        <w:t xml:space="preserve">es minorités et </w:t>
      </w:r>
      <w:r w:rsidR="00A159C1" w:rsidRPr="00804AC7">
        <w:t>l</w:t>
      </w:r>
      <w:r w:rsidR="00C7268F" w:rsidRPr="00804AC7">
        <w:t xml:space="preserve">es peuples autochtones, </w:t>
      </w:r>
      <w:r w:rsidR="00A159C1" w:rsidRPr="00804AC7">
        <w:t>l</w:t>
      </w:r>
      <w:r w:rsidR="00C7268F" w:rsidRPr="00804AC7">
        <w:t xml:space="preserve">es femmes, </w:t>
      </w:r>
      <w:r w:rsidR="00A159C1" w:rsidRPr="00804AC7">
        <w:t>l</w:t>
      </w:r>
      <w:r w:rsidR="00C7268F" w:rsidRPr="00804AC7">
        <w:t xml:space="preserve">es jeunes, </w:t>
      </w:r>
      <w:r w:rsidR="00A159C1" w:rsidRPr="00804AC7">
        <w:t>l</w:t>
      </w:r>
      <w:r w:rsidR="00C7268F" w:rsidRPr="00804AC7">
        <w:t xml:space="preserve">es enfants et des groupes et communautés </w:t>
      </w:r>
      <w:r w:rsidR="00080205">
        <w:t>autrement négligés</w:t>
      </w:r>
      <w:r w:rsidR="00080205" w:rsidRPr="00804AC7">
        <w:t xml:space="preserve"> </w:t>
      </w:r>
      <w:r w:rsidR="00A159C1" w:rsidRPr="00804AC7">
        <w:t xml:space="preserve">ou </w:t>
      </w:r>
      <w:r w:rsidR="0091512F">
        <w:t>marginalisés</w:t>
      </w:r>
      <w:r w:rsidR="00C7268F" w:rsidRPr="00804AC7">
        <w:t>.</w:t>
      </w:r>
    </w:p>
    <w:p w:rsidR="00C7268F" w:rsidRPr="00804AC7" w:rsidRDefault="00656DE4" w:rsidP="00B86CF6">
      <w:pPr>
        <w:pStyle w:val="COMPara"/>
        <w:numPr>
          <w:ilvl w:val="0"/>
          <w:numId w:val="5"/>
        </w:numPr>
        <w:ind w:left="567" w:hanging="567"/>
        <w:jc w:val="both"/>
      </w:pPr>
      <w:r w:rsidRPr="00B86CF6">
        <w:rPr>
          <w:b/>
          <w:i/>
        </w:rPr>
        <w:t>Équilibre entre régions géographiques et hausse du nombre de candidatures multinationales.</w:t>
      </w:r>
      <w:r w:rsidR="00C7268F" w:rsidRPr="00804AC7">
        <w:t xml:space="preserve"> L’Organe </w:t>
      </w:r>
      <w:r w:rsidR="00C7268F" w:rsidRPr="00F016A0">
        <w:rPr>
          <w:lang w:eastAsia="en-US" w:bidi="en-US"/>
        </w:rPr>
        <w:t>d’évaluation</w:t>
      </w:r>
      <w:r w:rsidR="00C7268F" w:rsidRPr="00804AC7">
        <w:t xml:space="preserve"> </w:t>
      </w:r>
      <w:r w:rsidR="00314F6E" w:rsidRPr="00804AC7">
        <w:t xml:space="preserve">est aussi heureux </w:t>
      </w:r>
      <w:r w:rsidR="00C7268F" w:rsidRPr="00804AC7">
        <w:t xml:space="preserve">de noter que la représentation géographique des dossiers soumis reste équilibrée. Chaque groupe électoral est représenté par </w:t>
      </w:r>
      <w:r w:rsidR="00314F6E" w:rsidRPr="00804AC7">
        <w:t xml:space="preserve">un à deux </w:t>
      </w:r>
      <w:r w:rsidR="00C7268F" w:rsidRPr="00804AC7">
        <w:t xml:space="preserve">dossiers </w:t>
      </w:r>
      <w:r w:rsidR="00314F6E" w:rsidRPr="00804AC7">
        <w:t>soumis</w:t>
      </w:r>
      <w:r w:rsidR="00C7268F" w:rsidRPr="00804AC7">
        <w:t xml:space="preserve"> </w:t>
      </w:r>
      <w:r w:rsidR="00314F6E" w:rsidRPr="00804AC7">
        <w:t xml:space="preserve">à </w:t>
      </w:r>
      <w:r w:rsidR="00C7268F" w:rsidRPr="00804AC7">
        <w:t xml:space="preserve">la Liste de sauvegarde urgente et trois </w:t>
      </w:r>
      <w:r w:rsidR="00314F6E" w:rsidRPr="00804AC7">
        <w:t>ou plus à</w:t>
      </w:r>
      <w:r w:rsidR="00C7268F" w:rsidRPr="00804AC7">
        <w:t xml:space="preserve"> la Liste représentative. La </w:t>
      </w:r>
      <w:r w:rsidR="00314F6E" w:rsidRPr="00804AC7">
        <w:t xml:space="preserve">hausse du nombre </w:t>
      </w:r>
      <w:r w:rsidR="00C7268F" w:rsidRPr="00804AC7">
        <w:t xml:space="preserve">de candidatures multinationales </w:t>
      </w:r>
      <w:r w:rsidR="00126457" w:rsidRPr="00804AC7">
        <w:t>à</w:t>
      </w:r>
      <w:r w:rsidR="00C7268F" w:rsidRPr="00804AC7">
        <w:t xml:space="preserve"> la Liste représentative peut être </w:t>
      </w:r>
      <w:r w:rsidR="00126457" w:rsidRPr="00804AC7">
        <w:t xml:space="preserve">comprise </w:t>
      </w:r>
      <w:r w:rsidR="00C7268F" w:rsidRPr="00804AC7">
        <w:t xml:space="preserve">comme une expression de la volonté des États </w:t>
      </w:r>
      <w:r w:rsidR="00126457" w:rsidRPr="00804AC7">
        <w:t>d’</w:t>
      </w:r>
      <w:r w:rsidR="00C7268F" w:rsidRPr="00804AC7">
        <w:t>encourager le dialogue et la coopération internationale. Une candidature de ce type porte sur un élément déjà inscrit à l’échel</w:t>
      </w:r>
      <w:r w:rsidR="00EB4E87">
        <w:t>le</w:t>
      </w:r>
      <w:r w:rsidR="00C7268F" w:rsidRPr="00804AC7">
        <w:t xml:space="preserve"> national</w:t>
      </w:r>
      <w:r w:rsidR="00EB4E87">
        <w:t>e</w:t>
      </w:r>
      <w:r w:rsidR="00C7268F" w:rsidRPr="00804AC7">
        <w:t xml:space="preserve"> qui</w:t>
      </w:r>
      <w:r w:rsidR="00EB4E87">
        <w:t>,</w:t>
      </w:r>
      <w:r w:rsidR="00C7268F" w:rsidRPr="00804AC7">
        <w:t xml:space="preserve"> dans le cadre du présent cycle</w:t>
      </w:r>
      <w:r w:rsidR="00EB4E87">
        <w:t>,</w:t>
      </w:r>
      <w:r w:rsidR="00C7268F" w:rsidRPr="00804AC7">
        <w:t xml:space="preserve"> est soumis</w:t>
      </w:r>
      <w:r w:rsidR="00126457" w:rsidRPr="00804AC7">
        <w:t>e</w:t>
      </w:r>
      <w:r w:rsidR="00C7268F" w:rsidRPr="00804AC7">
        <w:t xml:space="preserve"> pour inscription </w:t>
      </w:r>
      <w:r w:rsidR="00EB4E87">
        <w:t>sur une base</w:t>
      </w:r>
      <w:r w:rsidR="00C7268F" w:rsidRPr="00804AC7">
        <w:t xml:space="preserve"> multinationale</w:t>
      </w:r>
      <w:r w:rsidR="00C7268F" w:rsidRPr="00804AC7">
        <w:rPr>
          <w:color w:val="000000"/>
        </w:rPr>
        <w:t xml:space="preserve">. Une autre candidature, de </w:t>
      </w:r>
      <w:r w:rsidR="00502AC8">
        <w:rPr>
          <w:color w:val="000000"/>
        </w:rPr>
        <w:t>caractère</w:t>
      </w:r>
      <w:r w:rsidR="00EB4E87" w:rsidRPr="00804AC7">
        <w:rPr>
          <w:color w:val="000000"/>
        </w:rPr>
        <w:t xml:space="preserve"> </w:t>
      </w:r>
      <w:r w:rsidR="00C7268F" w:rsidRPr="00804AC7">
        <w:rPr>
          <w:color w:val="000000"/>
        </w:rPr>
        <w:t>national, porte sur un élément inscrit précédemment par un autre État partie, également à l’échelle nationale.</w:t>
      </w:r>
    </w:p>
    <w:p w:rsidR="00C7268F" w:rsidRPr="00804AC7" w:rsidRDefault="00656DE4" w:rsidP="00B86CF6">
      <w:pPr>
        <w:pStyle w:val="COMPara"/>
        <w:numPr>
          <w:ilvl w:val="0"/>
          <w:numId w:val="5"/>
        </w:numPr>
        <w:ind w:left="567" w:hanging="567"/>
        <w:jc w:val="both"/>
      </w:pPr>
      <w:r w:rsidRPr="00B86CF6">
        <w:rPr>
          <w:b/>
          <w:i/>
        </w:rPr>
        <w:t>Déséquilibre entre les quatre mécanismes.</w:t>
      </w:r>
      <w:r w:rsidR="00C7268F" w:rsidRPr="00804AC7">
        <w:rPr>
          <w:color w:val="000000"/>
        </w:rPr>
        <w:t xml:space="preserve"> </w:t>
      </w:r>
      <w:r w:rsidR="00C7268F" w:rsidRPr="00804AC7">
        <w:t xml:space="preserve">L’Organe d’évaluation regrette que, comme lors des précédents cycles, </w:t>
      </w:r>
      <w:r w:rsidR="00126457" w:rsidRPr="00804AC7">
        <w:t xml:space="preserve">la plus grande importance a de loin été </w:t>
      </w:r>
      <w:r w:rsidR="00EB4E87">
        <w:t>accordée</w:t>
      </w:r>
      <w:r w:rsidR="00EB4E87" w:rsidRPr="00804AC7">
        <w:t xml:space="preserve"> </w:t>
      </w:r>
      <w:r w:rsidR="00126457" w:rsidRPr="00804AC7">
        <w:t xml:space="preserve">à </w:t>
      </w:r>
      <w:r w:rsidR="00C7268F" w:rsidRPr="00804AC7">
        <w:t xml:space="preserve">la Liste représentative, </w:t>
      </w:r>
      <w:r w:rsidR="00126457" w:rsidRPr="00804AC7">
        <w:t xml:space="preserve">laissant les </w:t>
      </w:r>
      <w:r w:rsidR="00C7268F" w:rsidRPr="00804AC7">
        <w:t xml:space="preserve">trois autres mécanismes </w:t>
      </w:r>
      <w:r w:rsidR="00126457" w:rsidRPr="00804AC7">
        <w:t>sous-utilisés</w:t>
      </w:r>
      <w:r w:rsidR="00C7268F" w:rsidRPr="00804AC7">
        <w:t xml:space="preserve">. </w:t>
      </w:r>
      <w:r w:rsidR="00126457" w:rsidRPr="00804AC7">
        <w:t xml:space="preserve">Il est d’avis </w:t>
      </w:r>
      <w:r w:rsidR="00C7268F" w:rsidRPr="00804AC7">
        <w:t xml:space="preserve">qu’un </w:t>
      </w:r>
      <w:r w:rsidR="00126457" w:rsidRPr="00804AC7">
        <w:t xml:space="preserve">meilleur </w:t>
      </w:r>
      <w:r w:rsidR="00C7268F" w:rsidRPr="00804AC7">
        <w:t xml:space="preserve">équilibre doit être trouvé entre ces mécanismes, en réfléchissant à de nouveaux moyens de promouvoir et de repositionner la Liste de sauvegarde urgente et le programme d’assistance internationale, et </w:t>
      </w:r>
      <w:r w:rsidR="00126457" w:rsidRPr="00804AC7">
        <w:t xml:space="preserve">de débattre </w:t>
      </w:r>
      <w:r w:rsidR="00EB4E87">
        <w:t>davantage sur comment</w:t>
      </w:r>
      <w:r w:rsidR="00126457" w:rsidRPr="00804AC7">
        <w:t xml:space="preserve"> identifier </w:t>
      </w:r>
      <w:r w:rsidR="00C7268F" w:rsidRPr="00804AC7">
        <w:t xml:space="preserve">et diffuser les meilleures pratiques. </w:t>
      </w:r>
      <w:r w:rsidR="00126457" w:rsidRPr="00804AC7">
        <w:t xml:space="preserve">La nouvelle possibilité d’utiliser le formulaire combiné pour </w:t>
      </w:r>
      <w:r w:rsidR="00C7268F" w:rsidRPr="00804AC7">
        <w:rPr>
          <w:rStyle w:val="hps"/>
        </w:rPr>
        <w:t xml:space="preserve">une candidature à la Liste de sauvegarde urgente </w:t>
      </w:r>
      <w:r w:rsidR="00126457" w:rsidRPr="00804AC7">
        <w:rPr>
          <w:rStyle w:val="hps"/>
        </w:rPr>
        <w:t xml:space="preserve">et </w:t>
      </w:r>
      <w:r w:rsidR="00C7268F" w:rsidRPr="00804AC7">
        <w:rPr>
          <w:rStyle w:val="hps"/>
        </w:rPr>
        <w:t xml:space="preserve">une demande d’assistance </w:t>
      </w:r>
      <w:r w:rsidR="00C7268F" w:rsidRPr="00804AC7">
        <w:t xml:space="preserve">internationale (formulaire ICH-01bis) apportera </w:t>
      </w:r>
      <w:r w:rsidR="00126457" w:rsidRPr="00804AC7">
        <w:t xml:space="preserve">sûrement des </w:t>
      </w:r>
      <w:r w:rsidR="00C7268F" w:rsidRPr="00804AC7">
        <w:t xml:space="preserve">améliorations dès le prochain cycle (2016). Pour </w:t>
      </w:r>
      <w:r w:rsidR="002524AF">
        <w:t>le</w:t>
      </w:r>
      <w:r w:rsidR="00C7268F" w:rsidRPr="00804AC7">
        <w:t xml:space="preserve"> présent cycle, l’Organe ne peut qu</w:t>
      </w:r>
      <w:r w:rsidR="00126457" w:rsidRPr="00804AC7">
        <w:t>’exprimer son regret</w:t>
      </w:r>
      <w:r w:rsidR="00C7268F" w:rsidRPr="00804AC7">
        <w:t xml:space="preserve"> que les États soumissionnaires </w:t>
      </w:r>
      <w:r w:rsidR="00502AC8">
        <w:t xml:space="preserve">n’aient </w:t>
      </w:r>
      <w:r w:rsidR="00126457" w:rsidRPr="00804AC7">
        <w:t xml:space="preserve">pas tiré le meilleur </w:t>
      </w:r>
      <w:r w:rsidR="00C7268F" w:rsidRPr="00804AC7">
        <w:t xml:space="preserve">de l’assistance technique </w:t>
      </w:r>
      <w:r w:rsidR="00126457" w:rsidRPr="00804AC7">
        <w:t xml:space="preserve">substantielle </w:t>
      </w:r>
      <w:r w:rsidR="00C7268F" w:rsidRPr="00804AC7">
        <w:t xml:space="preserve">pourtant </w:t>
      </w:r>
      <w:r w:rsidR="00287966" w:rsidRPr="00804AC7">
        <w:t>fournie</w:t>
      </w:r>
      <w:r w:rsidR="00C7268F" w:rsidRPr="00804AC7">
        <w:t xml:space="preserve"> </w:t>
      </w:r>
      <w:r w:rsidR="00287966" w:rsidRPr="00804AC7">
        <w:t xml:space="preserve">par </w:t>
      </w:r>
      <w:r w:rsidR="00C7268F" w:rsidRPr="00804AC7">
        <w:t xml:space="preserve">le Secrétariat pour </w:t>
      </w:r>
      <w:r w:rsidR="00287966" w:rsidRPr="00804AC7">
        <w:t xml:space="preserve">les aider à </w:t>
      </w:r>
      <w:r w:rsidR="00C7268F" w:rsidRPr="00804AC7">
        <w:t>préparer leurs demandes d’assistance internationale.</w:t>
      </w:r>
    </w:p>
    <w:p w:rsidR="00C7268F" w:rsidRPr="00804AC7" w:rsidRDefault="00656DE4" w:rsidP="00B86CF6">
      <w:pPr>
        <w:pStyle w:val="COMPara"/>
        <w:numPr>
          <w:ilvl w:val="0"/>
          <w:numId w:val="5"/>
        </w:numPr>
        <w:ind w:left="567" w:hanging="567"/>
        <w:jc w:val="both"/>
      </w:pPr>
      <w:r w:rsidRPr="00B86CF6">
        <w:rPr>
          <w:b/>
          <w:i/>
          <w:color w:val="000000"/>
        </w:rPr>
        <w:t>Usage des Aide-mémoire.</w:t>
      </w:r>
      <w:r w:rsidR="00C7268F" w:rsidRPr="00804AC7">
        <w:rPr>
          <w:color w:val="000000"/>
        </w:rPr>
        <w:t xml:space="preserve"> </w:t>
      </w:r>
      <w:r w:rsidR="00C7268F" w:rsidRPr="00804AC7">
        <w:rPr>
          <w:rStyle w:val="hps"/>
        </w:rPr>
        <w:t xml:space="preserve">L’Organe d’évaluation est parfaitement conscient de la complexité inévitable des procédures requises pour la préparation des candidatures, des propositions et des demandes, et de la déception ressentie par les États parties </w:t>
      </w:r>
      <w:r w:rsidR="00F941B3" w:rsidRPr="00804AC7">
        <w:rPr>
          <w:rStyle w:val="hps"/>
        </w:rPr>
        <w:t xml:space="preserve">quand leurs dossiers ne peuvent être acceptés du fait des </w:t>
      </w:r>
      <w:r w:rsidR="00C7268F" w:rsidRPr="00804AC7">
        <w:rPr>
          <w:rStyle w:val="hps"/>
        </w:rPr>
        <w:t xml:space="preserve">lacunes dans leur préparation. La déception est d’autant plus grande pour les communautés, groupes ou individus concernés par le patrimoine faisant l’objet de la candidature – </w:t>
      </w:r>
      <w:r w:rsidR="00F941B3" w:rsidRPr="00804AC7">
        <w:rPr>
          <w:rStyle w:val="hps"/>
        </w:rPr>
        <w:t xml:space="preserve">d’autant plus regrettable </w:t>
      </w:r>
      <w:r w:rsidR="00C7268F" w:rsidRPr="00804AC7">
        <w:rPr>
          <w:rStyle w:val="hps"/>
        </w:rPr>
        <w:t xml:space="preserve">lorsque les lacunes sont imputables à l’État partie </w:t>
      </w:r>
      <w:r w:rsidR="00F941B3" w:rsidRPr="00804AC7">
        <w:rPr>
          <w:rStyle w:val="hps"/>
        </w:rPr>
        <w:t>qui soumet</w:t>
      </w:r>
      <w:r w:rsidR="00C7268F" w:rsidRPr="00804AC7">
        <w:rPr>
          <w:rStyle w:val="hps"/>
        </w:rPr>
        <w:t xml:space="preserve"> le dossier et </w:t>
      </w:r>
      <w:r w:rsidR="00F941B3" w:rsidRPr="00804AC7">
        <w:rPr>
          <w:rStyle w:val="hps"/>
        </w:rPr>
        <w:t xml:space="preserve">qu’elles sont </w:t>
      </w:r>
      <w:r w:rsidR="00C7268F" w:rsidRPr="00804AC7">
        <w:rPr>
          <w:rStyle w:val="hps"/>
        </w:rPr>
        <w:t xml:space="preserve">le résultat direct de son incapacité à impliquer les communautés le plus largement possible. L’Organe regrette que la qualité des soumissions soit toujours aussi variable et que nombre des lacunes identifiées lors des précédents cycles subsistent. Il encourage donc vivement les États parties à </w:t>
      </w:r>
      <w:r w:rsidR="00F941B3" w:rsidRPr="00804AC7">
        <w:t xml:space="preserve">tirer autant parti que </w:t>
      </w:r>
      <w:r w:rsidR="00C7268F" w:rsidRPr="00804AC7">
        <w:t>possible des informations et conseils fournis dans l’</w:t>
      </w:r>
      <w:r w:rsidR="00F941B3" w:rsidRPr="00804AC7">
        <w:t>A</w:t>
      </w:r>
      <w:r w:rsidR="00C7268F" w:rsidRPr="00804AC7">
        <w:t>ide-mémoire pour l</w:t>
      </w:r>
      <w:r w:rsidR="00F941B3" w:rsidRPr="00804AC7">
        <w:t xml:space="preserve">’élaboration </w:t>
      </w:r>
      <w:r w:rsidR="00C7268F" w:rsidRPr="00804AC7">
        <w:t>d’</w:t>
      </w:r>
      <w:r w:rsidR="00F941B3" w:rsidRPr="00804AC7">
        <w:t xml:space="preserve">un dossier de </w:t>
      </w:r>
      <w:r w:rsidR="00C7268F" w:rsidRPr="00804AC7">
        <w:t xml:space="preserve">candidature à la Liste </w:t>
      </w:r>
      <w:r w:rsidR="00F941B3" w:rsidRPr="00804AC7">
        <w:t>de</w:t>
      </w:r>
      <w:r w:rsidR="00C7268F" w:rsidRPr="00804AC7">
        <w:t xml:space="preserve"> sauvegarde urgente et de </w:t>
      </w:r>
      <w:r w:rsidR="00F941B3" w:rsidRPr="00804AC7">
        <w:t>l’Aide</w:t>
      </w:r>
      <w:r w:rsidR="00C7268F" w:rsidRPr="00804AC7">
        <w:t xml:space="preserve">-mémoire pour </w:t>
      </w:r>
      <w:r w:rsidR="00F941B3" w:rsidRPr="00804AC7">
        <w:t>l’élaboration d’un dossier de</w:t>
      </w:r>
      <w:r w:rsidR="00C7268F" w:rsidRPr="00804AC7">
        <w:t xml:space="preserve"> candidature à la Liste représentative. Ces documents récapitul</w:t>
      </w:r>
      <w:r w:rsidR="00F941B3" w:rsidRPr="00804AC7">
        <w:t>e</w:t>
      </w:r>
      <w:r w:rsidR="00C7268F" w:rsidRPr="00804AC7">
        <w:t>nt de manière systématique les enseignements tirés ainsi que les remarques et les recommandations formulées par les organes et par le Comité au fil des ans</w:t>
      </w:r>
      <w:r w:rsidR="00F941B3" w:rsidRPr="00804AC7">
        <w:t> ;</w:t>
      </w:r>
      <w:r w:rsidR="00C7268F" w:rsidRPr="00804AC7">
        <w:t xml:space="preserve"> en en faisant bon usage, les États soumissionnaires </w:t>
      </w:r>
      <w:r w:rsidR="00F941B3" w:rsidRPr="00804AC7">
        <w:t xml:space="preserve">auraient pu éviter </w:t>
      </w:r>
      <w:r w:rsidR="00C7268F" w:rsidRPr="00804AC7">
        <w:t xml:space="preserve">certaines des lacunes courantes observées par l’Organe lors de son </w:t>
      </w:r>
      <w:r w:rsidR="00EB4E87">
        <w:t>évaluation</w:t>
      </w:r>
      <w:r w:rsidR="00EB4E87" w:rsidRPr="00804AC7">
        <w:t xml:space="preserve"> </w:t>
      </w:r>
      <w:r w:rsidR="00C7268F" w:rsidRPr="00804AC7">
        <w:t xml:space="preserve">des dossiers </w:t>
      </w:r>
      <w:r w:rsidR="00F941B3" w:rsidRPr="00804AC7">
        <w:t xml:space="preserve">lors </w:t>
      </w:r>
      <w:r w:rsidR="00C7268F" w:rsidRPr="00804AC7">
        <w:t xml:space="preserve">de ce cycle. Dans ce même contexte, l’Organe d’évaluation ne souhaite pas réitérer </w:t>
      </w:r>
      <w:r w:rsidR="00F941B3" w:rsidRPr="00804AC7">
        <w:t xml:space="preserve">ici </w:t>
      </w:r>
      <w:r w:rsidR="00C7268F" w:rsidRPr="00804AC7">
        <w:t xml:space="preserve">les recommandations et décisions émises par le passé concernant le manque de cohérence et </w:t>
      </w:r>
      <w:r w:rsidR="00F941B3" w:rsidRPr="00804AC7">
        <w:t xml:space="preserve">de consistance </w:t>
      </w:r>
      <w:r w:rsidR="00C7268F" w:rsidRPr="00804AC7">
        <w:t xml:space="preserve">de certaines informations, la présence d’informations contradictoires, les insuffisances </w:t>
      </w:r>
      <w:r w:rsidR="00F941B3" w:rsidRPr="00804AC7">
        <w:t xml:space="preserve">de qualité </w:t>
      </w:r>
      <w:r w:rsidR="00C7268F" w:rsidRPr="00804AC7">
        <w:t xml:space="preserve">linguistique, les flous, les approximations, les informations </w:t>
      </w:r>
      <w:r w:rsidR="00F941B3" w:rsidRPr="00804AC7">
        <w:t>mal placées</w:t>
      </w:r>
      <w:r w:rsidR="00C7268F" w:rsidRPr="00804AC7">
        <w:t>, les répétitions, les traductions incohérentes de termes importants, l’usage de mots et d’expressions inappropriés</w:t>
      </w:r>
      <w:r w:rsidR="00C7268F" w:rsidRPr="00804AC7">
        <w:rPr>
          <w:color w:val="000000"/>
        </w:rPr>
        <w:t xml:space="preserve"> nuisant au dialogue, entre autres, d’autant que, comme mentionné </w:t>
      </w:r>
      <w:r w:rsidR="00F941B3" w:rsidRPr="00804AC7">
        <w:rPr>
          <w:color w:val="000000"/>
        </w:rPr>
        <w:t>ci-dessus</w:t>
      </w:r>
      <w:r w:rsidR="00C7268F" w:rsidRPr="00804AC7">
        <w:rPr>
          <w:color w:val="000000"/>
        </w:rPr>
        <w:t xml:space="preserve">, les projets de décision portant sur les dossiers individuels </w:t>
      </w:r>
      <w:r w:rsidR="00F941B3" w:rsidRPr="00804AC7">
        <w:rPr>
          <w:color w:val="000000"/>
        </w:rPr>
        <w:t xml:space="preserve">intègrent </w:t>
      </w:r>
      <w:r w:rsidR="00C7268F" w:rsidRPr="00804AC7">
        <w:rPr>
          <w:color w:val="000000"/>
        </w:rPr>
        <w:t>de telles remarques</w:t>
      </w:r>
      <w:r w:rsidR="00C7268F" w:rsidRPr="00804AC7">
        <w:t>.</w:t>
      </w:r>
    </w:p>
    <w:p w:rsidR="00791AD2" w:rsidRPr="00EB5E47" w:rsidRDefault="00656DE4" w:rsidP="00B86CF6">
      <w:pPr>
        <w:pStyle w:val="COMPara"/>
        <w:numPr>
          <w:ilvl w:val="0"/>
          <w:numId w:val="5"/>
        </w:numPr>
        <w:ind w:left="567" w:hanging="567"/>
        <w:jc w:val="both"/>
      </w:pPr>
      <w:r w:rsidRPr="00B86CF6">
        <w:rPr>
          <w:b/>
          <w:i/>
        </w:rPr>
        <w:t>Bons exemples de candidatures.</w:t>
      </w:r>
      <w:r w:rsidRPr="00EB5E47">
        <w:rPr>
          <w:color w:val="000000"/>
        </w:rPr>
        <w:t xml:space="preserve"> </w:t>
      </w:r>
      <w:r w:rsidRPr="00EB5E47">
        <w:t xml:space="preserve">L’Organe d’évaluation a </w:t>
      </w:r>
      <w:r w:rsidR="00EB4E87" w:rsidRPr="00B86CF6">
        <w:t>eu le plaisir de rencontrer</w:t>
      </w:r>
      <w:r w:rsidRPr="00EB5E47">
        <w:t xml:space="preserve"> au cours du présent cycle plusieurs candidatures pouvant servir de modèles concernant tous les critères. Parmi celles-ci figurent </w:t>
      </w:r>
      <w:r w:rsidR="00EB4E87" w:rsidRPr="00B86CF6">
        <w:t>l</w:t>
      </w:r>
      <w:r w:rsidRPr="00EB5E47">
        <w:t xml:space="preserve">es fêtes du feu du solstice d'été dans les </w:t>
      </w:r>
      <w:r w:rsidRPr="00B86CF6">
        <w:rPr>
          <w:color w:val="000000"/>
        </w:rPr>
        <w:t>Pyrénées</w:t>
      </w:r>
      <w:r w:rsidRPr="00EB5E47">
        <w:rPr>
          <w:color w:val="000000"/>
        </w:rPr>
        <w:t xml:space="preserve"> (Andorre, Espagne et France), </w:t>
      </w:r>
      <w:r w:rsidR="00EB4E87" w:rsidRPr="00B86CF6">
        <w:t>l</w:t>
      </w:r>
      <w:r w:rsidRPr="00B86CF6">
        <w:t>’artisanat</w:t>
      </w:r>
      <w:r w:rsidRPr="00EB5E47">
        <w:rPr>
          <w:color w:val="000000"/>
        </w:rPr>
        <w:t xml:space="preserve"> du cuivre de Lahidj (Azerbaïdjan), </w:t>
      </w:r>
      <w:r w:rsidR="00EB4E87" w:rsidRPr="00B86CF6">
        <w:rPr>
          <w:color w:val="000000"/>
        </w:rPr>
        <w:t>l</w:t>
      </w:r>
      <w:r w:rsidRPr="00EB5E47">
        <w:rPr>
          <w:color w:val="000000"/>
        </w:rPr>
        <w:t xml:space="preserve">es musiques de marimba, les chants et les danses traditionnels de la région du Pacifique Sud colombien et de la province d’Esmeraldas d'Équateur (Colombie et Équateur), </w:t>
      </w:r>
      <w:r w:rsidR="00EB4E87" w:rsidRPr="00B86CF6">
        <w:rPr>
          <w:color w:val="000000"/>
        </w:rPr>
        <w:t>l</w:t>
      </w:r>
      <w:r w:rsidRPr="00EB5E47">
        <w:rPr>
          <w:color w:val="000000"/>
        </w:rPr>
        <w:t xml:space="preserve">a danse Wititi de la vallée du Colca (Pérou) et </w:t>
      </w:r>
      <w:r w:rsidR="00EB4E87" w:rsidRPr="00B86CF6">
        <w:rPr>
          <w:color w:val="000000"/>
        </w:rPr>
        <w:t>l</w:t>
      </w:r>
      <w:r w:rsidRPr="00EB5E47">
        <w:rPr>
          <w:color w:val="000000"/>
        </w:rPr>
        <w:t xml:space="preserve">es connaissances et technologies traditionnelles liées à la culture et à la transformation de la curagua (Venezuela (République bolivarienne du)). </w:t>
      </w:r>
      <w:r w:rsidRPr="00EB5E47">
        <w:t xml:space="preserve">Par ailleurs, </w:t>
      </w:r>
      <w:r w:rsidRPr="00B86CF6">
        <w:t xml:space="preserve">plusieurs candidatures peuvent servir de bons exemples concernant certains aspects de leur élaboration, y compris sur un ou plusieurs critères, les attestations de consentement jointes ou les vidéos. Les raisons </w:t>
      </w:r>
      <w:r w:rsidR="00EB5E47" w:rsidRPr="00B86CF6">
        <w:t>pour féliciter</w:t>
      </w:r>
      <w:r w:rsidRPr="00B86CF6">
        <w:t xml:space="preserve"> ces </w:t>
      </w:r>
      <w:r w:rsidR="00EB5E47" w:rsidRPr="00B86CF6">
        <w:t>dossiers</w:t>
      </w:r>
      <w:r w:rsidRPr="00B86CF6">
        <w:t xml:space="preserve"> sont mentionnées dans les projets de décision respectifs.</w:t>
      </w:r>
    </w:p>
    <w:p w:rsidR="00C7268F" w:rsidRPr="00804AC7" w:rsidRDefault="00513DFA" w:rsidP="00F016A0">
      <w:pPr>
        <w:pStyle w:val="DocMain"/>
        <w:keepNext/>
        <w:tabs>
          <w:tab w:val="left" w:pos="567"/>
        </w:tabs>
        <w:spacing w:after="120"/>
        <w:ind w:left="567" w:firstLine="0"/>
        <w:rPr>
          <w:b/>
        </w:rPr>
      </w:pPr>
      <w:r w:rsidRPr="00CC5518">
        <w:rPr>
          <w:b/>
        </w:rPr>
        <w:t xml:space="preserve">Thématiques </w:t>
      </w:r>
      <w:r w:rsidR="00C7268F" w:rsidRPr="00CC5518">
        <w:rPr>
          <w:b/>
        </w:rPr>
        <w:t xml:space="preserve">et </w:t>
      </w:r>
      <w:r w:rsidRPr="00CC5518">
        <w:rPr>
          <w:b/>
        </w:rPr>
        <w:t xml:space="preserve">questions </w:t>
      </w:r>
      <w:r w:rsidR="00C7268F" w:rsidRPr="00CC5518">
        <w:rPr>
          <w:b/>
          <w:lang w:eastAsia="zh-CN" w:bidi="ar-SA"/>
        </w:rPr>
        <w:t>transvers</w:t>
      </w:r>
      <w:r w:rsidRPr="00CC5518">
        <w:rPr>
          <w:b/>
          <w:lang w:eastAsia="zh-CN" w:bidi="ar-SA"/>
        </w:rPr>
        <w:t>al</w:t>
      </w:r>
      <w:r w:rsidR="00C7268F" w:rsidRPr="00CC5518">
        <w:rPr>
          <w:b/>
          <w:lang w:eastAsia="zh-CN" w:bidi="ar-SA"/>
        </w:rPr>
        <w:t>es</w:t>
      </w:r>
      <w:r w:rsidR="00C7268F" w:rsidRPr="00CC5518">
        <w:rPr>
          <w:b/>
        </w:rPr>
        <w:t xml:space="preserve"> et </w:t>
      </w:r>
      <w:r w:rsidRPr="00CC5518">
        <w:rPr>
          <w:b/>
        </w:rPr>
        <w:t>globales</w:t>
      </w:r>
    </w:p>
    <w:p w:rsidR="00C7268F" w:rsidRDefault="00656DE4" w:rsidP="00B86CF6">
      <w:pPr>
        <w:pStyle w:val="COMPara"/>
        <w:numPr>
          <w:ilvl w:val="0"/>
          <w:numId w:val="5"/>
        </w:numPr>
        <w:ind w:left="567" w:hanging="567"/>
        <w:jc w:val="both"/>
      </w:pPr>
      <w:r w:rsidRPr="00B86CF6">
        <w:rPr>
          <w:b/>
          <w:i/>
        </w:rPr>
        <w:t>Deux listes aux finalités distinctes, et leurs critères respectifs.</w:t>
      </w:r>
      <w:r w:rsidRPr="00B86CF6">
        <w:rPr>
          <w:b/>
          <w:color w:val="000000"/>
        </w:rPr>
        <w:t xml:space="preserve"> </w:t>
      </w:r>
      <w:r w:rsidR="00C7268F" w:rsidRPr="00804AC7">
        <w:rPr>
          <w:color w:val="000000"/>
        </w:rPr>
        <w:t>Comme le stipulent la Convention et l’ensemble des décisions énoncées depuis, la Liste représentative a pour but d</w:t>
      </w:r>
      <w:r w:rsidR="00B00B72" w:rsidRPr="00804AC7">
        <w:rPr>
          <w:color w:val="000000"/>
        </w:rPr>
        <w:t>’assurer</w:t>
      </w:r>
      <w:r w:rsidR="00C7268F" w:rsidRPr="00804AC7">
        <w:rPr>
          <w:color w:val="000000"/>
        </w:rPr>
        <w:t xml:space="preserve"> une meilleure visibilité du patrimoine culturel immatériel en général, de faire prendre </w:t>
      </w:r>
      <w:r w:rsidR="00B00B72" w:rsidRPr="00804AC7">
        <w:rPr>
          <w:color w:val="000000"/>
        </w:rPr>
        <w:t xml:space="preserve">davantage </w:t>
      </w:r>
      <w:r w:rsidR="00C7268F" w:rsidRPr="00804AC7">
        <w:rPr>
          <w:color w:val="000000"/>
        </w:rPr>
        <w:t>conscience de son importance et d</w:t>
      </w:r>
      <w:r w:rsidR="00B00B72" w:rsidRPr="00804AC7">
        <w:t>e favoriser le</w:t>
      </w:r>
      <w:r w:rsidR="00C7268F" w:rsidRPr="00804AC7">
        <w:t xml:space="preserve"> dialogue </w:t>
      </w:r>
      <w:r w:rsidR="00B00B72" w:rsidRPr="00804AC7">
        <w:t xml:space="preserve">dans le respect de </w:t>
      </w:r>
      <w:r w:rsidR="00C7268F" w:rsidRPr="00804AC7">
        <w:t xml:space="preserve">la diversité culturelle. La Liste de sauvegarde urgente vise quant à elle </w:t>
      </w:r>
      <w:r w:rsidR="000819FE">
        <w:t xml:space="preserve">à </w:t>
      </w:r>
      <w:r w:rsidR="00C7268F" w:rsidRPr="00804AC7">
        <w:t xml:space="preserve">« prendre des mesures de sauvegarde appropriées » et, à ces fins, reconnaît à l’échelle internationale les menaces spécifiques qui pèsent sur un élément et </w:t>
      </w:r>
      <w:r w:rsidR="005C5BBC" w:rsidRPr="00804AC7">
        <w:t>un</w:t>
      </w:r>
      <w:r w:rsidR="00C7268F" w:rsidRPr="00804AC7">
        <w:t xml:space="preserve"> plan de sauvegarde </w:t>
      </w:r>
      <w:r w:rsidR="005C5BBC" w:rsidRPr="00804AC7">
        <w:t xml:space="preserve">bien élaboré </w:t>
      </w:r>
      <w:r w:rsidR="00C7268F" w:rsidRPr="00804AC7">
        <w:t xml:space="preserve">le </w:t>
      </w:r>
      <w:r w:rsidR="000819FE">
        <w:t>qui y réponde de manière adéquate</w:t>
      </w:r>
      <w:r w:rsidR="00C7268F" w:rsidRPr="00804AC7">
        <w:t xml:space="preserve">. Ces différents </w:t>
      </w:r>
      <w:r w:rsidR="00935A25">
        <w:t>objectifs</w:t>
      </w:r>
      <w:r w:rsidR="00935A25" w:rsidRPr="00804AC7">
        <w:t xml:space="preserve"> </w:t>
      </w:r>
      <w:r w:rsidR="00C7268F" w:rsidRPr="00804AC7">
        <w:t xml:space="preserve">sont reflétés dans les critères R.2, U.2 et U.3 respectivement. L’Organe d’évaluation invite les États parties à </w:t>
      </w:r>
      <w:r w:rsidR="00935A25">
        <w:t>accorder</w:t>
      </w:r>
      <w:r w:rsidR="00935A25" w:rsidRPr="00804AC7">
        <w:t xml:space="preserve"> </w:t>
      </w:r>
      <w:r w:rsidR="00C7268F" w:rsidRPr="00804AC7">
        <w:t xml:space="preserve">une attention toute particulière à leur élaboration </w:t>
      </w:r>
      <w:r w:rsidR="00935A25">
        <w:t>car autrement</w:t>
      </w:r>
      <w:r w:rsidR="00C7268F" w:rsidRPr="00804AC7">
        <w:t xml:space="preserve">, </w:t>
      </w:r>
      <w:r w:rsidR="005C5BBC" w:rsidRPr="00804AC7">
        <w:t>comme c’est trop souvent le cas,</w:t>
      </w:r>
      <w:r w:rsidR="00C7268F" w:rsidRPr="00804AC7">
        <w:t xml:space="preserve"> les </w:t>
      </w:r>
      <w:r w:rsidR="00C7268F" w:rsidRPr="00F016A0">
        <w:rPr>
          <w:lang w:eastAsia="en-US" w:bidi="en-US"/>
        </w:rPr>
        <w:t>candidatures</w:t>
      </w:r>
      <w:r w:rsidR="00C7268F" w:rsidRPr="00804AC7">
        <w:t xml:space="preserve"> ne parviennent pas à répondre à </w:t>
      </w:r>
      <w:r w:rsidR="00935A25">
        <w:t>l’objectif</w:t>
      </w:r>
      <w:r w:rsidR="00C7268F" w:rsidRPr="00804AC7">
        <w:t xml:space="preserve"> même de la liste </w:t>
      </w:r>
      <w:r w:rsidR="005C5BBC" w:rsidRPr="00804AC7">
        <w:t>à laquelle elles sont soumises</w:t>
      </w:r>
      <w:r w:rsidR="00C7268F" w:rsidRPr="00804AC7">
        <w:t>.</w:t>
      </w:r>
    </w:p>
    <w:p w:rsidR="00C7268F" w:rsidRPr="00804AC7" w:rsidRDefault="00656DE4" w:rsidP="00B86CF6">
      <w:pPr>
        <w:pStyle w:val="COMPara"/>
        <w:numPr>
          <w:ilvl w:val="0"/>
          <w:numId w:val="5"/>
        </w:numPr>
        <w:ind w:left="567" w:hanging="567"/>
        <w:jc w:val="both"/>
      </w:pPr>
      <w:r w:rsidRPr="00B86CF6">
        <w:rPr>
          <w:b/>
          <w:i/>
        </w:rPr>
        <w:t>Cohérence dans la définition des communautés.</w:t>
      </w:r>
      <w:r w:rsidR="00C7268F" w:rsidRPr="00804AC7">
        <w:t xml:space="preserve"> Comme </w:t>
      </w:r>
      <w:r w:rsidR="005C5BBC" w:rsidRPr="00804AC7">
        <w:t xml:space="preserve">souligné </w:t>
      </w:r>
      <w:r w:rsidR="00C7268F" w:rsidRPr="00804AC7">
        <w:t xml:space="preserve">à maintes reprises </w:t>
      </w:r>
      <w:r w:rsidR="00CC5518">
        <w:t xml:space="preserve">par </w:t>
      </w:r>
      <w:r w:rsidR="00C7268F" w:rsidRPr="00804AC7">
        <w:t xml:space="preserve">le Comité et les </w:t>
      </w:r>
      <w:r w:rsidR="00EF5E2A" w:rsidRPr="00804AC7">
        <w:t xml:space="preserve">précédents </w:t>
      </w:r>
      <w:r w:rsidR="00C7268F" w:rsidRPr="00804AC7">
        <w:t xml:space="preserve">organes, les quatre mécanismes de la Convention reposent sur la participation la plus large possible des communautés, des groupes et, le cas échéant, des individus concernés par la </w:t>
      </w:r>
      <w:r w:rsidR="00C7268F" w:rsidRPr="00F016A0">
        <w:rPr>
          <w:lang w:eastAsia="en-US" w:bidi="en-US"/>
        </w:rPr>
        <w:t>définition</w:t>
      </w:r>
      <w:r w:rsidR="00C7268F" w:rsidRPr="00804AC7">
        <w:t xml:space="preserve"> et la sauvegarde du patrimoine culturel immatériel. Il est donc d’une importance fondamentale de fournir une définition complète et claire des communautés, groupes </w:t>
      </w:r>
      <w:r w:rsidR="00EF5E2A" w:rsidRPr="00804AC7">
        <w:t xml:space="preserve">ou </w:t>
      </w:r>
      <w:r w:rsidR="00C7268F" w:rsidRPr="00804AC7">
        <w:t xml:space="preserve">individus concernés, en veillant à la cohérence des informations fournies dans les différentes sections du formulaire qui doivent s’étayer les unes les autres, </w:t>
      </w:r>
      <w:r w:rsidR="005C5E84">
        <w:t>à savoir</w:t>
      </w:r>
      <w:r w:rsidR="005C5E84" w:rsidRPr="00804AC7">
        <w:t xml:space="preserve"> </w:t>
      </w:r>
      <w:r w:rsidR="00C7268F" w:rsidRPr="00804AC7">
        <w:t xml:space="preserve">les informations fournies dans les sections U.1-4/R.1-4, dans les </w:t>
      </w:r>
      <w:r w:rsidR="00E40B55">
        <w:t>sections</w:t>
      </w:r>
      <w:r w:rsidR="00E40B55" w:rsidRPr="00804AC7">
        <w:t xml:space="preserve"> </w:t>
      </w:r>
      <w:r w:rsidR="00C7268F" w:rsidRPr="00804AC7">
        <w:t xml:space="preserve">C et D et dans les documents de consentement joints </w:t>
      </w:r>
      <w:r w:rsidR="00EF5E2A" w:rsidRPr="00804AC7">
        <w:t xml:space="preserve">aux </w:t>
      </w:r>
      <w:r w:rsidR="00C7268F" w:rsidRPr="00804AC7">
        <w:t xml:space="preserve">dossiers de candidature, ainsi que les informations de la section A.19 </w:t>
      </w:r>
      <w:r w:rsidR="005C5E84">
        <w:t>par rapport aux</w:t>
      </w:r>
      <w:r w:rsidR="00EF5E2A" w:rsidRPr="00804AC7">
        <w:t xml:space="preserve"> </w:t>
      </w:r>
      <w:r w:rsidR="00C7268F" w:rsidRPr="00804AC7">
        <w:t>sections A.11, A.22 et A.23 des demandes d’assistance internationale.</w:t>
      </w:r>
    </w:p>
    <w:p w:rsidR="00C7268F" w:rsidRDefault="00195697" w:rsidP="00B86CF6">
      <w:pPr>
        <w:pStyle w:val="COMPara"/>
        <w:numPr>
          <w:ilvl w:val="0"/>
          <w:numId w:val="5"/>
        </w:numPr>
        <w:ind w:left="567" w:hanging="567"/>
        <w:jc w:val="both"/>
      </w:pPr>
      <w:r>
        <w:rPr>
          <w:b/>
          <w:i/>
        </w:rPr>
        <w:t>Maîtrise</w:t>
      </w:r>
      <w:r w:rsidR="000B0CA6" w:rsidRPr="009E0371">
        <w:rPr>
          <w:b/>
          <w:i/>
        </w:rPr>
        <w:t xml:space="preserve"> </w:t>
      </w:r>
      <w:r w:rsidR="00656DE4" w:rsidRPr="009E0371">
        <w:rPr>
          <w:b/>
          <w:i/>
        </w:rPr>
        <w:t>des communautés concernées, et périmètre de leur définition.</w:t>
      </w:r>
      <w:r w:rsidR="00C7268F" w:rsidRPr="009E0371">
        <w:t xml:space="preserve"> </w:t>
      </w:r>
      <w:r w:rsidR="005C5E84" w:rsidRPr="009E0371">
        <w:t xml:space="preserve">Tenant compte </w:t>
      </w:r>
      <w:r w:rsidR="00C7268F" w:rsidRPr="009E0371">
        <w:t xml:space="preserve">de la nécessité d’impliquer les communautés de manière active dans la sauvegarde, l’Organe d’évaluation note également que </w:t>
      </w:r>
      <w:r w:rsidR="000B0CA6">
        <w:t>l</w:t>
      </w:r>
      <w:r>
        <w:t>a</w:t>
      </w:r>
      <w:r w:rsidR="000B0CA6">
        <w:t xml:space="preserve"> </w:t>
      </w:r>
      <w:r>
        <w:t>maîtrise qu’ont l</w:t>
      </w:r>
      <w:r w:rsidRPr="009E0371">
        <w:t xml:space="preserve">es </w:t>
      </w:r>
      <w:r w:rsidR="00C7268F" w:rsidRPr="009E0371">
        <w:t xml:space="preserve">communautés concernées représente le socle sur </w:t>
      </w:r>
      <w:r w:rsidR="005C5E84" w:rsidRPr="009E0371">
        <w:t xml:space="preserve">lequel </w:t>
      </w:r>
      <w:r w:rsidR="00C7268F" w:rsidRPr="009E0371">
        <w:t xml:space="preserve">doivent s’élaborer toutes les réponses aux défis </w:t>
      </w:r>
      <w:r w:rsidR="005C5E84" w:rsidRPr="009E0371">
        <w:t>auxquels</w:t>
      </w:r>
      <w:r w:rsidR="00C7268F" w:rsidRPr="009E0371">
        <w:t xml:space="preserve"> l’élément </w:t>
      </w:r>
      <w:r w:rsidR="005C5E84" w:rsidRPr="009E0371">
        <w:t xml:space="preserve">peut être amené à faire face </w:t>
      </w:r>
      <w:r w:rsidR="00C7268F" w:rsidRPr="009E0371">
        <w:t xml:space="preserve">(voir plus bas). Dans un nombre </w:t>
      </w:r>
      <w:r w:rsidR="007E06F1" w:rsidRPr="009E0371">
        <w:t xml:space="preserve">croissant </w:t>
      </w:r>
      <w:r w:rsidR="00C7268F" w:rsidRPr="009E0371">
        <w:t xml:space="preserve">de candidatures, le rôle principal est en effet attribué à la communauté concernée. </w:t>
      </w:r>
      <w:r w:rsidR="005C5E84" w:rsidRPr="009E0371">
        <w:t>Cependant,</w:t>
      </w:r>
      <w:r w:rsidR="005C5E84" w:rsidRPr="00804AC7">
        <w:t xml:space="preserve"> </w:t>
      </w:r>
      <w:r w:rsidR="005C5E84">
        <w:t>l</w:t>
      </w:r>
      <w:r w:rsidR="00C7268F" w:rsidRPr="00804AC7">
        <w:t xml:space="preserve">es contours des communautés et leurs dynamiques internes </w:t>
      </w:r>
      <w:r w:rsidR="007E06F1" w:rsidRPr="00804AC7">
        <w:t xml:space="preserve">sont </w:t>
      </w:r>
      <w:r w:rsidR="005C5E84">
        <w:t>rarement</w:t>
      </w:r>
      <w:r w:rsidR="00C7268F" w:rsidRPr="00804AC7">
        <w:t xml:space="preserve"> </w:t>
      </w:r>
      <w:r w:rsidR="007E06F1" w:rsidRPr="00804AC7">
        <w:t>décrits en détail</w:t>
      </w:r>
      <w:r w:rsidR="00C7268F" w:rsidRPr="00804AC7">
        <w:t xml:space="preserve">, malgré des </w:t>
      </w:r>
      <w:r w:rsidR="007E06F1" w:rsidRPr="00804AC7">
        <w:t xml:space="preserve">demandes </w:t>
      </w:r>
      <w:r w:rsidR="00C7268F" w:rsidRPr="00804AC7">
        <w:t xml:space="preserve">claires et </w:t>
      </w:r>
      <w:r w:rsidR="007E06F1" w:rsidRPr="00804AC7">
        <w:t xml:space="preserve">récurrentes </w:t>
      </w:r>
      <w:r w:rsidR="00C7268F" w:rsidRPr="00804AC7">
        <w:t xml:space="preserve">concernant </w:t>
      </w:r>
      <w:r w:rsidR="005C5E84">
        <w:t>cette question</w:t>
      </w:r>
      <w:r w:rsidR="00C7268F" w:rsidRPr="00804AC7">
        <w:t xml:space="preserve"> qui se reflètent également dans la répétition de la formulation « communautés, groupes et, le cas échéant, individus concernés ». Leur description implique en outre bien souvent une conception monolithique et </w:t>
      </w:r>
      <w:r w:rsidR="007E06F1" w:rsidRPr="00804AC7">
        <w:t xml:space="preserve">essentialisée </w:t>
      </w:r>
      <w:r w:rsidR="00C7268F" w:rsidRPr="00804AC7">
        <w:t xml:space="preserve">des « communautés » qui apparaissent comme </w:t>
      </w:r>
      <w:r w:rsidR="007E06F1" w:rsidRPr="00804AC7">
        <w:t>cré</w:t>
      </w:r>
      <w:r w:rsidR="006914AF" w:rsidRPr="00804AC7">
        <w:t>é</w:t>
      </w:r>
      <w:r w:rsidR="007E06F1" w:rsidRPr="00804AC7">
        <w:t>es</w:t>
      </w:r>
      <w:r w:rsidR="00C7268F" w:rsidRPr="00804AC7">
        <w:t xml:space="preserve"> pour les seuls besoins de la candidature. Il semble par conséquent importan</w:t>
      </w:r>
      <w:r w:rsidR="007E06F1" w:rsidRPr="00804AC7">
        <w:t>t</w:t>
      </w:r>
      <w:r w:rsidR="00C7268F" w:rsidRPr="00804AC7">
        <w:t xml:space="preserve"> de rappeler aux États parties leur devoir de fournir une description suffisamment détaillée et complète des communautés, des groupes</w:t>
      </w:r>
      <w:r w:rsidR="005C5E84">
        <w:t xml:space="preserve"> ou</w:t>
      </w:r>
      <w:r w:rsidR="00C7268F" w:rsidRPr="00804AC7">
        <w:t xml:space="preserve"> des individus et de leurs contours.</w:t>
      </w:r>
    </w:p>
    <w:p w:rsidR="00C7268F" w:rsidRPr="009E0371" w:rsidRDefault="00656DE4" w:rsidP="00B86CF6">
      <w:pPr>
        <w:pStyle w:val="COMPara"/>
        <w:numPr>
          <w:ilvl w:val="0"/>
          <w:numId w:val="5"/>
        </w:numPr>
        <w:ind w:left="567" w:hanging="567"/>
        <w:jc w:val="both"/>
      </w:pPr>
      <w:r w:rsidRPr="009E0371">
        <w:rPr>
          <w:b/>
          <w:i/>
        </w:rPr>
        <w:t>Communautés de caractère sélectif ou global</w:t>
      </w:r>
      <w:r w:rsidRPr="009E0371">
        <w:rPr>
          <w:b/>
        </w:rPr>
        <w:t>.</w:t>
      </w:r>
      <w:r w:rsidR="006914AF" w:rsidRPr="009E0371">
        <w:t xml:space="preserve"> </w:t>
      </w:r>
      <w:r w:rsidR="00C7268F" w:rsidRPr="009E0371">
        <w:t xml:space="preserve">L’Organe d’évaluation </w:t>
      </w:r>
      <w:r w:rsidR="005C5E84" w:rsidRPr="009E0371">
        <w:t>s’est retrouvé face à</w:t>
      </w:r>
      <w:r w:rsidR="006914AF" w:rsidRPr="009E0371">
        <w:t xml:space="preserve"> </w:t>
      </w:r>
      <w:r w:rsidR="00C7268F" w:rsidRPr="009E0371">
        <w:t xml:space="preserve">plusieurs candidatures, </w:t>
      </w:r>
      <w:r w:rsidR="006914AF" w:rsidRPr="009E0371">
        <w:t xml:space="preserve">en particulier </w:t>
      </w:r>
      <w:r w:rsidR="00C7268F" w:rsidRPr="009E0371">
        <w:t xml:space="preserve">pour la Liste de sauvegarde urgente, </w:t>
      </w:r>
      <w:r w:rsidR="006914AF" w:rsidRPr="009E0371">
        <w:t xml:space="preserve">qui </w:t>
      </w:r>
      <w:r w:rsidR="005C5E84" w:rsidRPr="009E0371">
        <w:t>se concentraient uniquement</w:t>
      </w:r>
      <w:r w:rsidR="006914AF" w:rsidRPr="009E0371">
        <w:t xml:space="preserve"> </w:t>
      </w:r>
      <w:r w:rsidR="00C7268F" w:rsidRPr="009E0371">
        <w:t xml:space="preserve">sur une </w:t>
      </w:r>
      <w:r w:rsidR="006914AF" w:rsidRPr="009E0371">
        <w:t xml:space="preserve">partie </w:t>
      </w:r>
      <w:r w:rsidR="00C7268F" w:rsidRPr="009E0371">
        <w:t xml:space="preserve">de la communauté </w:t>
      </w:r>
      <w:r w:rsidR="006914AF" w:rsidRPr="009E0371">
        <w:t xml:space="preserve">concernée </w:t>
      </w:r>
      <w:r w:rsidR="00C7268F" w:rsidRPr="009E0371">
        <w:t>et une zone géographique limitée. Bien qu</w:t>
      </w:r>
      <w:r w:rsidR="006914AF" w:rsidRPr="009E0371">
        <w:t xml:space="preserve">’il s’agisse d’une méthodologie raisonnable qui peut </w:t>
      </w:r>
      <w:r w:rsidR="00FF273A" w:rsidRPr="009E0371">
        <w:t xml:space="preserve">aider </w:t>
      </w:r>
      <w:r w:rsidR="006914AF" w:rsidRPr="009E0371">
        <w:t>à augmenter les chances de succès du plan de sauvegarde, qui peut par la suite être appliqué à une communauté plus large, la</w:t>
      </w:r>
      <w:r w:rsidR="00C7268F" w:rsidRPr="009E0371">
        <w:t xml:space="preserve"> </w:t>
      </w:r>
      <w:r w:rsidR="006914AF" w:rsidRPr="009E0371">
        <w:t xml:space="preserve">sélection </w:t>
      </w:r>
      <w:r w:rsidR="00C7268F" w:rsidRPr="009E0371">
        <w:t>d’un sous-</w:t>
      </w:r>
      <w:r w:rsidR="00C7268F" w:rsidRPr="009E0371">
        <w:rPr>
          <w:lang w:eastAsia="en-US" w:bidi="en-US"/>
        </w:rPr>
        <w:t>groupe</w:t>
      </w:r>
      <w:r w:rsidR="00C7268F" w:rsidRPr="009E0371">
        <w:t xml:space="preserve"> ou d’une subdivision d’une communauté</w:t>
      </w:r>
      <w:r w:rsidR="006914AF" w:rsidRPr="009E0371">
        <w:t xml:space="preserve"> </w:t>
      </w:r>
      <w:r w:rsidR="00C7268F" w:rsidRPr="009E0371">
        <w:t>doit être décrit</w:t>
      </w:r>
      <w:r w:rsidR="00FF273A" w:rsidRPr="009E0371">
        <w:t>e</w:t>
      </w:r>
      <w:r w:rsidR="00C7268F" w:rsidRPr="009E0371">
        <w:t xml:space="preserve"> et expliqué</w:t>
      </w:r>
      <w:r w:rsidR="00FF273A" w:rsidRPr="009E0371">
        <w:t>e</w:t>
      </w:r>
      <w:r w:rsidR="00C7268F" w:rsidRPr="009E0371">
        <w:t xml:space="preserve"> en profondeur, ce qui est rarement le cas. Autre point </w:t>
      </w:r>
      <w:r w:rsidR="006914AF" w:rsidRPr="009E0371">
        <w:t>d’</w:t>
      </w:r>
      <w:r w:rsidR="00C7268F" w:rsidRPr="009E0371">
        <w:t xml:space="preserve">importance : la communauté </w:t>
      </w:r>
      <w:r w:rsidR="006914AF" w:rsidRPr="009E0371">
        <w:t xml:space="preserve">plus large </w:t>
      </w:r>
      <w:r w:rsidR="00C7268F" w:rsidRPr="009E0371">
        <w:t>concernée devrait être consciente d’un tel choix</w:t>
      </w:r>
      <w:r w:rsidR="006914AF" w:rsidRPr="009E0371">
        <w:t>, et i</w:t>
      </w:r>
      <w:r w:rsidR="00C7268F" w:rsidRPr="009E0371">
        <w:t xml:space="preserve">l </w:t>
      </w:r>
      <w:r w:rsidR="006914AF" w:rsidRPr="009E0371">
        <w:t>es</w:t>
      </w:r>
      <w:r w:rsidR="00C7268F" w:rsidRPr="009E0371">
        <w:t>t</w:t>
      </w:r>
      <w:r w:rsidR="006914AF" w:rsidRPr="009E0371">
        <w:t xml:space="preserve"> recommand</w:t>
      </w:r>
      <w:r w:rsidR="00C7268F" w:rsidRPr="009E0371">
        <w:t xml:space="preserve">é que les documents de consentement fournis par différents </w:t>
      </w:r>
      <w:r w:rsidR="006914AF" w:rsidRPr="009E0371">
        <w:t xml:space="preserve">segments </w:t>
      </w:r>
      <w:r w:rsidR="00C7268F" w:rsidRPr="009E0371">
        <w:t xml:space="preserve">de la communauté </w:t>
      </w:r>
      <w:r w:rsidR="006914AF" w:rsidRPr="009E0371">
        <w:t>témoigne</w:t>
      </w:r>
      <w:r w:rsidR="00FF273A" w:rsidRPr="009E0371">
        <w:t>nt également</w:t>
      </w:r>
      <w:r w:rsidR="006914AF" w:rsidRPr="009E0371">
        <w:t xml:space="preserve"> </w:t>
      </w:r>
      <w:r w:rsidR="00B01AD1" w:rsidRPr="009E0371">
        <w:t xml:space="preserve">de </w:t>
      </w:r>
      <w:r w:rsidR="00FF273A" w:rsidRPr="009E0371">
        <w:t xml:space="preserve">leur </w:t>
      </w:r>
      <w:r w:rsidR="00B01AD1" w:rsidRPr="009E0371">
        <w:t xml:space="preserve">connaissance et de </w:t>
      </w:r>
      <w:r w:rsidR="00FF273A" w:rsidRPr="009E0371">
        <w:t xml:space="preserve">leur </w:t>
      </w:r>
      <w:r w:rsidR="006914AF" w:rsidRPr="009E0371">
        <w:t xml:space="preserve">accord </w:t>
      </w:r>
      <w:r w:rsidR="00B01AD1" w:rsidRPr="009E0371">
        <w:t>concernant</w:t>
      </w:r>
      <w:r w:rsidR="00C7268F" w:rsidRPr="009E0371">
        <w:t xml:space="preserve"> </w:t>
      </w:r>
      <w:r w:rsidR="006914AF" w:rsidRPr="009E0371">
        <w:t xml:space="preserve">la </w:t>
      </w:r>
      <w:r w:rsidR="00C7268F" w:rsidRPr="009E0371">
        <w:t xml:space="preserve">candidature, même </w:t>
      </w:r>
      <w:r w:rsidR="00FF273A" w:rsidRPr="009E0371">
        <w:t>s’ils</w:t>
      </w:r>
      <w:r w:rsidR="00B01AD1" w:rsidRPr="009E0371">
        <w:t xml:space="preserve"> </w:t>
      </w:r>
      <w:r w:rsidR="00C7268F" w:rsidRPr="009E0371">
        <w:t xml:space="preserve">ne </w:t>
      </w:r>
      <w:r w:rsidR="006914AF" w:rsidRPr="009E0371">
        <w:t>constitue</w:t>
      </w:r>
      <w:r w:rsidR="00FF273A" w:rsidRPr="009E0371">
        <w:t>nt</w:t>
      </w:r>
      <w:r w:rsidR="006914AF" w:rsidRPr="009E0371">
        <w:t xml:space="preserve"> pas </w:t>
      </w:r>
      <w:r w:rsidR="00C7268F" w:rsidRPr="009E0371">
        <w:t xml:space="preserve">le groupe </w:t>
      </w:r>
      <w:r w:rsidR="000E2EBF" w:rsidRPr="009E0371">
        <w:t>cible</w:t>
      </w:r>
      <w:r w:rsidR="00FF273A" w:rsidRPr="009E0371">
        <w:t xml:space="preserve"> spécifique</w:t>
      </w:r>
      <w:r w:rsidR="000E2EBF" w:rsidRPr="009E0371" w:rsidDel="006914AF">
        <w:t xml:space="preserve">. </w:t>
      </w:r>
      <w:r w:rsidR="00C7268F" w:rsidRPr="009E0371">
        <w:t xml:space="preserve">En général, si la </w:t>
      </w:r>
      <w:r w:rsidR="00FF273A" w:rsidRPr="009E0371">
        <w:t xml:space="preserve">délimitation de la </w:t>
      </w:r>
      <w:r w:rsidR="00C7268F" w:rsidRPr="009E0371">
        <w:t xml:space="preserve">communauté concernée peut facilement </w:t>
      </w:r>
      <w:r w:rsidR="00B01AD1" w:rsidRPr="009E0371">
        <w:t xml:space="preserve">être justifiable par des circonstances spécifiques </w:t>
      </w:r>
      <w:r w:rsidR="00FF273A" w:rsidRPr="009E0371">
        <w:t xml:space="preserve">à </w:t>
      </w:r>
      <w:r w:rsidR="00C7268F" w:rsidRPr="009E0371">
        <w:t xml:space="preserve">un élément </w:t>
      </w:r>
      <w:r w:rsidR="00FF273A" w:rsidRPr="009E0371">
        <w:t xml:space="preserve">nécessitant une </w:t>
      </w:r>
      <w:r w:rsidR="00C7268F" w:rsidRPr="009E0371">
        <w:t>sauvegarde urgente, une explication bien plus exhaustive est nécessaire pour justifier un</w:t>
      </w:r>
      <w:r w:rsidR="00B01AD1" w:rsidRPr="009E0371">
        <w:t xml:space="preserve">e telle </w:t>
      </w:r>
      <w:r w:rsidR="00FF273A" w:rsidRPr="009E0371">
        <w:t xml:space="preserve">délimitation </w:t>
      </w:r>
      <w:r w:rsidR="00C7268F" w:rsidRPr="009E0371">
        <w:t xml:space="preserve">dans le cas d’éléments proposés pour inscription sur la Liste représentative. </w:t>
      </w:r>
      <w:r w:rsidR="00B01AD1" w:rsidRPr="009E0371">
        <w:t xml:space="preserve">Dans d’autres cas, certaines </w:t>
      </w:r>
      <w:r w:rsidR="00FF273A" w:rsidRPr="009E0371">
        <w:t>candidatures à</w:t>
      </w:r>
      <w:r w:rsidR="00C7268F" w:rsidRPr="009E0371">
        <w:t xml:space="preserve"> la Liste représentative définissent les communautés </w:t>
      </w:r>
      <w:r w:rsidR="00B01AD1" w:rsidRPr="009E0371">
        <w:t xml:space="preserve">dans un </w:t>
      </w:r>
      <w:r w:rsidR="00C7268F" w:rsidRPr="009E0371">
        <w:t xml:space="preserve">sens </w:t>
      </w:r>
      <w:r w:rsidR="00B01AD1" w:rsidRPr="009E0371">
        <w:t xml:space="preserve">très </w:t>
      </w:r>
      <w:r w:rsidR="00C7268F" w:rsidRPr="009E0371">
        <w:t xml:space="preserve">large, englobant dans certains cas l’ensemble de la </w:t>
      </w:r>
      <w:r w:rsidR="00B01AD1" w:rsidRPr="009E0371">
        <w:t xml:space="preserve">nation ou de la </w:t>
      </w:r>
      <w:r w:rsidR="00C7268F" w:rsidRPr="009E0371">
        <w:t xml:space="preserve">population </w:t>
      </w:r>
      <w:r w:rsidR="00B01AD1" w:rsidRPr="009E0371">
        <w:t>de</w:t>
      </w:r>
      <w:r w:rsidR="00C7268F" w:rsidRPr="009E0371">
        <w:t xml:space="preserve"> l’État partie. Il est tout aussi nécessaire, dans de tels cas, de démontrer </w:t>
      </w:r>
      <w:r w:rsidR="00FF273A" w:rsidRPr="009E0371">
        <w:t xml:space="preserve">que </w:t>
      </w:r>
      <w:r w:rsidR="00C7268F" w:rsidRPr="009E0371">
        <w:t xml:space="preserve">l’élément </w:t>
      </w:r>
      <w:r w:rsidR="000B0CA6">
        <w:t>est</w:t>
      </w:r>
      <w:r w:rsidR="000B0CA6" w:rsidRPr="009E0371">
        <w:t xml:space="preserve"> </w:t>
      </w:r>
      <w:r w:rsidR="00FF273A" w:rsidRPr="009E0371">
        <w:t xml:space="preserve">en effet </w:t>
      </w:r>
      <w:r w:rsidR="000B0CA6">
        <w:t>pratiqué par</w:t>
      </w:r>
      <w:r w:rsidR="00FF273A" w:rsidRPr="009E0371">
        <w:t xml:space="preserve"> </w:t>
      </w:r>
      <w:r w:rsidR="00C7268F" w:rsidRPr="009E0371">
        <w:t xml:space="preserve">toute </w:t>
      </w:r>
      <w:r w:rsidR="00FF273A" w:rsidRPr="009E0371">
        <w:t xml:space="preserve">une </w:t>
      </w:r>
      <w:r w:rsidR="00C7268F" w:rsidRPr="009E0371">
        <w:t>société</w:t>
      </w:r>
      <w:r w:rsidR="00FF273A" w:rsidRPr="009E0371">
        <w:t xml:space="preserve"> et que </w:t>
      </w:r>
      <w:r w:rsidR="00AA608B" w:rsidRPr="009E0371">
        <w:t>plusieurs</w:t>
      </w:r>
      <w:r w:rsidR="00B01AD1" w:rsidRPr="009E0371">
        <w:t xml:space="preserve"> de ses segments </w:t>
      </w:r>
      <w:r w:rsidR="00AA608B" w:rsidRPr="009E0371">
        <w:t xml:space="preserve">ont participé </w:t>
      </w:r>
      <w:r w:rsidR="00B01AD1" w:rsidRPr="009E0371">
        <w:t>au processus</w:t>
      </w:r>
      <w:r w:rsidR="00C7268F" w:rsidRPr="009E0371">
        <w:t xml:space="preserve"> </w:t>
      </w:r>
      <w:r w:rsidR="00B01AD1" w:rsidRPr="009E0371">
        <w:t xml:space="preserve">d’élaboration </w:t>
      </w:r>
      <w:r w:rsidR="00C7268F" w:rsidRPr="009E0371">
        <w:t xml:space="preserve">de </w:t>
      </w:r>
      <w:r w:rsidR="00B01AD1" w:rsidRPr="009E0371">
        <w:t xml:space="preserve">la </w:t>
      </w:r>
      <w:r w:rsidR="00C7268F" w:rsidRPr="009E0371">
        <w:t>candidature</w:t>
      </w:r>
      <w:r w:rsidR="000B0CA6">
        <w:t> ;</w:t>
      </w:r>
      <w:r w:rsidR="00C7268F" w:rsidRPr="009E0371">
        <w:t xml:space="preserve"> </w:t>
      </w:r>
      <w:r w:rsidR="000B0CA6">
        <w:t xml:space="preserve">cette démonstration doit être faite </w:t>
      </w:r>
      <w:r w:rsidR="00C7268F" w:rsidRPr="009E0371">
        <w:t xml:space="preserve">à la fois à travers la description fournie et, plus </w:t>
      </w:r>
      <w:r w:rsidR="00B01AD1" w:rsidRPr="009E0371">
        <w:t>particulièrement</w:t>
      </w:r>
      <w:r w:rsidR="00C7268F" w:rsidRPr="009E0371">
        <w:t xml:space="preserve">, par le biais </w:t>
      </w:r>
      <w:r w:rsidR="00B01AD1" w:rsidRPr="009E0371">
        <w:t xml:space="preserve">d’un large </w:t>
      </w:r>
      <w:r w:rsidR="00AA608B" w:rsidRPr="009E0371">
        <w:t xml:space="preserve">éventail </w:t>
      </w:r>
      <w:r w:rsidR="00B01AD1" w:rsidRPr="009E0371">
        <w:t xml:space="preserve">de </w:t>
      </w:r>
      <w:r w:rsidR="00C7268F" w:rsidRPr="009E0371">
        <w:t xml:space="preserve">preuves de consentement </w:t>
      </w:r>
      <w:r w:rsidR="00AA608B" w:rsidRPr="009E0371">
        <w:t xml:space="preserve">données </w:t>
      </w:r>
      <w:r w:rsidR="00C7268F" w:rsidRPr="009E0371">
        <w:t xml:space="preserve">par différents </w:t>
      </w:r>
      <w:r w:rsidR="00B01AD1" w:rsidRPr="009E0371">
        <w:t xml:space="preserve">segments et </w:t>
      </w:r>
      <w:r w:rsidR="00C7268F" w:rsidRPr="009E0371">
        <w:t>groupes.</w:t>
      </w:r>
    </w:p>
    <w:p w:rsidR="00A61F47" w:rsidRPr="00B86CF6" w:rsidRDefault="00656DE4" w:rsidP="00B86CF6">
      <w:pPr>
        <w:pStyle w:val="COMPara"/>
        <w:numPr>
          <w:ilvl w:val="0"/>
          <w:numId w:val="5"/>
        </w:numPr>
        <w:ind w:left="567" w:hanging="567"/>
        <w:jc w:val="both"/>
        <w:rPr>
          <w:rFonts w:eastAsia="Times New Roman"/>
          <w:lang w:eastAsia="en-GB" w:bidi="ar-SA"/>
        </w:rPr>
      </w:pPr>
      <w:r w:rsidRPr="009E0371">
        <w:rPr>
          <w:b/>
          <w:i/>
        </w:rPr>
        <w:t>Question de l’authenticité et vocabulaire inapproprié.</w:t>
      </w:r>
      <w:r w:rsidR="00C7268F" w:rsidRPr="009E0371">
        <w:t xml:space="preserve"> Comme l’ont souligné à maintes reprises le Comité et les organes </w:t>
      </w:r>
      <w:r w:rsidR="00ED021F" w:rsidRPr="009E0371">
        <w:t>précédents</w:t>
      </w:r>
      <w:r w:rsidR="00C7268F" w:rsidRPr="009E0371">
        <w:t xml:space="preserve">, les mots </w:t>
      </w:r>
      <w:r w:rsidR="00ED021F" w:rsidRPr="009E0371">
        <w:t xml:space="preserve">inappropriés </w:t>
      </w:r>
      <w:r w:rsidR="00C7268F" w:rsidRPr="009E0371">
        <w:t xml:space="preserve">et </w:t>
      </w:r>
      <w:r w:rsidR="00ED021F" w:rsidRPr="009E0371">
        <w:t xml:space="preserve">les </w:t>
      </w:r>
      <w:r w:rsidR="00C7268F" w:rsidRPr="009E0371">
        <w:t xml:space="preserve">expressions </w:t>
      </w:r>
      <w:r w:rsidR="00BE5A98" w:rsidRPr="009E0371">
        <w:t xml:space="preserve">peu propices </w:t>
      </w:r>
      <w:r w:rsidR="00C7268F" w:rsidRPr="009E0371">
        <w:t xml:space="preserve">au dialogue devraient être évités. Figurent dans cette catégorie des termes tels que « unique », « pur », « intact », « original », « authentique » et « la propriété de ». L’Organe d’évaluation a </w:t>
      </w:r>
      <w:r w:rsidR="00ED021F" w:rsidRPr="009E0371">
        <w:t xml:space="preserve">encore </w:t>
      </w:r>
      <w:r w:rsidR="00C7268F" w:rsidRPr="009E0371">
        <w:t xml:space="preserve">relevé au cours de ce </w:t>
      </w:r>
      <w:r w:rsidR="00C7268F" w:rsidRPr="009E0371">
        <w:rPr>
          <w:lang w:eastAsia="en-US" w:bidi="en-US"/>
        </w:rPr>
        <w:t>cycle</w:t>
      </w:r>
      <w:r w:rsidR="00C7268F" w:rsidRPr="009E0371">
        <w:t xml:space="preserve"> de nombreuses occurrences de tels termes. Afin de comprendre pourquoi ils continuent à être employés malgré des rappels répétés</w:t>
      </w:r>
      <w:r w:rsidR="00051BE9" w:rsidRPr="009E0371">
        <w:t xml:space="preserve"> à les éviter</w:t>
      </w:r>
      <w:r w:rsidR="00C7268F" w:rsidRPr="009E0371">
        <w:t>, l’Organe s</w:t>
      </w:r>
      <w:r w:rsidR="00051BE9" w:rsidRPr="009E0371">
        <w:t>’es</w:t>
      </w:r>
      <w:r w:rsidR="00C7268F" w:rsidRPr="009E0371">
        <w:t xml:space="preserve">t penché sur les nuances spécifiques et significations implicites de leur usage, en s’attardant sur </w:t>
      </w:r>
      <w:r w:rsidR="00051BE9" w:rsidRPr="009E0371">
        <w:t xml:space="preserve">le </w:t>
      </w:r>
      <w:r w:rsidR="00C7268F" w:rsidRPr="009E0371">
        <w:t xml:space="preserve">mot </w:t>
      </w:r>
      <w:r w:rsidR="00051BE9" w:rsidRPr="009E0371">
        <w:t xml:space="preserve">« authenticité » </w:t>
      </w:r>
      <w:r w:rsidR="00C7268F" w:rsidRPr="009E0371">
        <w:t xml:space="preserve">en particulier. Il ressort de </w:t>
      </w:r>
      <w:r w:rsidR="00051BE9" w:rsidRPr="009E0371">
        <w:t>son</w:t>
      </w:r>
      <w:r w:rsidR="00C7268F" w:rsidRPr="009E0371">
        <w:t xml:space="preserve"> analyse que le qualificatif d’« </w:t>
      </w:r>
      <w:r w:rsidR="00051BE9" w:rsidRPr="009E0371">
        <w:t>inapproprié </w:t>
      </w:r>
      <w:r w:rsidR="00C7268F" w:rsidRPr="009E0371">
        <w:t>» pour un tel vocabulaire ne rend pas bien compte</w:t>
      </w:r>
      <w:r w:rsidR="00A61F47" w:rsidRPr="009E0371">
        <w:t>, dans certains cas,</w:t>
      </w:r>
      <w:r w:rsidR="00C7268F" w:rsidRPr="009E0371">
        <w:t xml:space="preserve"> de l’étendue réelle du problème. En effet, au-delà d’un simple problème de formulation, ce que son usage </w:t>
      </w:r>
      <w:r w:rsidR="00051BE9" w:rsidRPr="009E0371">
        <w:t xml:space="preserve">révèle </w:t>
      </w:r>
      <w:r w:rsidR="00C7268F" w:rsidRPr="009E0371">
        <w:t>est un certain état d’esprit</w:t>
      </w:r>
      <w:r w:rsidR="00051BE9" w:rsidRPr="009E0371">
        <w:t>,</w:t>
      </w:r>
      <w:r w:rsidR="00C7268F" w:rsidRPr="009E0371">
        <w:t xml:space="preserve"> qui </w:t>
      </w:r>
      <w:r w:rsidR="00051BE9" w:rsidRPr="009E0371">
        <w:t xml:space="preserve">implique </w:t>
      </w:r>
      <w:r w:rsidR="00C7268F" w:rsidRPr="009E0371">
        <w:t xml:space="preserve">jusqu’à </w:t>
      </w:r>
      <w:r w:rsidR="00051BE9" w:rsidRPr="009E0371">
        <w:t xml:space="preserve">la négation de </w:t>
      </w:r>
      <w:r w:rsidR="00C7268F" w:rsidRPr="009E0371">
        <w:t xml:space="preserve">certains principes </w:t>
      </w:r>
      <w:r w:rsidR="00A61F47" w:rsidRPr="009E0371">
        <w:t xml:space="preserve">fondamentaux </w:t>
      </w:r>
      <w:r w:rsidR="00C7268F" w:rsidRPr="009E0371">
        <w:t xml:space="preserve">de la Convention, en </w:t>
      </w:r>
      <w:r w:rsidR="00051BE9" w:rsidRPr="009E0371">
        <w:t xml:space="preserve">véhiculant une conception statique de l’élément au lieu de sa </w:t>
      </w:r>
      <w:r w:rsidR="00C7268F" w:rsidRPr="009E0371">
        <w:t>recréation constante, faisant primer les formes, les fonctions et les significations passées sur le patrimoine vivant d’aujourd’hui</w:t>
      </w:r>
      <w:r w:rsidR="00051BE9" w:rsidRPr="009E0371">
        <w:t>,</w:t>
      </w:r>
      <w:r w:rsidR="00C7268F" w:rsidRPr="009E0371">
        <w:t xml:space="preserve"> ou en </w:t>
      </w:r>
      <w:r w:rsidR="00A61F47" w:rsidRPr="009E0371">
        <w:t xml:space="preserve">marginalisant </w:t>
      </w:r>
      <w:r w:rsidR="00C7268F" w:rsidRPr="009E0371">
        <w:t xml:space="preserve">les communautés par des mesures de sauvegarde </w:t>
      </w:r>
      <w:r w:rsidR="00EE4BA8" w:rsidRPr="009E0371">
        <w:t xml:space="preserve">conçues </w:t>
      </w:r>
      <w:r w:rsidR="00C7268F" w:rsidRPr="009E0371">
        <w:t>de haut en bas</w:t>
      </w:r>
      <w:r w:rsidR="00EE4BA8" w:rsidRPr="009E0371">
        <w:t xml:space="preserve"> au lieu de leur en laisser </w:t>
      </w:r>
      <w:r w:rsidR="00195697">
        <w:t>la maîtrise</w:t>
      </w:r>
      <w:r w:rsidR="00C7268F" w:rsidRPr="009E0371">
        <w:t xml:space="preserve">. Dans de tels cas, l’Organe </w:t>
      </w:r>
      <w:r w:rsidR="00EE4BA8" w:rsidRPr="009E0371">
        <w:t xml:space="preserve">estime qu’il devrait être explicitement rappelé </w:t>
      </w:r>
      <w:r w:rsidR="00C7268F" w:rsidRPr="009E0371">
        <w:t>aux États soumissionnaires qu’ils doivent s’en tenir aux idées, aux principes et aux objectifs de la Convention</w:t>
      </w:r>
      <w:r w:rsidR="00EE4BA8" w:rsidRPr="009E0371">
        <w:t xml:space="preserve"> ; l’Organe </w:t>
      </w:r>
      <w:r w:rsidR="004E7025" w:rsidRPr="009E0371">
        <w:t xml:space="preserve">mentionne </w:t>
      </w:r>
      <w:r w:rsidR="00C7268F" w:rsidRPr="009E0371">
        <w:t xml:space="preserve">d’ailleurs </w:t>
      </w:r>
      <w:r w:rsidR="00EE4BA8" w:rsidRPr="009E0371">
        <w:t xml:space="preserve">de telles erreurs de conception </w:t>
      </w:r>
      <w:r w:rsidR="00C7268F" w:rsidRPr="009E0371">
        <w:t xml:space="preserve">dans </w:t>
      </w:r>
      <w:r w:rsidR="0007343B" w:rsidRPr="009E0371">
        <w:t>l</w:t>
      </w:r>
      <w:r w:rsidR="00C7268F" w:rsidRPr="009E0371">
        <w:t>es projets de décision</w:t>
      </w:r>
      <w:r w:rsidR="0007343B" w:rsidRPr="009E0371">
        <w:t xml:space="preserve"> correspondants</w:t>
      </w:r>
      <w:r w:rsidR="00C7268F" w:rsidRPr="009E0371">
        <w:t>. Dans quelques rares dossiers, en revanche, le terme d’</w:t>
      </w:r>
      <w:r w:rsidR="00EE4BA8" w:rsidRPr="009E0371">
        <w:t>« </w:t>
      </w:r>
      <w:r w:rsidR="00C7268F" w:rsidRPr="009E0371">
        <w:t>authenticité » semble refléter le ressenti des communautés par rapport à leur identité et à leur continuité et, en tant que tel, a été jugé par l’Organe comme étant moins inapproprié. D</w:t>
      </w:r>
      <w:r w:rsidR="00EE4BA8" w:rsidRPr="009E0371">
        <w:t>e même, on peut se poser la</w:t>
      </w:r>
      <w:r w:rsidR="00C7268F" w:rsidRPr="009E0371">
        <w:t xml:space="preserve"> question de savoir si (et dans quel contexte) il existe une réelle différence de fond entre les termes « spécifique », qui est non seulement approprié mais également conseillé dans de nombreux contextes, et « unique », un terme jugé inapproprié. Quoi qu’il en soit, l’Organe d’évaluation</w:t>
      </w:r>
      <w:r w:rsidR="00C7268F" w:rsidRPr="00804AC7">
        <w:t xml:space="preserve"> sugg</w:t>
      </w:r>
      <w:r w:rsidR="00B15D43" w:rsidRPr="00804AC7">
        <w:t>ère</w:t>
      </w:r>
      <w:r w:rsidR="00C7268F" w:rsidRPr="00804AC7">
        <w:t xml:space="preserve"> au Comité et aux futurs </w:t>
      </w:r>
      <w:r w:rsidR="00B15D43" w:rsidRPr="00804AC7">
        <w:t xml:space="preserve">organes </w:t>
      </w:r>
      <w:r w:rsidR="00C7268F" w:rsidRPr="00804AC7">
        <w:t xml:space="preserve">d’évaluation </w:t>
      </w:r>
      <w:r w:rsidR="00B15D43" w:rsidRPr="00804AC7">
        <w:t xml:space="preserve">de poursuivre la réflexion sur </w:t>
      </w:r>
      <w:r w:rsidR="00C7268F" w:rsidRPr="00804AC7">
        <w:t xml:space="preserve">la question du vocabulaire inapproprié, en s’intéressant plus particulièrement à </w:t>
      </w:r>
      <w:r w:rsidR="00A61F47">
        <w:t xml:space="preserve">qui emploi ces termes, comment, dans quel contexte </w:t>
      </w:r>
      <w:r w:rsidR="00C7268F" w:rsidRPr="00804AC7">
        <w:t xml:space="preserve">et </w:t>
      </w:r>
      <w:r w:rsidR="00A61F47">
        <w:t>avec quelles</w:t>
      </w:r>
      <w:r w:rsidR="00A61F47" w:rsidRPr="00804AC7">
        <w:t xml:space="preserve"> </w:t>
      </w:r>
      <w:r w:rsidR="00C7268F" w:rsidRPr="00804AC7">
        <w:t>implications</w:t>
      </w:r>
      <w:r w:rsidR="00A61F47">
        <w:t>.</w:t>
      </w:r>
    </w:p>
    <w:p w:rsidR="00A5693C" w:rsidRPr="004E7025" w:rsidRDefault="00A5693C" w:rsidP="00B86CF6">
      <w:pPr>
        <w:pStyle w:val="COMPara"/>
        <w:numPr>
          <w:ilvl w:val="0"/>
          <w:numId w:val="5"/>
        </w:numPr>
        <w:ind w:left="567" w:hanging="567"/>
        <w:jc w:val="both"/>
      </w:pPr>
      <w:r>
        <w:rPr>
          <w:b/>
          <w:i/>
        </w:rPr>
        <w:t>Défis</w:t>
      </w:r>
      <w:r w:rsidRPr="00B86CF6">
        <w:rPr>
          <w:b/>
          <w:i/>
        </w:rPr>
        <w:t xml:space="preserve"> </w:t>
      </w:r>
      <w:r w:rsidR="00656DE4" w:rsidRPr="00B86CF6">
        <w:rPr>
          <w:b/>
          <w:i/>
        </w:rPr>
        <w:t>économiques et sociaux.</w:t>
      </w:r>
      <w:r w:rsidR="00656DE4" w:rsidRPr="00B86CF6">
        <w:rPr>
          <w:b/>
        </w:rPr>
        <w:t xml:space="preserve"> </w:t>
      </w:r>
      <w:r w:rsidR="00C7268F" w:rsidRPr="00804AC7">
        <w:t xml:space="preserve">Au cours de ce cycle, un nombre </w:t>
      </w:r>
      <w:r w:rsidR="00494316" w:rsidRPr="00804AC7">
        <w:t>important</w:t>
      </w:r>
      <w:r w:rsidR="00C7268F" w:rsidRPr="00804AC7">
        <w:t xml:space="preserve"> de candidatures impliquait des </w:t>
      </w:r>
      <w:r>
        <w:t>défis</w:t>
      </w:r>
      <w:r w:rsidRPr="00804AC7">
        <w:t xml:space="preserve"> </w:t>
      </w:r>
      <w:r w:rsidR="00C7268F" w:rsidRPr="00804AC7">
        <w:t xml:space="preserve">relatifs aux mutations économiques et sociales de l’élément, </w:t>
      </w:r>
      <w:r w:rsidR="00494316" w:rsidRPr="00804AC7">
        <w:t xml:space="preserve">en particulier ceux liés à </w:t>
      </w:r>
      <w:r w:rsidR="00C7268F" w:rsidRPr="00804AC7">
        <w:t xml:space="preserve">sa commercialisation </w:t>
      </w:r>
      <w:r w:rsidR="00494316" w:rsidRPr="00804AC7">
        <w:t>et commercialisation</w:t>
      </w:r>
      <w:r w:rsidR="0010605C" w:rsidRPr="00804AC7">
        <w:t xml:space="preserve"> excessive</w:t>
      </w:r>
      <w:r w:rsidR="00C7268F" w:rsidRPr="00804AC7">
        <w:t xml:space="preserve">, sa professionnalisation, son institutionnalisation ou encore son évolution vers une forme festivalière ou théâtrale. </w:t>
      </w:r>
      <w:r w:rsidR="00494316" w:rsidRPr="00804AC7">
        <w:t>Alors que</w:t>
      </w:r>
      <w:r w:rsidR="00C7268F" w:rsidRPr="00804AC7">
        <w:t xml:space="preserve"> </w:t>
      </w:r>
      <w:r w:rsidR="00494316" w:rsidRPr="00804AC7">
        <w:t xml:space="preserve">lors des </w:t>
      </w:r>
      <w:r w:rsidR="00C7268F" w:rsidRPr="00804AC7">
        <w:t xml:space="preserve">autres cycles de telles mutations étaient souvent </w:t>
      </w:r>
      <w:r w:rsidR="00494316" w:rsidRPr="00804AC7">
        <w:t xml:space="preserve">décrites </w:t>
      </w:r>
      <w:r w:rsidR="00C7268F" w:rsidRPr="00804AC7">
        <w:t xml:space="preserve">– sans toutefois de réflexion </w:t>
      </w:r>
      <w:r w:rsidR="00494316" w:rsidRPr="00F016A0">
        <w:rPr>
          <w:lang w:eastAsia="en-US" w:bidi="en-US"/>
        </w:rPr>
        <w:t xml:space="preserve">suffisante </w:t>
      </w:r>
      <w:r w:rsidR="00C7268F" w:rsidRPr="00804AC7">
        <w:t>sur leurs enjeux</w:t>
      </w:r>
      <w:r w:rsidR="00494316" w:rsidRPr="00804AC7">
        <w:t xml:space="preserve"> </w:t>
      </w:r>
      <w:r w:rsidR="00C7268F" w:rsidRPr="00804AC7">
        <w:t>–</w:t>
      </w:r>
      <w:r w:rsidR="00494316" w:rsidRPr="00804AC7">
        <w:t xml:space="preserve"> </w:t>
      </w:r>
      <w:r w:rsidR="00C7268F" w:rsidRPr="00804AC7">
        <w:t xml:space="preserve">et </w:t>
      </w:r>
      <w:r w:rsidR="00494316" w:rsidRPr="00804AC7">
        <w:t xml:space="preserve">qu’elles étaient </w:t>
      </w:r>
      <w:r w:rsidR="00C7268F" w:rsidRPr="00804AC7">
        <w:t xml:space="preserve">parfois prises en compte dans les mesures de sauvegarde proposées, </w:t>
      </w:r>
      <w:r w:rsidR="00494316" w:rsidRPr="00804AC7">
        <w:t>il semble que ce cycle soit porteur d’une autre tendance</w:t>
      </w:r>
      <w:r>
        <w:t xml:space="preserve"> inverse selon laquelle </w:t>
      </w:r>
      <w:r w:rsidR="00C7268F" w:rsidRPr="00804AC7">
        <w:t xml:space="preserve">les États soumissionnaires </w:t>
      </w:r>
      <w:r>
        <w:t>aient</w:t>
      </w:r>
      <w:r w:rsidRPr="00804AC7">
        <w:t xml:space="preserve"> </w:t>
      </w:r>
      <w:r w:rsidR="00494316" w:rsidRPr="00804AC7">
        <w:t xml:space="preserve">largement évité </w:t>
      </w:r>
      <w:r w:rsidR="00C7268F" w:rsidRPr="00804AC7">
        <w:t xml:space="preserve">de les mentionner. Ainsi, par exemple, le terme « tourisme » et les </w:t>
      </w:r>
      <w:r w:rsidR="00494316" w:rsidRPr="00804AC7">
        <w:t>termes</w:t>
      </w:r>
      <w:r w:rsidR="00C7268F" w:rsidRPr="00804AC7">
        <w:t xml:space="preserve"> associés ont été très peu employés </w:t>
      </w:r>
      <w:r>
        <w:t>même si,</w:t>
      </w:r>
      <w:r w:rsidR="00C7268F" w:rsidRPr="00804AC7">
        <w:t xml:space="preserve"> dans certaines candidatures</w:t>
      </w:r>
      <w:r>
        <w:t>,</w:t>
      </w:r>
      <w:r w:rsidR="00C7268F" w:rsidRPr="00804AC7">
        <w:t xml:space="preserve"> le tourisme semble </w:t>
      </w:r>
      <w:r>
        <w:t>occuper</w:t>
      </w:r>
      <w:r w:rsidRPr="00804AC7">
        <w:t xml:space="preserve"> </w:t>
      </w:r>
      <w:r>
        <w:t>une</w:t>
      </w:r>
      <w:r w:rsidR="00C7268F" w:rsidRPr="00804AC7">
        <w:t xml:space="preserve"> place</w:t>
      </w:r>
      <w:r>
        <w:t xml:space="preserve"> prépondérante</w:t>
      </w:r>
      <w:r w:rsidR="00C7268F" w:rsidRPr="00804AC7">
        <w:t xml:space="preserve">, </w:t>
      </w:r>
      <w:r>
        <w:t>bien qu’</w:t>
      </w:r>
      <w:r w:rsidR="00C7268F" w:rsidRPr="00804AC7">
        <w:t>implicite, dans la pratique courante et/ou dans les plans d’action futurs</w:t>
      </w:r>
      <w:r w:rsidR="004E7025">
        <w:t xml:space="preserve">, y compris les cas où il </w:t>
      </w:r>
      <w:r w:rsidR="0040313C">
        <w:t>joue un</w:t>
      </w:r>
      <w:r w:rsidR="004E7025">
        <w:t xml:space="preserve"> rôle dans le développement durable</w:t>
      </w:r>
      <w:r w:rsidR="00C7268F" w:rsidRPr="00804AC7">
        <w:t xml:space="preserve">. L’Organe d’évaluation souhaite encourager les États soumissionnaires à </w:t>
      </w:r>
      <w:r w:rsidR="004E7025">
        <w:t>aborder</w:t>
      </w:r>
      <w:r w:rsidR="00494316" w:rsidRPr="00804AC7">
        <w:t xml:space="preserve"> </w:t>
      </w:r>
      <w:r w:rsidR="00C7268F" w:rsidRPr="00804AC7">
        <w:t>ces enjeux</w:t>
      </w:r>
      <w:r w:rsidR="00494316" w:rsidRPr="00804AC7">
        <w:t xml:space="preserve"> directement</w:t>
      </w:r>
      <w:r w:rsidR="00C7268F" w:rsidRPr="00804AC7">
        <w:t>, dans la mesure où seule une délibération poussée et l’élaboration de mesures de sauvegarde appropriées qui en découlera pourront contribuer à la viabilité de l’élément concerné.</w:t>
      </w:r>
      <w:r w:rsidR="004E7025">
        <w:t xml:space="preserve"> </w:t>
      </w:r>
    </w:p>
    <w:p w:rsidR="00C7268F" w:rsidRPr="00804AC7" w:rsidRDefault="00195697" w:rsidP="00B86CF6">
      <w:pPr>
        <w:pStyle w:val="COMPara"/>
        <w:numPr>
          <w:ilvl w:val="0"/>
          <w:numId w:val="5"/>
        </w:numPr>
        <w:ind w:left="567" w:hanging="567"/>
        <w:jc w:val="both"/>
      </w:pPr>
      <w:r>
        <w:rPr>
          <w:b/>
          <w:i/>
        </w:rPr>
        <w:t>Maîtrise</w:t>
      </w:r>
      <w:r w:rsidRPr="00B86CF6">
        <w:rPr>
          <w:b/>
          <w:i/>
        </w:rPr>
        <w:t xml:space="preserve"> </w:t>
      </w:r>
      <w:r w:rsidR="00656DE4" w:rsidRPr="00B86CF6">
        <w:rPr>
          <w:b/>
          <w:i/>
        </w:rPr>
        <w:t>des communautés concernant la question de la dé- ou recontextualisation</w:t>
      </w:r>
      <w:r w:rsidR="00656DE4" w:rsidRPr="00B86CF6">
        <w:rPr>
          <w:b/>
        </w:rPr>
        <w:t>.</w:t>
      </w:r>
      <w:r w:rsidR="00C7268F" w:rsidRPr="00804AC7">
        <w:t xml:space="preserve"> Malgré les </w:t>
      </w:r>
      <w:r w:rsidR="00C7268F" w:rsidRPr="00F016A0">
        <w:rPr>
          <w:lang w:eastAsia="en-US" w:bidi="en-US"/>
        </w:rPr>
        <w:t>mécanismes</w:t>
      </w:r>
      <w:r w:rsidR="00C7268F" w:rsidRPr="00804AC7">
        <w:t xml:space="preserve"> possibles envisagés par l’ensemble des parties concernées à l’échelle locale comme internationale, les mutations économiques et sociales susmentionnées </w:t>
      </w:r>
      <w:r w:rsidR="00A5693C">
        <w:t>s’avèrent</w:t>
      </w:r>
      <w:r w:rsidR="00A5693C" w:rsidRPr="00804AC7">
        <w:t xml:space="preserve"> </w:t>
      </w:r>
      <w:r w:rsidR="00C7268F" w:rsidRPr="00804AC7">
        <w:t xml:space="preserve">difficiles à </w:t>
      </w:r>
      <w:r w:rsidR="005E5002" w:rsidRPr="00804AC7">
        <w:t xml:space="preserve">atténuer </w:t>
      </w:r>
      <w:r w:rsidR="00C7268F" w:rsidRPr="00804AC7">
        <w:t xml:space="preserve">de manière efficace et </w:t>
      </w:r>
      <w:r w:rsidR="00A5693C">
        <w:t>systématique</w:t>
      </w:r>
      <w:r w:rsidR="00C7268F" w:rsidRPr="00804AC7">
        <w:t xml:space="preserve">. Les fonctions sociales et significations culturelles semblent particulièrement vulnérables à de telles mutations, surtout lorsque les éléments concernés </w:t>
      </w:r>
      <w:r w:rsidR="00A5693C">
        <w:t>nécessitent une</w:t>
      </w:r>
      <w:r w:rsidR="00C7268F" w:rsidRPr="00804AC7">
        <w:t xml:space="preserve"> sauvegarde urgente ou intègrent traditionnellement des préoccupations économiques à un degré important : artisanat, arts du spectacle, rituels et événement festifs par exemple. Dans son </w:t>
      </w:r>
      <w:r w:rsidR="00FD7719">
        <w:t>évaluation</w:t>
      </w:r>
      <w:r w:rsidR="00FD7719" w:rsidRPr="00804AC7">
        <w:t xml:space="preserve"> </w:t>
      </w:r>
      <w:r w:rsidR="00C7268F" w:rsidRPr="00804AC7">
        <w:t xml:space="preserve">de l’adéquation des mesures proposées pour la sauvegarde de tels éléments, l’Organe d’évaluation s’est appuyé sur les preuves </w:t>
      </w:r>
      <w:r>
        <w:t>que l</w:t>
      </w:r>
      <w:r w:rsidR="00C7268F" w:rsidRPr="00804AC7">
        <w:t xml:space="preserve">es communautés </w:t>
      </w:r>
      <w:r>
        <w:t xml:space="preserve">ont la main </w:t>
      </w:r>
      <w:r w:rsidR="00C7268F" w:rsidRPr="00804AC7">
        <w:t xml:space="preserve">dans leur élaboration et leur mise en œuvre. Il a émis des recommandations favorables lorsqu’un ensemble de fonctions et de significations </w:t>
      </w:r>
      <w:r w:rsidR="001621D5" w:rsidRPr="00804AC7">
        <w:t xml:space="preserve">alternatives </w:t>
      </w:r>
      <w:r w:rsidR="00C7268F" w:rsidRPr="00804AC7">
        <w:t xml:space="preserve">était identifié par les communautés concernées, même si l’efficacité d’une telle approche pour la viabilité de l’élément semblait discutable d’un point de vue extérieur et/ou en comparaison d’autres approches. A contrario, l’Organe ne s’est pas prononcé favorablement lorsque les fonctions et significations </w:t>
      </w:r>
      <w:r w:rsidR="001621D5" w:rsidRPr="00804AC7">
        <w:t xml:space="preserve">alternatives </w:t>
      </w:r>
      <w:r w:rsidR="00C7268F" w:rsidRPr="00804AC7">
        <w:t>étaient défendues uniquement par les parties externes telles que les experts, les organisations non gouvernementales ou les agences gouvernementales.</w:t>
      </w:r>
    </w:p>
    <w:p w:rsidR="00C7268F" w:rsidRPr="00FD7719" w:rsidRDefault="00656DE4" w:rsidP="00B86CF6">
      <w:pPr>
        <w:pStyle w:val="COMPara"/>
        <w:numPr>
          <w:ilvl w:val="0"/>
          <w:numId w:val="5"/>
        </w:numPr>
        <w:ind w:left="567" w:hanging="567"/>
        <w:jc w:val="both"/>
      </w:pPr>
      <w:r w:rsidRPr="00B86CF6">
        <w:rPr>
          <w:b/>
          <w:i/>
        </w:rPr>
        <w:t>Perspective historique</w:t>
      </w:r>
      <w:r w:rsidRPr="00B86CF6">
        <w:rPr>
          <w:b/>
        </w:rPr>
        <w:t>.</w:t>
      </w:r>
      <w:r w:rsidR="00C7268F" w:rsidRPr="00FD7719">
        <w:t xml:space="preserve"> Comme l’on</w:t>
      </w:r>
      <w:r w:rsidR="000E2EBF" w:rsidRPr="00FD7719">
        <w:t>t</w:t>
      </w:r>
      <w:r w:rsidR="00C7268F" w:rsidRPr="00FD7719">
        <w:t xml:space="preserve"> souvent souligné le Comité et les différents organes d’évaluation, la description de l’élément ne doit pas se focaliser sur ses aspects historiques, mais plutôt sur les fonctions sociales </w:t>
      </w:r>
      <w:r w:rsidR="000A5076" w:rsidRPr="00FD7719">
        <w:t xml:space="preserve">actuelles </w:t>
      </w:r>
      <w:r w:rsidR="00C7268F" w:rsidRPr="00FD7719">
        <w:t xml:space="preserve">et les significations réelles pour les communautés concernées. Plutôt que de décrire en détail les dynamiques actuelles de l’élément proposé, de nombreuses candidatures du présent cycle se sont contentées de présenter son état passé. D’autres étaient approximatives ou confuses dans leur usage du passé </w:t>
      </w:r>
      <w:r w:rsidR="000A5076" w:rsidRPr="00FD7719">
        <w:t>et</w:t>
      </w:r>
      <w:r w:rsidR="00C7268F" w:rsidRPr="00FD7719">
        <w:t xml:space="preserve"> du présent. Un autre problème relatif au point de vue historique a été soulevé par une candidature à la Liste représentative. </w:t>
      </w:r>
      <w:r w:rsidRPr="00B86CF6">
        <w:t>Malgré une finalité manifeste de reconstruction historique</w:t>
      </w:r>
      <w:r w:rsidR="00C7268F" w:rsidRPr="00FD7719">
        <w:t xml:space="preserve">, cette candidature démontre de manière évidente l’adhésion des communautés concernées à une telle approche. </w:t>
      </w:r>
      <w:r w:rsidR="000E2EBF" w:rsidRPr="00B86CF6">
        <w:t>Ce</w:t>
      </w:r>
      <w:r w:rsidRPr="00B86CF6">
        <w:t xml:space="preserve"> </w:t>
      </w:r>
      <w:r w:rsidR="000E2EBF" w:rsidRPr="00B86CF6">
        <w:t>dernier</w:t>
      </w:r>
      <w:r w:rsidRPr="00B86CF6">
        <w:t xml:space="preserve"> aspect, déterminant, a incité l’Organe à recommander</w:t>
      </w:r>
      <w:r w:rsidR="00FD7719" w:rsidRPr="00B86CF6">
        <w:t>, dans ce cas,</w:t>
      </w:r>
      <w:r w:rsidRPr="00B86CF6">
        <w:t xml:space="preserve"> l’inscription de l’élément.</w:t>
      </w:r>
      <w:r w:rsidR="00C7268F" w:rsidRPr="00FD7719">
        <w:t xml:space="preserve"> Après tout, le patrimoine culturel immatériel reste et restera à jamais une question de pratiques vivantes qui peuvent, comme l’illustre ce cas, tourner autour de l’interaction entre les communautés concernées </w:t>
      </w:r>
      <w:r w:rsidR="000A5076" w:rsidRPr="00FD7719">
        <w:t xml:space="preserve">avec </w:t>
      </w:r>
      <w:r w:rsidR="00C7268F" w:rsidRPr="00FD7719">
        <w:t>leur histoire.</w:t>
      </w:r>
    </w:p>
    <w:p w:rsidR="00C7268F" w:rsidRDefault="00656DE4" w:rsidP="00B86CF6">
      <w:pPr>
        <w:pStyle w:val="COMPara"/>
        <w:numPr>
          <w:ilvl w:val="0"/>
          <w:numId w:val="5"/>
        </w:numPr>
        <w:ind w:left="567" w:hanging="567"/>
        <w:jc w:val="both"/>
      </w:pPr>
      <w:r w:rsidRPr="00B86CF6">
        <w:rPr>
          <w:b/>
          <w:i/>
        </w:rPr>
        <w:t>Relation entre le patrimoine culturel immatériel et les aspects ou objets matériels y étant associés.</w:t>
      </w:r>
      <w:r w:rsidR="00C7268F" w:rsidRPr="00804AC7">
        <w:t xml:space="preserve"> L’Organe d’évaluation note avec satisfaction que </w:t>
      </w:r>
      <w:r w:rsidR="001F606E" w:rsidRPr="00804AC7">
        <w:t xml:space="preserve">plusieurs </w:t>
      </w:r>
      <w:r w:rsidR="00C7268F" w:rsidRPr="00804AC7">
        <w:t xml:space="preserve">candidatures de ce cycle confirment le lien entre le patrimoine culturel immatériel et ses aspects matériels, tels que les espaces et circuits culturels. Une candidature a toutefois présenté un </w:t>
      </w:r>
      <w:r w:rsidR="001F606E" w:rsidRPr="00804AC7">
        <w:t xml:space="preserve">défi </w:t>
      </w:r>
      <w:r w:rsidR="00C7268F" w:rsidRPr="00804AC7">
        <w:t xml:space="preserve">à cet </w:t>
      </w:r>
      <w:r w:rsidR="001F606E" w:rsidRPr="00804AC7">
        <w:t>égard </w:t>
      </w:r>
      <w:r w:rsidR="00C7268F" w:rsidRPr="00804AC7">
        <w:t xml:space="preserve">: il s’agit de celle d’un espace physique servant de lieu de pratique à d’autres éléments, mais </w:t>
      </w:r>
      <w:r w:rsidR="00FD7719">
        <w:t xml:space="preserve">dont on peut se demander s’il constitue lui-même un </w:t>
      </w:r>
      <w:r w:rsidR="00C7268F" w:rsidRPr="00804AC7">
        <w:t xml:space="preserve">élément de patrimoine culturel immatériel. Se référant à l’article 2 de la Convention, qui mentionne </w:t>
      </w:r>
      <w:r w:rsidR="001F606E" w:rsidRPr="00804AC7">
        <w:t xml:space="preserve">explicitement </w:t>
      </w:r>
      <w:r w:rsidR="00C7268F" w:rsidRPr="00804AC7">
        <w:t xml:space="preserve">les espaces culturels associés aux manifestations essentielles du patrimoine culturel immatériel (à savoir les pratiques, représentations, expressions, connaissances et savoir-faire) et compte tenu </w:t>
      </w:r>
      <w:r w:rsidR="001F606E" w:rsidRPr="00804AC7">
        <w:t xml:space="preserve">du </w:t>
      </w:r>
      <w:r w:rsidR="00C7268F" w:rsidRPr="00804AC7">
        <w:t xml:space="preserve">contexte culturel et social propre à chaque État partie, l’Organe a décidé de recommander l’inscription. Dans un autre ordre d’idées, l’Organe </w:t>
      </w:r>
      <w:r w:rsidR="00FD7719">
        <w:t>s’est retrouve face à</w:t>
      </w:r>
      <w:r w:rsidR="00C7268F" w:rsidRPr="00804AC7">
        <w:t xml:space="preserve"> plusieurs candidatures </w:t>
      </w:r>
      <w:r w:rsidR="002B6B03">
        <w:t xml:space="preserve">qui </w:t>
      </w:r>
      <w:r w:rsidR="00C7268F" w:rsidRPr="00804AC7">
        <w:t>metta</w:t>
      </w:r>
      <w:r w:rsidR="002B6B03">
        <w:t>ie</w:t>
      </w:r>
      <w:r w:rsidR="00C7268F" w:rsidRPr="00804AC7">
        <w:t xml:space="preserve">nt </w:t>
      </w:r>
      <w:r w:rsidR="002B6B03">
        <w:t>l’accent sur</w:t>
      </w:r>
      <w:r w:rsidR="00C7268F" w:rsidRPr="00804AC7">
        <w:t xml:space="preserve"> les </w:t>
      </w:r>
      <w:r w:rsidR="001F606E" w:rsidRPr="00804AC7">
        <w:t xml:space="preserve">produits </w:t>
      </w:r>
      <w:r w:rsidR="002B6B03">
        <w:t xml:space="preserve">résultant </w:t>
      </w:r>
      <w:r w:rsidR="00C7268F" w:rsidRPr="00804AC7">
        <w:t>de la pratique de l’élément concerné</w:t>
      </w:r>
      <w:r w:rsidR="002B6B03">
        <w:t>. Naturellement, cela concerne en particulier l’artisanat.</w:t>
      </w:r>
      <w:r w:rsidR="00C7268F" w:rsidRPr="00804AC7">
        <w:t xml:space="preserve"> L’évaluation conduite par l’Organe pour de telles candidatures </w:t>
      </w:r>
      <w:r w:rsidR="002B6B03">
        <w:t>s’est vue</w:t>
      </w:r>
      <w:r w:rsidR="005C127C" w:rsidRPr="00804AC7">
        <w:t xml:space="preserve"> </w:t>
      </w:r>
      <w:r w:rsidR="002B6B03">
        <w:t>façonnée</w:t>
      </w:r>
      <w:r w:rsidR="002B6B03" w:rsidRPr="00804AC7">
        <w:t xml:space="preserve"> </w:t>
      </w:r>
      <w:r w:rsidR="00C7268F" w:rsidRPr="00804AC7">
        <w:t>d’une part par le point de vue et l’implication des communautés concernées et d’autre part par l’orientation principale des mesures ou du plan de sauvegarde</w:t>
      </w:r>
      <w:r w:rsidR="005C127C" w:rsidRPr="00804AC7">
        <w:t xml:space="preserve">, en se demandant </w:t>
      </w:r>
      <w:r w:rsidR="0099104E">
        <w:t xml:space="preserve">notamment </w:t>
      </w:r>
      <w:r w:rsidR="005C127C" w:rsidRPr="00804AC7">
        <w:t xml:space="preserve">si de telles mesures avaient pour objectif </w:t>
      </w:r>
      <w:r w:rsidR="00C7268F" w:rsidRPr="00804AC7">
        <w:t>d</w:t>
      </w:r>
      <w:r w:rsidR="005C127C" w:rsidRPr="00804AC7">
        <w:t>’augmenter</w:t>
      </w:r>
      <w:r w:rsidR="00C7268F" w:rsidRPr="00804AC7">
        <w:t xml:space="preserve"> la productivité ou </w:t>
      </w:r>
      <w:r w:rsidR="005C127C" w:rsidRPr="00804AC7">
        <w:t xml:space="preserve">de soutenir la pratique des </w:t>
      </w:r>
      <w:r w:rsidR="00C7268F" w:rsidRPr="00804AC7">
        <w:t>artisans</w:t>
      </w:r>
      <w:r w:rsidR="005C127C" w:rsidRPr="00804AC7">
        <w:t>.</w:t>
      </w:r>
    </w:p>
    <w:p w:rsidR="003A4DA1" w:rsidRDefault="00656DE4" w:rsidP="00B86CF6">
      <w:pPr>
        <w:pStyle w:val="COMPara"/>
        <w:numPr>
          <w:ilvl w:val="0"/>
          <w:numId w:val="5"/>
        </w:numPr>
        <w:ind w:left="567" w:hanging="567"/>
        <w:jc w:val="both"/>
      </w:pPr>
      <w:r w:rsidRPr="00B86CF6">
        <w:rPr>
          <w:b/>
          <w:i/>
        </w:rPr>
        <w:t>Candidatures à caractère résolument national dans leur perspective et encouragement au dialogue au sein des communautés</w:t>
      </w:r>
      <w:r w:rsidRPr="00B86CF6">
        <w:rPr>
          <w:b/>
        </w:rPr>
        <w:t>.</w:t>
      </w:r>
      <w:r w:rsidR="00C7268F" w:rsidRPr="00804AC7">
        <w:t xml:space="preserve"> L’Organe estime que l’encouragement au dialogue entre communautés, qui constitue l’un des objectifs </w:t>
      </w:r>
      <w:r w:rsidR="00797655">
        <w:t>fondamentaux</w:t>
      </w:r>
      <w:r w:rsidR="00797655" w:rsidRPr="00804AC7">
        <w:t xml:space="preserve"> </w:t>
      </w:r>
      <w:r w:rsidR="00C7268F" w:rsidRPr="00804AC7">
        <w:t xml:space="preserve">de la Convention, s’applique également aux relations entre les </w:t>
      </w:r>
      <w:r w:rsidR="00C7268F" w:rsidRPr="00F016A0">
        <w:rPr>
          <w:bCs/>
          <w:lang w:eastAsia="en-US" w:bidi="en-US"/>
        </w:rPr>
        <w:t>États</w:t>
      </w:r>
      <w:r w:rsidR="00C7268F" w:rsidRPr="00804AC7">
        <w:t xml:space="preserve"> parties et au sein de ces derniers. Ainsi, </w:t>
      </w:r>
      <w:r w:rsidR="0010605C" w:rsidRPr="00804AC7">
        <w:t xml:space="preserve">stimulé </w:t>
      </w:r>
      <w:r w:rsidR="00C7268F" w:rsidRPr="00804AC7">
        <w:t>par plusieurs candidatures du présent cycle présentant un caractère résolument national</w:t>
      </w:r>
      <w:r w:rsidR="0010605C" w:rsidRPr="00804AC7">
        <w:t xml:space="preserve"> dans leur perspective</w:t>
      </w:r>
      <w:r w:rsidR="00C7268F" w:rsidRPr="00804AC7">
        <w:t xml:space="preserve">, il a engagé des discussions portant sur les moyens de favoriser davantage le dialogue parmi les communautés présentes au sein d’un même État. </w:t>
      </w:r>
      <w:r w:rsidR="003A4DA1">
        <w:rPr>
          <w:rStyle w:val="hps"/>
        </w:rPr>
        <w:t xml:space="preserve">Faisant écho </w:t>
      </w:r>
      <w:r w:rsidR="00CC48D5">
        <w:rPr>
          <w:rStyle w:val="hps"/>
        </w:rPr>
        <w:t>aux</w:t>
      </w:r>
      <w:r w:rsidR="003A4DA1">
        <w:rPr>
          <w:rStyle w:val="hps"/>
        </w:rPr>
        <w:t xml:space="preserve"> recommandation</w:t>
      </w:r>
      <w:r w:rsidR="00CC48D5">
        <w:rPr>
          <w:rStyle w:val="hps"/>
        </w:rPr>
        <w:t>s</w:t>
      </w:r>
      <w:r w:rsidR="003A4DA1">
        <w:t xml:space="preserve"> </w:t>
      </w:r>
      <w:r w:rsidR="003A4DA1">
        <w:rPr>
          <w:rStyle w:val="hps"/>
        </w:rPr>
        <w:t>répétée</w:t>
      </w:r>
      <w:r w:rsidR="00CC48D5">
        <w:rPr>
          <w:rStyle w:val="hps"/>
        </w:rPr>
        <w:t>s</w:t>
      </w:r>
      <w:r w:rsidR="003A4DA1">
        <w:t xml:space="preserve"> </w:t>
      </w:r>
      <w:r w:rsidR="003A4DA1">
        <w:rPr>
          <w:rStyle w:val="hps"/>
        </w:rPr>
        <w:t>par le Comité</w:t>
      </w:r>
      <w:r w:rsidR="003A4DA1">
        <w:t xml:space="preserve"> </w:t>
      </w:r>
      <w:r w:rsidR="0083524D">
        <w:rPr>
          <w:rStyle w:val="hps"/>
        </w:rPr>
        <w:t>par</w:t>
      </w:r>
      <w:r w:rsidR="003A4DA1">
        <w:rPr>
          <w:rStyle w:val="hps"/>
        </w:rPr>
        <w:t xml:space="preserve"> le passé d’éviter des expressions</w:t>
      </w:r>
      <w:r w:rsidR="003A4DA1">
        <w:t xml:space="preserve"> </w:t>
      </w:r>
      <w:r w:rsidR="003A4DA1">
        <w:rPr>
          <w:rStyle w:val="hps"/>
        </w:rPr>
        <w:t>susceptibles de conduire par inadvertance</w:t>
      </w:r>
      <w:r w:rsidR="003A4DA1">
        <w:t xml:space="preserve"> </w:t>
      </w:r>
      <w:r w:rsidR="003A4DA1">
        <w:rPr>
          <w:rStyle w:val="hps"/>
        </w:rPr>
        <w:t>à des malentendus</w:t>
      </w:r>
      <w:r w:rsidR="003A4DA1">
        <w:t xml:space="preserve"> </w:t>
      </w:r>
      <w:r w:rsidR="003A4DA1">
        <w:rPr>
          <w:rStyle w:val="hps"/>
        </w:rPr>
        <w:t xml:space="preserve">plutôt qu’à la </w:t>
      </w:r>
      <w:r w:rsidR="003A4DA1" w:rsidRPr="00804AC7">
        <w:t>coopération lors de l’élaboration d’une candidature impliquant un patrimoine transfrontalier</w:t>
      </w:r>
      <w:r w:rsidR="003A4DA1">
        <w:t xml:space="preserve">, l’Organe d’évaluation </w:t>
      </w:r>
      <w:r w:rsidR="00CA03C5">
        <w:t xml:space="preserve">a été </w:t>
      </w:r>
      <w:r w:rsidR="0083524D">
        <w:t xml:space="preserve">également </w:t>
      </w:r>
      <w:r w:rsidR="00CA03C5">
        <w:t xml:space="preserve">d’avis que ce type de considération doit s’appliquer </w:t>
      </w:r>
      <w:r w:rsidR="00CA03C5">
        <w:rPr>
          <w:rStyle w:val="hps"/>
        </w:rPr>
        <w:t xml:space="preserve">au contexte national. </w:t>
      </w:r>
      <w:r w:rsidR="00CA03C5">
        <w:t>Les</w:t>
      </w:r>
      <w:r w:rsidR="003A4DA1">
        <w:t xml:space="preserve"> </w:t>
      </w:r>
      <w:r w:rsidR="003A4DA1">
        <w:rPr>
          <w:rStyle w:val="hps"/>
        </w:rPr>
        <w:t>État</w:t>
      </w:r>
      <w:r w:rsidR="00CA03C5">
        <w:rPr>
          <w:rStyle w:val="hps"/>
        </w:rPr>
        <w:t>s</w:t>
      </w:r>
      <w:r w:rsidR="003A4DA1">
        <w:rPr>
          <w:rStyle w:val="hps"/>
        </w:rPr>
        <w:t xml:space="preserve"> soumissionnaire</w:t>
      </w:r>
      <w:r w:rsidR="00CA03C5">
        <w:rPr>
          <w:rStyle w:val="hps"/>
        </w:rPr>
        <w:t>s devraient être particulièrement attentifs à</w:t>
      </w:r>
      <w:r w:rsidR="003A4DA1">
        <w:rPr>
          <w:rStyle w:val="hps"/>
        </w:rPr>
        <w:t xml:space="preserve"> reconnaître</w:t>
      </w:r>
      <w:r w:rsidR="003A4DA1">
        <w:t xml:space="preserve"> </w:t>
      </w:r>
      <w:r w:rsidR="00CA03C5">
        <w:rPr>
          <w:rStyle w:val="hps"/>
        </w:rPr>
        <w:t>toutes les</w:t>
      </w:r>
      <w:r w:rsidR="003A4DA1">
        <w:rPr>
          <w:rStyle w:val="hps"/>
        </w:rPr>
        <w:t xml:space="preserve"> communautés</w:t>
      </w:r>
      <w:r w:rsidR="003A4DA1">
        <w:t xml:space="preserve"> </w:t>
      </w:r>
      <w:r w:rsidR="003A4DA1">
        <w:rPr>
          <w:rStyle w:val="hps"/>
        </w:rPr>
        <w:t>présent</w:t>
      </w:r>
      <w:r w:rsidR="00CA03C5">
        <w:rPr>
          <w:rStyle w:val="hps"/>
        </w:rPr>
        <w:t>es</w:t>
      </w:r>
      <w:r w:rsidR="003A4DA1">
        <w:rPr>
          <w:rStyle w:val="hps"/>
        </w:rPr>
        <w:t xml:space="preserve"> sur </w:t>
      </w:r>
      <w:r w:rsidR="00CA03C5">
        <w:rPr>
          <w:rStyle w:val="hps"/>
        </w:rPr>
        <w:t>leur</w:t>
      </w:r>
      <w:r w:rsidR="003A4DA1">
        <w:rPr>
          <w:rStyle w:val="hps"/>
        </w:rPr>
        <w:t xml:space="preserve"> territoire</w:t>
      </w:r>
      <w:r w:rsidR="003A4DA1">
        <w:t xml:space="preserve"> </w:t>
      </w:r>
      <w:r w:rsidR="003A4DA1">
        <w:rPr>
          <w:rStyle w:val="hps"/>
        </w:rPr>
        <w:t>lors de l’élaboration</w:t>
      </w:r>
      <w:r w:rsidR="003A4DA1">
        <w:t xml:space="preserve"> </w:t>
      </w:r>
      <w:r w:rsidR="003A4DA1">
        <w:rPr>
          <w:rStyle w:val="hps"/>
        </w:rPr>
        <w:t>d’une</w:t>
      </w:r>
      <w:r w:rsidR="003A4DA1">
        <w:t xml:space="preserve"> </w:t>
      </w:r>
      <w:r w:rsidR="003A4DA1">
        <w:rPr>
          <w:rStyle w:val="hps"/>
        </w:rPr>
        <w:t>candidature</w:t>
      </w:r>
      <w:r w:rsidR="003A4DA1">
        <w:t xml:space="preserve"> </w:t>
      </w:r>
      <w:r w:rsidR="003A4DA1">
        <w:rPr>
          <w:rStyle w:val="hps"/>
        </w:rPr>
        <w:t>qui prétend</w:t>
      </w:r>
      <w:r w:rsidR="003A4DA1">
        <w:t xml:space="preserve"> </w:t>
      </w:r>
      <w:r w:rsidR="003A4DA1">
        <w:rPr>
          <w:rStyle w:val="hps"/>
        </w:rPr>
        <w:t>englober toute</w:t>
      </w:r>
      <w:r w:rsidR="003A4DA1">
        <w:t xml:space="preserve"> </w:t>
      </w:r>
      <w:r w:rsidR="003A4DA1">
        <w:rPr>
          <w:rStyle w:val="hps"/>
        </w:rPr>
        <w:t>une nation</w:t>
      </w:r>
      <w:r w:rsidR="003A4DA1">
        <w:t xml:space="preserve"> </w:t>
      </w:r>
      <w:r w:rsidR="003A4DA1">
        <w:rPr>
          <w:rStyle w:val="hps"/>
        </w:rPr>
        <w:t>ou toute la population</w:t>
      </w:r>
      <w:r w:rsidR="003A4DA1">
        <w:t xml:space="preserve"> </w:t>
      </w:r>
      <w:r w:rsidR="003A4DA1">
        <w:rPr>
          <w:rStyle w:val="hps"/>
        </w:rPr>
        <w:t>du pays concerné</w:t>
      </w:r>
      <w:r w:rsidR="003A4DA1">
        <w:t>.</w:t>
      </w:r>
    </w:p>
    <w:p w:rsidR="00C7268F" w:rsidRPr="00804AC7" w:rsidRDefault="00656DE4" w:rsidP="00B86CF6">
      <w:pPr>
        <w:pStyle w:val="COMPara"/>
        <w:numPr>
          <w:ilvl w:val="0"/>
          <w:numId w:val="2"/>
        </w:numPr>
        <w:ind w:left="567" w:hanging="567"/>
        <w:jc w:val="both"/>
      </w:pPr>
      <w:r w:rsidRPr="00B86CF6">
        <w:rPr>
          <w:b/>
          <w:i/>
        </w:rPr>
        <w:t>Traditions orales et encouragement au dialogue parmi les communautés</w:t>
      </w:r>
      <w:r w:rsidRPr="00B86CF6">
        <w:rPr>
          <w:b/>
        </w:rPr>
        <w:t>.</w:t>
      </w:r>
      <w:r w:rsidR="00C7268F" w:rsidRPr="00804AC7">
        <w:t xml:space="preserve"> Un nombre non négligeable de candidatures pour ce cycle impliquent </w:t>
      </w:r>
      <w:r w:rsidR="00797655">
        <w:t>partiellement ou totalement</w:t>
      </w:r>
      <w:r w:rsidR="00C7268F" w:rsidRPr="00804AC7">
        <w:t xml:space="preserve"> </w:t>
      </w:r>
      <w:r w:rsidR="00214877" w:rsidRPr="00804AC7">
        <w:t xml:space="preserve">des </w:t>
      </w:r>
      <w:r w:rsidR="00C7268F" w:rsidRPr="00804AC7">
        <w:t xml:space="preserve">traditions orales. Si le contenu abordé à travers la pratique de tels éléments est en général plus ou moins </w:t>
      </w:r>
      <w:r w:rsidR="00797655">
        <w:t>décrit</w:t>
      </w:r>
      <w:r w:rsidR="00C7268F" w:rsidRPr="00804AC7">
        <w:t xml:space="preserve"> dans la partie </w:t>
      </w:r>
      <w:r w:rsidR="00797655">
        <w:t>narrative</w:t>
      </w:r>
      <w:r w:rsidR="00797655" w:rsidRPr="00804AC7">
        <w:t xml:space="preserve"> </w:t>
      </w:r>
      <w:r w:rsidR="00C7268F" w:rsidRPr="00804AC7">
        <w:t xml:space="preserve">des candidatures, il reste difficilement accessible par le biais des vidéos jointes. Dans ses projets de décision respectifs, l’Organe d’évaluation encourage donc les États parties à faire traduire les paroles de leurs chansons et </w:t>
      </w:r>
      <w:r w:rsidR="00797655">
        <w:t>strophes</w:t>
      </w:r>
      <w:r w:rsidR="00797655" w:rsidRPr="00804AC7">
        <w:t xml:space="preserve"> </w:t>
      </w:r>
      <w:r w:rsidR="00C7268F" w:rsidRPr="00804AC7">
        <w:t xml:space="preserve">afin de favoriser le dialogue et le respect mutuel </w:t>
      </w:r>
      <w:r w:rsidR="00797655">
        <w:t>au-delà</w:t>
      </w:r>
      <w:r w:rsidR="00C7268F" w:rsidRPr="00804AC7">
        <w:t xml:space="preserve"> </w:t>
      </w:r>
      <w:r w:rsidR="00797655">
        <w:t>d</w:t>
      </w:r>
      <w:r w:rsidR="00C7268F" w:rsidRPr="00804AC7">
        <w:t xml:space="preserve">es frontières nationales et linguistiques. </w:t>
      </w:r>
    </w:p>
    <w:p w:rsidR="00C7268F" w:rsidRDefault="00656DE4" w:rsidP="00B86CF6">
      <w:pPr>
        <w:pStyle w:val="COMPara"/>
        <w:numPr>
          <w:ilvl w:val="0"/>
          <w:numId w:val="2"/>
        </w:numPr>
        <w:ind w:left="567" w:hanging="567"/>
        <w:jc w:val="both"/>
      </w:pPr>
      <w:r w:rsidRPr="00B86CF6">
        <w:rPr>
          <w:b/>
          <w:i/>
        </w:rPr>
        <w:t xml:space="preserve">Références inutiles à des pays spécifiques ou </w:t>
      </w:r>
      <w:r w:rsidR="00797655">
        <w:rPr>
          <w:b/>
          <w:i/>
        </w:rPr>
        <w:t xml:space="preserve">des </w:t>
      </w:r>
      <w:r w:rsidRPr="00B86CF6">
        <w:rPr>
          <w:b/>
          <w:i/>
        </w:rPr>
        <w:t>adjectifs de nationalité dans l’intitulé des éléments</w:t>
      </w:r>
      <w:r w:rsidRPr="00B86CF6">
        <w:rPr>
          <w:b/>
        </w:rPr>
        <w:t>.</w:t>
      </w:r>
      <w:r w:rsidR="00C7268F" w:rsidRPr="00804AC7">
        <w:t xml:space="preserve"> L’Organe d’évaluation a pris note de la Décision 9.</w:t>
      </w:r>
      <w:r w:rsidR="00797655" w:rsidRPr="00804AC7">
        <w:t>COM</w:t>
      </w:r>
      <w:r w:rsidR="00797655">
        <w:t> </w:t>
      </w:r>
      <w:r w:rsidR="00C7268F" w:rsidRPr="00804AC7">
        <w:t xml:space="preserve">10 qui </w:t>
      </w:r>
      <w:r w:rsidR="00214877" w:rsidRPr="00804AC7">
        <w:t>demande aux</w:t>
      </w:r>
      <w:r w:rsidR="00C7268F" w:rsidRPr="00804AC7">
        <w:t xml:space="preserve"> États parties « d’éviter les références inutiles, dans l’intitulé des éléments, à des pays en particulier ou l’emploi d’adjectifs de nationalité pouvant involontairement susciter des sentiments contraires au principe de coopération internationale de la Convention ». D’après les informations qui ont été communiquées à l’Organe d’évaluation, au cours du présent cycle, le </w:t>
      </w:r>
      <w:r w:rsidR="00C7268F" w:rsidRPr="00F016A0">
        <w:rPr>
          <w:lang w:eastAsia="en-US" w:bidi="en-US"/>
        </w:rPr>
        <w:t>Secrétariat</w:t>
      </w:r>
      <w:r w:rsidR="00C7268F" w:rsidRPr="00804AC7">
        <w:t xml:space="preserve"> a aidé les États soumissionnaires à respecter autant que possible l’esprit de cette décision, même si les candidatures avaient été soumises avant la neuvième session du Comité. Cette démarche peut toutefois produire un résultat inverse à l’intention première des différentes parties concernées. En effet, une référence nationale dans l’intitulé – notamment sous forme d’un substantif et non d’un adjectif – peut</w:t>
      </w:r>
      <w:r w:rsidR="00797655">
        <w:t xml:space="preserve"> en fait</w:t>
      </w:r>
      <w:r w:rsidR="00C7268F" w:rsidRPr="00804AC7">
        <w:t xml:space="preserve"> indiquer que l’État soumissionnaire reconnaît l’existence du même élément ou d’un élément similaire au-delà de ses frontières. L’inclusion d’une telle référence représente alors une expression du respect du principe de coopération internationale établi par la Convention. L’Organe d’évaluation souhaite donc préciser que la Décision 9.COM 10 ne porte que sur les références </w:t>
      </w:r>
      <w:r w:rsidR="00C7268F" w:rsidRPr="00804AC7">
        <w:rPr>
          <w:i/>
        </w:rPr>
        <w:t>inutiles</w:t>
      </w:r>
      <w:r w:rsidR="00C7268F" w:rsidRPr="00804AC7">
        <w:t>, et encourage les États parties à éviter de telles références tout en continuant à employer celles qui apparaissent nécessaires et conformes aux principes de la Convention.</w:t>
      </w:r>
    </w:p>
    <w:p w:rsidR="00C7268F" w:rsidRPr="00804AC7" w:rsidRDefault="00656DE4" w:rsidP="00B86CF6">
      <w:pPr>
        <w:pStyle w:val="COMPara"/>
        <w:numPr>
          <w:ilvl w:val="0"/>
          <w:numId w:val="2"/>
        </w:numPr>
        <w:ind w:left="567" w:hanging="567"/>
        <w:jc w:val="both"/>
      </w:pPr>
      <w:r w:rsidRPr="00B86CF6">
        <w:rPr>
          <w:b/>
          <w:i/>
        </w:rPr>
        <w:t>Emploi de termes vernaculaires dans l’intitulé de l’élément.</w:t>
      </w:r>
      <w:r w:rsidR="00C7268F" w:rsidRPr="00804AC7">
        <w:t xml:space="preserve"> Comme à l’occasion de cycles </w:t>
      </w:r>
      <w:r w:rsidR="00C7268F" w:rsidRPr="00F016A0">
        <w:rPr>
          <w:lang w:eastAsia="en-US" w:bidi="en-US"/>
        </w:rPr>
        <w:t>précédents</w:t>
      </w:r>
      <w:r w:rsidR="00C7268F" w:rsidRPr="00804AC7">
        <w:t xml:space="preserve">, l’Organe d’évaluation souhaite encourager les États soumissionnaires à employer des termes vernaculaires plutôt que leurs équivalents en français, en anglais ou dans une langue officielle ou majoritaire. Ceci étant dit, le terme vernaculaire ne suffit parfois </w:t>
      </w:r>
      <w:r w:rsidR="006D673B" w:rsidRPr="00804AC7">
        <w:t>pas </w:t>
      </w:r>
      <w:r w:rsidR="00C7268F" w:rsidRPr="00804AC7">
        <w:t xml:space="preserve">: il convient de </w:t>
      </w:r>
      <w:r w:rsidR="006D673B" w:rsidRPr="00804AC7">
        <w:t>veiller à ce que le titre</w:t>
      </w:r>
      <w:r w:rsidR="00C7268F" w:rsidRPr="00804AC7">
        <w:t xml:space="preserve"> complet </w:t>
      </w:r>
      <w:r w:rsidR="006D673B" w:rsidRPr="00804AC7">
        <w:t xml:space="preserve">soit </w:t>
      </w:r>
      <w:r w:rsidR="00C7268F" w:rsidRPr="00804AC7">
        <w:t xml:space="preserve">compréhensible par tous, </w:t>
      </w:r>
      <w:r w:rsidR="00081023" w:rsidRPr="00804AC7">
        <w:t xml:space="preserve">en </w:t>
      </w:r>
      <w:r w:rsidR="00A3376D">
        <w:t xml:space="preserve">y </w:t>
      </w:r>
      <w:r w:rsidR="00C7268F" w:rsidRPr="00804AC7">
        <w:t>ajout</w:t>
      </w:r>
      <w:r w:rsidR="00081023" w:rsidRPr="00804AC7">
        <w:t>ant</w:t>
      </w:r>
      <w:r w:rsidR="00C7268F" w:rsidRPr="00804AC7">
        <w:t xml:space="preserve"> </w:t>
      </w:r>
      <w:r w:rsidR="00A3376D">
        <w:t>une caractérisation</w:t>
      </w:r>
      <w:r w:rsidR="00081023" w:rsidRPr="00804AC7">
        <w:t xml:space="preserve"> </w:t>
      </w:r>
      <w:r w:rsidR="00C7268F" w:rsidRPr="00804AC7">
        <w:t xml:space="preserve">élémentaire </w:t>
      </w:r>
      <w:r w:rsidR="00A3376D">
        <w:t>de</w:t>
      </w:r>
      <w:r w:rsidR="00A3376D" w:rsidRPr="00804AC7">
        <w:t xml:space="preserve"> </w:t>
      </w:r>
      <w:r w:rsidR="00C7268F" w:rsidRPr="00804AC7">
        <w:t xml:space="preserve">l’élément en anglais ou en français. Dans une candidature présentée dans le cadre du présent cycle, la communauté souhaitait identifier l’élément par le biais d’un titre vernaculaire. L’Organe d’évaluation a prié le Secrétariat de travailler avec l’État soumissionnaire pour </w:t>
      </w:r>
      <w:r w:rsidR="00081023" w:rsidRPr="00804AC7">
        <w:t xml:space="preserve">réintroduire </w:t>
      </w:r>
      <w:r w:rsidR="00C7268F" w:rsidRPr="00804AC7">
        <w:t>ce terme</w:t>
      </w:r>
      <w:r w:rsidR="00081023" w:rsidRPr="00804AC7">
        <w:t xml:space="preserve"> dans le titre de la candidature</w:t>
      </w:r>
      <w:r w:rsidR="00C7268F" w:rsidRPr="00804AC7">
        <w:t xml:space="preserve">. </w:t>
      </w:r>
      <w:r w:rsidR="00081023" w:rsidRPr="00804AC7">
        <w:t>D</w:t>
      </w:r>
      <w:r w:rsidR="00C7268F" w:rsidRPr="00804AC7">
        <w:t>ans un autre cas, une partie du titre original en langue vernaculaire n’apparaissait nulle part ailleurs dans le formulaire de candidature, ce qui est également inapproprié. Il est rappelé aux États parties d</w:t>
      </w:r>
      <w:r w:rsidR="00081023" w:rsidRPr="00804AC7">
        <w:t xml:space="preserve">’attacher une attention particulière aux </w:t>
      </w:r>
      <w:r w:rsidR="00C7268F" w:rsidRPr="00804AC7">
        <w:t xml:space="preserve">titres des dossiers de candidature, en essayant de trouver le bon équilibre entre respect des spécificités culturelles et besoin de compréhension interculturelle, </w:t>
      </w:r>
      <w:r w:rsidR="00A3376D">
        <w:t>d’autant plus</w:t>
      </w:r>
      <w:r w:rsidR="00C7268F" w:rsidRPr="00804AC7">
        <w:t xml:space="preserve"> que le titre représente </w:t>
      </w:r>
      <w:r w:rsidR="00081023" w:rsidRPr="00804AC7">
        <w:t xml:space="preserve">l’identification la plus </w:t>
      </w:r>
      <w:r w:rsidR="001D0420">
        <w:t>élémentaire</w:t>
      </w:r>
      <w:r w:rsidR="00A3376D" w:rsidRPr="00804AC7">
        <w:t xml:space="preserve"> </w:t>
      </w:r>
      <w:r w:rsidR="00081023" w:rsidRPr="00804AC7">
        <w:t xml:space="preserve">de </w:t>
      </w:r>
      <w:r w:rsidR="00C7268F" w:rsidRPr="00804AC7">
        <w:t>l’élément.</w:t>
      </w:r>
    </w:p>
    <w:p w:rsidR="00C7268F" w:rsidRPr="00804AC7" w:rsidRDefault="00656DE4" w:rsidP="00B86CF6">
      <w:pPr>
        <w:pStyle w:val="COMPara"/>
        <w:numPr>
          <w:ilvl w:val="0"/>
          <w:numId w:val="2"/>
        </w:numPr>
        <w:ind w:left="567" w:hanging="567"/>
        <w:jc w:val="both"/>
      </w:pPr>
      <w:r w:rsidRPr="00B86CF6">
        <w:rPr>
          <w:b/>
          <w:i/>
        </w:rPr>
        <w:t>I</w:t>
      </w:r>
      <w:r w:rsidRPr="00B86CF6">
        <w:rPr>
          <w:b/>
          <w:i/>
          <w:color w:val="000000"/>
        </w:rPr>
        <w:t>mplication des enfants versus travail des enfants.</w:t>
      </w:r>
      <w:r w:rsidR="00C7268F" w:rsidRPr="00804AC7">
        <w:rPr>
          <w:color w:val="000000"/>
        </w:rPr>
        <w:t xml:space="preserve"> Au cours de ce cycle, l’Organe d’évaluation a eu à traiter un certain nombre de candidatures qui ont soulevé des questions </w:t>
      </w:r>
      <w:r w:rsidR="00E42054" w:rsidRPr="00804AC7">
        <w:rPr>
          <w:color w:val="000000"/>
        </w:rPr>
        <w:t xml:space="preserve">concernant </w:t>
      </w:r>
      <w:r w:rsidR="00C7268F" w:rsidRPr="00804AC7">
        <w:rPr>
          <w:color w:val="000000"/>
        </w:rPr>
        <w:t xml:space="preserve">l’implication des enfants dans la pratique du patrimoine culturel immatériel. Si cette implication est en général la bienvenue, voire conseillée, compte tenu du fait que la transmission des connaissances et des savoir-faire des aînés aux plus jeunes constitue l’une des meilleures garanties de viabilité du patrimoine culturel immatériel, l’Organe </w:t>
      </w:r>
      <w:r w:rsidR="00E42054" w:rsidRPr="00804AC7">
        <w:rPr>
          <w:color w:val="000000"/>
        </w:rPr>
        <w:t>en était moins certain</w:t>
      </w:r>
      <w:r w:rsidR="00C7268F" w:rsidRPr="00804AC7">
        <w:rPr>
          <w:color w:val="000000"/>
        </w:rPr>
        <w:t xml:space="preserve"> concernant les éléments présentant </w:t>
      </w:r>
      <w:r w:rsidR="00E42054" w:rsidRPr="00804AC7">
        <w:rPr>
          <w:color w:val="000000"/>
        </w:rPr>
        <w:t xml:space="preserve">une valeur ajoutée économique ou </w:t>
      </w:r>
      <w:r w:rsidR="00C7268F" w:rsidRPr="00804AC7">
        <w:rPr>
          <w:color w:val="000000"/>
        </w:rPr>
        <w:t xml:space="preserve">des dangers, comme dans le cas de certains artisanats et arts du spectacle. Sa </w:t>
      </w:r>
      <w:r w:rsidR="001C186A">
        <w:rPr>
          <w:color w:val="000000"/>
        </w:rPr>
        <w:t>préoccupation</w:t>
      </w:r>
      <w:r w:rsidR="00F55696" w:rsidRPr="00804AC7">
        <w:rPr>
          <w:color w:val="000000"/>
        </w:rPr>
        <w:t xml:space="preserve"> </w:t>
      </w:r>
      <w:r w:rsidR="00E42054" w:rsidRPr="00804AC7">
        <w:rPr>
          <w:color w:val="000000"/>
        </w:rPr>
        <w:t>s’est accrue</w:t>
      </w:r>
      <w:r w:rsidR="00C7268F" w:rsidRPr="00804AC7">
        <w:rPr>
          <w:color w:val="000000"/>
        </w:rPr>
        <w:t xml:space="preserve"> face à certaines candidatures </w:t>
      </w:r>
      <w:r w:rsidR="00E42054" w:rsidRPr="00804AC7">
        <w:rPr>
          <w:color w:val="000000"/>
        </w:rPr>
        <w:t>ne fournissant pas d’informations suffisantes</w:t>
      </w:r>
      <w:r w:rsidR="00C7268F" w:rsidRPr="00804AC7">
        <w:rPr>
          <w:color w:val="000000"/>
        </w:rPr>
        <w:t xml:space="preserve"> sur la nature de tels dangers ou </w:t>
      </w:r>
      <w:r w:rsidR="00E42054" w:rsidRPr="00804AC7">
        <w:rPr>
          <w:color w:val="000000"/>
        </w:rPr>
        <w:t>n’expliquant pas bien</w:t>
      </w:r>
      <w:r w:rsidR="00C7268F" w:rsidRPr="00804AC7">
        <w:rPr>
          <w:color w:val="000000"/>
        </w:rPr>
        <w:t xml:space="preserve"> la relation entre </w:t>
      </w:r>
      <w:r w:rsidR="001C186A">
        <w:rPr>
          <w:color w:val="000000"/>
        </w:rPr>
        <w:t>questions</w:t>
      </w:r>
      <w:r w:rsidR="001C186A" w:rsidRPr="00804AC7">
        <w:rPr>
          <w:color w:val="000000"/>
        </w:rPr>
        <w:t xml:space="preserve"> </w:t>
      </w:r>
      <w:r w:rsidR="00C7268F" w:rsidRPr="00804AC7">
        <w:rPr>
          <w:color w:val="000000"/>
        </w:rPr>
        <w:t xml:space="preserve">économiques </w:t>
      </w:r>
      <w:r w:rsidR="00E42054" w:rsidRPr="00804AC7">
        <w:rPr>
          <w:color w:val="000000"/>
        </w:rPr>
        <w:t>d’une part</w:t>
      </w:r>
      <w:r w:rsidR="00C7268F" w:rsidRPr="00804AC7">
        <w:rPr>
          <w:color w:val="000000"/>
        </w:rPr>
        <w:t xml:space="preserve">, et fonctions sociales et significations culturelles de l’élément de l’autre. L’Organe ne peut offrir de recommandation plus générale que celles formulées pour chaque dossier au cas par cas, </w:t>
      </w:r>
      <w:r w:rsidR="005E5857" w:rsidRPr="00804AC7">
        <w:rPr>
          <w:color w:val="000000"/>
        </w:rPr>
        <w:t xml:space="preserve">tout en invitant </w:t>
      </w:r>
      <w:r w:rsidR="00C7268F" w:rsidRPr="00804AC7">
        <w:rPr>
          <w:color w:val="000000"/>
        </w:rPr>
        <w:t xml:space="preserve">le Comité et les prochains organes à </w:t>
      </w:r>
      <w:r w:rsidR="00853F53">
        <w:rPr>
          <w:color w:val="000000"/>
        </w:rPr>
        <w:t>poursuivre</w:t>
      </w:r>
      <w:r w:rsidR="00A20D38" w:rsidRPr="00804AC7">
        <w:rPr>
          <w:color w:val="000000"/>
        </w:rPr>
        <w:t xml:space="preserve"> </w:t>
      </w:r>
      <w:r w:rsidR="005E5857" w:rsidRPr="00804AC7">
        <w:rPr>
          <w:color w:val="000000"/>
        </w:rPr>
        <w:t>la réflexion concernant</w:t>
      </w:r>
      <w:r w:rsidR="00C7268F" w:rsidRPr="00804AC7">
        <w:rPr>
          <w:color w:val="000000"/>
        </w:rPr>
        <w:t xml:space="preserve"> l’implication des enfants dans la pratique du patrimoine culturel immatériel.</w:t>
      </w:r>
    </w:p>
    <w:p w:rsidR="00C7268F" w:rsidRDefault="00656DE4" w:rsidP="00B86CF6">
      <w:pPr>
        <w:pStyle w:val="COMPara"/>
        <w:numPr>
          <w:ilvl w:val="0"/>
          <w:numId w:val="2"/>
        </w:numPr>
        <w:ind w:left="567" w:hanging="567"/>
        <w:jc w:val="both"/>
      </w:pPr>
      <w:r w:rsidRPr="00B86CF6">
        <w:rPr>
          <w:b/>
          <w:i/>
        </w:rPr>
        <w:t>Utilisation d’animaux</w:t>
      </w:r>
      <w:r w:rsidRPr="00B86CF6">
        <w:rPr>
          <w:b/>
          <w:i/>
          <w:color w:val="000000"/>
        </w:rPr>
        <w:t>.</w:t>
      </w:r>
      <w:r w:rsidR="00C7268F" w:rsidRPr="00804AC7">
        <w:rPr>
          <w:color w:val="000000"/>
        </w:rPr>
        <w:t xml:space="preserve"> </w:t>
      </w:r>
      <w:r w:rsidR="00C7268F" w:rsidRPr="00804AC7">
        <w:t xml:space="preserve">L’une des candidatures présentées dans le cadre du présent cycle </w:t>
      </w:r>
      <w:r w:rsidR="00853F53">
        <w:t>s’appuie</w:t>
      </w:r>
      <w:r w:rsidR="00853F53" w:rsidRPr="00804AC7">
        <w:t xml:space="preserve"> </w:t>
      </w:r>
      <w:r w:rsidR="00C7268F" w:rsidRPr="00804AC7">
        <w:t xml:space="preserve">sur l’utilisation d’animaux dans un sport traditionnel. À cet égard, l’Organe d’évaluation souhaite réitérer la position du précédent Organe subsidiaire qui avait noté le besoin de différencier l’utilisation d’animaux à des fins d’alimentation ou de rituels d’une part, et de divertissement ou de spectacle public de l’autre. </w:t>
      </w:r>
      <w:r w:rsidR="0063367A" w:rsidRPr="00804AC7">
        <w:t xml:space="preserve">Des </w:t>
      </w:r>
      <w:r w:rsidR="00C7268F" w:rsidRPr="00804AC7">
        <w:t xml:space="preserve">pratiques </w:t>
      </w:r>
      <w:r w:rsidR="0063367A" w:rsidRPr="00804AC7">
        <w:t xml:space="preserve">qui peuvent être acceptables </w:t>
      </w:r>
      <w:r w:rsidR="00C7268F" w:rsidRPr="00804AC7">
        <w:t xml:space="preserve">à l’échelle locale ou nationale peuvent générer des incompréhensions </w:t>
      </w:r>
      <w:r w:rsidR="0063367A" w:rsidRPr="00804AC7">
        <w:t>quand elles sont proposées pour une</w:t>
      </w:r>
      <w:r w:rsidR="00C7268F" w:rsidRPr="00804AC7">
        <w:t xml:space="preserve"> reconnaissance à l’échelle internationale. Sans préjuger </w:t>
      </w:r>
      <w:r w:rsidR="0063367A" w:rsidRPr="00804AC7">
        <w:t xml:space="preserve">quelles </w:t>
      </w:r>
      <w:r w:rsidR="00C7268F" w:rsidRPr="00804AC7">
        <w:t xml:space="preserve">pratiques </w:t>
      </w:r>
      <w:r w:rsidR="0063367A" w:rsidRPr="00804AC7">
        <w:t xml:space="preserve">pourraient être </w:t>
      </w:r>
      <w:r w:rsidR="00C7268F" w:rsidRPr="00804AC7">
        <w:t xml:space="preserve">acceptables </w:t>
      </w:r>
      <w:r w:rsidR="0063367A" w:rsidRPr="00804AC7">
        <w:t>ou</w:t>
      </w:r>
      <w:r w:rsidR="00C7268F" w:rsidRPr="00804AC7">
        <w:t xml:space="preserve"> pas, l’Organe d’évaluation rappelle aux États parties </w:t>
      </w:r>
      <w:r w:rsidR="0063367A" w:rsidRPr="00804AC7">
        <w:t xml:space="preserve">d’être </w:t>
      </w:r>
      <w:r w:rsidR="00C7268F" w:rsidRPr="00804AC7">
        <w:t xml:space="preserve">conscients que leurs candidatures s’adressent à un public </w:t>
      </w:r>
      <w:r w:rsidR="00473D8B">
        <w:t>international</w:t>
      </w:r>
      <w:r w:rsidR="00473D8B" w:rsidRPr="00804AC7">
        <w:t xml:space="preserve"> </w:t>
      </w:r>
      <w:r w:rsidR="00C7268F" w:rsidRPr="00804AC7">
        <w:t>et</w:t>
      </w:r>
      <w:r w:rsidR="0063367A" w:rsidRPr="00804AC7">
        <w:t xml:space="preserve"> qu’ils devraient par conséquent</w:t>
      </w:r>
      <w:r w:rsidR="00C7268F" w:rsidRPr="00804AC7">
        <w:t xml:space="preserve"> prendre toutes les précautions </w:t>
      </w:r>
      <w:r w:rsidR="0063367A" w:rsidRPr="00804AC7">
        <w:t>nécessaires</w:t>
      </w:r>
      <w:r w:rsidR="00C7268F" w:rsidRPr="00804AC7">
        <w:t xml:space="preserve"> pour expliquer les pratiques proposées de la manière la plus claire, complète et respectueuse des sensibilités des autres, comme l’exige l’esprit de la Convention</w:t>
      </w:r>
      <w:r w:rsidR="00867E93">
        <w:t xml:space="preserve"> et le rappelle la </w:t>
      </w:r>
      <w:r w:rsidR="00A4190F">
        <w:t>D</w:t>
      </w:r>
      <w:r w:rsidR="00867E93">
        <w:t>écision</w:t>
      </w:r>
      <w:r w:rsidR="00853F53">
        <w:t> </w:t>
      </w:r>
      <w:r w:rsidR="00867E93">
        <w:t>9.COM 10</w:t>
      </w:r>
      <w:r w:rsidR="00C7268F" w:rsidRPr="00804AC7">
        <w:t>.</w:t>
      </w:r>
    </w:p>
    <w:p w:rsidR="00C7268F" w:rsidRPr="00804AC7" w:rsidRDefault="00656DE4" w:rsidP="00B86CF6">
      <w:pPr>
        <w:pStyle w:val="COMPara"/>
        <w:numPr>
          <w:ilvl w:val="0"/>
          <w:numId w:val="2"/>
        </w:numPr>
        <w:ind w:left="567" w:hanging="567"/>
        <w:jc w:val="both"/>
      </w:pPr>
      <w:r w:rsidRPr="00B86CF6">
        <w:rPr>
          <w:b/>
          <w:i/>
          <w:color w:val="000000"/>
        </w:rPr>
        <w:t>Contribution du patrimoine culturel immatériel et de sa sauvegarde au développement durable</w:t>
      </w:r>
      <w:r w:rsidRPr="00B86CF6">
        <w:rPr>
          <w:b/>
          <w:color w:val="000000"/>
        </w:rPr>
        <w:t>.</w:t>
      </w:r>
      <w:r w:rsidR="00C7268F" w:rsidRPr="00804AC7">
        <w:rPr>
          <w:color w:val="000000"/>
        </w:rPr>
        <w:t xml:space="preserve"> </w:t>
      </w:r>
      <w:r w:rsidR="00BC1F49" w:rsidRPr="003F7BE4">
        <w:rPr>
          <w:color w:val="000000"/>
        </w:rPr>
        <w:t xml:space="preserve">Lors de </w:t>
      </w:r>
      <w:r w:rsidR="00C7268F" w:rsidRPr="003F7BE4">
        <w:rPr>
          <w:color w:val="000000"/>
        </w:rPr>
        <w:t>ce cycle, un nombre considérable de candidatures aborde la question de la contribution du patrimoine culturel immatériel</w:t>
      </w:r>
      <w:r w:rsidR="00BC1F49" w:rsidRPr="003F7BE4">
        <w:rPr>
          <w:color w:val="000000"/>
        </w:rPr>
        <w:t xml:space="preserve"> et de sa sauvegarde</w:t>
      </w:r>
      <w:r w:rsidR="00C7268F" w:rsidRPr="003F7BE4">
        <w:rPr>
          <w:color w:val="000000"/>
        </w:rPr>
        <w:t xml:space="preserve"> </w:t>
      </w:r>
      <w:r w:rsidR="00C7268F" w:rsidRPr="003F7BE4">
        <w:rPr>
          <w:color w:val="000000"/>
          <w:lang w:eastAsia="en-US" w:bidi="en-US"/>
        </w:rPr>
        <w:t>au</w:t>
      </w:r>
      <w:r w:rsidR="00C7268F" w:rsidRPr="003F7BE4">
        <w:rPr>
          <w:color w:val="000000"/>
        </w:rPr>
        <w:t xml:space="preserve"> développement durable, notamment en termes de résolution de conflits, de consolidation de la paix, de durabilité environnementale ou de </w:t>
      </w:r>
      <w:r w:rsidR="00853F53">
        <w:rPr>
          <w:color w:val="000000"/>
        </w:rPr>
        <w:t>renforcement</w:t>
      </w:r>
      <w:r w:rsidR="00853F53" w:rsidRPr="003F7BE4">
        <w:rPr>
          <w:color w:val="000000"/>
        </w:rPr>
        <w:t xml:space="preserve"> </w:t>
      </w:r>
      <w:r w:rsidR="00C7268F" w:rsidRPr="003F7BE4">
        <w:rPr>
          <w:color w:val="000000"/>
        </w:rPr>
        <w:t xml:space="preserve">des économies locales. </w:t>
      </w:r>
      <w:r w:rsidR="00C7268F" w:rsidRPr="00804AC7">
        <w:t>L’Organe d’évaluation accueille avec satisfaction de telles candidatures</w:t>
      </w:r>
      <w:r w:rsidR="00BC1F49" w:rsidRPr="00804AC7">
        <w:t xml:space="preserve"> et</w:t>
      </w:r>
      <w:r w:rsidR="00C7268F" w:rsidRPr="00804AC7">
        <w:t xml:space="preserve"> a inclus ses remarques, explications </w:t>
      </w:r>
      <w:r w:rsidR="00BC1F49" w:rsidRPr="00804AC7">
        <w:t>et/</w:t>
      </w:r>
      <w:r w:rsidR="00C7268F" w:rsidRPr="00804AC7">
        <w:t xml:space="preserve">ou félicitations dans les projets de décision concernés. Il souhaite </w:t>
      </w:r>
      <w:r w:rsidR="00BC1F49" w:rsidRPr="00804AC7">
        <w:t xml:space="preserve">également </w:t>
      </w:r>
      <w:r w:rsidR="00C7268F" w:rsidRPr="00804AC7">
        <w:t xml:space="preserve">réaffirmer ses encouragements aux États parties en les invitant à continuer à présenter des candidatures </w:t>
      </w:r>
      <w:r w:rsidR="00884089" w:rsidRPr="00804AC7">
        <w:t>aptes à</w:t>
      </w:r>
      <w:r w:rsidR="00C7268F" w:rsidRPr="00804AC7">
        <w:t xml:space="preserve"> mettre en lumière </w:t>
      </w:r>
      <w:r w:rsidR="00884089" w:rsidRPr="00804AC7">
        <w:t>les différents</w:t>
      </w:r>
      <w:r w:rsidR="00C7268F" w:rsidRPr="00804AC7">
        <w:t xml:space="preserve"> aspects </w:t>
      </w:r>
      <w:r w:rsidR="00884089" w:rsidRPr="00804AC7">
        <w:t>des liens entre</w:t>
      </w:r>
      <w:r w:rsidR="00C7268F" w:rsidRPr="00804AC7">
        <w:t xml:space="preserve"> le patrimoine culturel immatériel et le développement durable, contribuant ainsi de manière significative aux objectifs de la Convention.</w:t>
      </w:r>
      <w:r w:rsidR="00F400FA">
        <w:t xml:space="preserve"> En même temps, les </w:t>
      </w:r>
      <w:r w:rsidR="00F400FA" w:rsidRPr="00804AC7">
        <w:t xml:space="preserve">États </w:t>
      </w:r>
      <w:r w:rsidR="0091427C">
        <w:t>soumissionnaires</w:t>
      </w:r>
      <w:r w:rsidR="00F400FA">
        <w:t xml:space="preserve"> sont encouragés à </w:t>
      </w:r>
      <w:r w:rsidR="0091427C">
        <w:t xml:space="preserve">aborder clairement </w:t>
      </w:r>
      <w:r w:rsidR="00F400FA">
        <w:t xml:space="preserve">dans leurs candidatures la compatibilité du patrimoine culturel immatériel concerné avec l’utilisation durable des ressources naturelles. </w:t>
      </w:r>
    </w:p>
    <w:p w:rsidR="00C7268F" w:rsidRPr="00804AC7" w:rsidRDefault="00C7268F" w:rsidP="00F016A0">
      <w:pPr>
        <w:pStyle w:val="DocMain"/>
        <w:keepNext/>
        <w:tabs>
          <w:tab w:val="left" w:pos="567"/>
        </w:tabs>
        <w:spacing w:after="120"/>
        <w:ind w:left="567" w:firstLine="0"/>
        <w:rPr>
          <w:b/>
        </w:rPr>
      </w:pPr>
      <w:r w:rsidRPr="00863E40">
        <w:rPr>
          <w:b/>
        </w:rPr>
        <w:t>Critères d’inscription</w:t>
      </w:r>
    </w:p>
    <w:p w:rsidR="00E257FF" w:rsidRPr="006D5B5F" w:rsidRDefault="00656DE4" w:rsidP="00B86CF6">
      <w:pPr>
        <w:pStyle w:val="COMPara"/>
        <w:numPr>
          <w:ilvl w:val="0"/>
          <w:numId w:val="2"/>
        </w:numPr>
        <w:ind w:left="567" w:hanging="567"/>
        <w:jc w:val="both"/>
        <w:rPr>
          <w:rStyle w:val="hps"/>
        </w:rPr>
      </w:pPr>
      <w:r w:rsidRPr="00B86CF6">
        <w:rPr>
          <w:b/>
          <w:i/>
          <w:color w:val="000000"/>
        </w:rPr>
        <w:t>Liens entre critères.</w:t>
      </w:r>
      <w:r w:rsidR="00C7268F" w:rsidRPr="00804AC7">
        <w:rPr>
          <w:color w:val="000000"/>
        </w:rPr>
        <w:t xml:space="preserve"> Chacun des critères </w:t>
      </w:r>
      <w:r w:rsidR="00F81293" w:rsidRPr="00804AC7">
        <w:rPr>
          <w:color w:val="000000"/>
        </w:rPr>
        <w:t xml:space="preserve">d’inscription sur la Liste de sauvegarde urgente et sur la Liste représentative </w:t>
      </w:r>
      <w:r w:rsidR="00C7268F" w:rsidRPr="00804AC7">
        <w:rPr>
          <w:color w:val="000000"/>
        </w:rPr>
        <w:t>est à la fois autonome et intimement lié aux autres</w:t>
      </w:r>
      <w:r w:rsidR="00F81293" w:rsidRPr="00804AC7">
        <w:rPr>
          <w:color w:val="000000"/>
        </w:rPr>
        <w:t>, de sorte que toute</w:t>
      </w:r>
      <w:r w:rsidR="00C7268F" w:rsidRPr="00804AC7">
        <w:rPr>
          <w:color w:val="000000"/>
        </w:rPr>
        <w:t xml:space="preserve"> lacune dans une section engendre facilement des lacunes dans d’autres sections. </w:t>
      </w:r>
      <w:r w:rsidR="00C7268F" w:rsidRPr="00804AC7">
        <w:t xml:space="preserve">Bien souvent, un élément mal défini (U.1/R.1), par exemple, ne permet pas d’évaluer son niveau actuel de viabilité </w:t>
      </w:r>
      <w:r w:rsidR="00863E40">
        <w:t>ni</w:t>
      </w:r>
      <w:r w:rsidR="00C7268F" w:rsidRPr="00804AC7">
        <w:t xml:space="preserve"> les menaces qui pèsent sur lui (U.2), </w:t>
      </w:r>
      <w:r w:rsidR="005E2041" w:rsidRPr="00804AC7">
        <w:t xml:space="preserve">la manière dont son inscription pourrait </w:t>
      </w:r>
      <w:r w:rsidR="00C7268F" w:rsidRPr="00804AC7">
        <w:t>contribu</w:t>
      </w:r>
      <w:r w:rsidR="005E2041" w:rsidRPr="00804AC7">
        <w:t>er</w:t>
      </w:r>
      <w:r w:rsidR="00C7268F" w:rsidRPr="00804AC7">
        <w:t xml:space="preserve"> aux </w:t>
      </w:r>
      <w:r w:rsidR="005E2041" w:rsidRPr="00804AC7">
        <w:t xml:space="preserve">objectifs </w:t>
      </w:r>
      <w:r w:rsidR="00C7268F" w:rsidRPr="00804AC7">
        <w:t xml:space="preserve">de la Liste </w:t>
      </w:r>
      <w:r w:rsidR="00C7268F" w:rsidRPr="00804AC7">
        <w:rPr>
          <w:color w:val="000000"/>
        </w:rPr>
        <w:t xml:space="preserve">représentative (R.2) ou encore l’adéquation du plan et des mesures de sauvegarde proposés (U.3/R.3). Les critères U.2 et U.3 sont également intimement corrélés dans la mesure où un plan de sauvegarde réaliste et </w:t>
      </w:r>
      <w:r w:rsidR="00863E40">
        <w:rPr>
          <w:color w:val="000000"/>
        </w:rPr>
        <w:t>adéquat</w:t>
      </w:r>
      <w:r w:rsidR="00863E40" w:rsidRPr="00804AC7">
        <w:rPr>
          <w:color w:val="000000"/>
        </w:rPr>
        <w:t xml:space="preserve"> </w:t>
      </w:r>
      <w:r w:rsidR="00C7268F" w:rsidRPr="00804AC7">
        <w:rPr>
          <w:color w:val="000000"/>
        </w:rPr>
        <w:t xml:space="preserve">(U.3) ne peut être élaboré que </w:t>
      </w:r>
      <w:r w:rsidR="005E2041" w:rsidRPr="00804AC7">
        <w:rPr>
          <w:color w:val="000000"/>
        </w:rPr>
        <w:t xml:space="preserve">sur la base d’une identification claire des </w:t>
      </w:r>
      <w:r w:rsidR="00C7268F" w:rsidRPr="00804AC7">
        <w:rPr>
          <w:color w:val="000000"/>
        </w:rPr>
        <w:t>besoins spécifiques de sauvegarde urgente</w:t>
      </w:r>
      <w:r w:rsidR="005E2041" w:rsidRPr="00804AC7">
        <w:rPr>
          <w:color w:val="000000"/>
        </w:rPr>
        <w:t xml:space="preserve"> (U.2)</w:t>
      </w:r>
      <w:r w:rsidR="00C7268F" w:rsidRPr="00804AC7">
        <w:rPr>
          <w:color w:val="000000"/>
        </w:rPr>
        <w:t xml:space="preserve">. </w:t>
      </w:r>
      <w:r w:rsidR="00C7268F" w:rsidRPr="00804AC7">
        <w:t xml:space="preserve">En outre, la participation active des communautés, des groupes et, le cas échéant, des individus dans </w:t>
      </w:r>
      <w:r w:rsidR="00863E40">
        <w:t>le processus</w:t>
      </w:r>
      <w:r w:rsidR="00C7268F" w:rsidRPr="00804AC7">
        <w:t xml:space="preserve"> de candidature (U.4/R.4) doit apparaître d’un bout à l’autre</w:t>
      </w:r>
      <w:r w:rsidR="00C7268F" w:rsidRPr="00804AC7">
        <w:rPr>
          <w:rStyle w:val="hps"/>
        </w:rPr>
        <w:t xml:space="preserve"> du dossier</w:t>
      </w:r>
      <w:r w:rsidR="009113A7">
        <w:rPr>
          <w:rStyle w:val="hps"/>
        </w:rPr>
        <w:t xml:space="preserve"> </w:t>
      </w:r>
      <w:r w:rsidR="00C7268F" w:rsidRPr="00804AC7">
        <w:rPr>
          <w:rStyle w:val="hps"/>
        </w:rPr>
        <w:t>– dans leur identification initiale (</w:t>
      </w:r>
      <w:r w:rsidR="005E2041" w:rsidRPr="00804AC7">
        <w:rPr>
          <w:rStyle w:val="hps"/>
        </w:rPr>
        <w:t>section </w:t>
      </w:r>
      <w:r w:rsidR="00C7268F" w:rsidRPr="00804AC7">
        <w:rPr>
          <w:rStyle w:val="hps"/>
        </w:rPr>
        <w:t>C), dans la</w:t>
      </w:r>
      <w:r w:rsidR="00C7268F" w:rsidRPr="00804AC7">
        <w:t xml:space="preserve"> </w:t>
      </w:r>
      <w:r w:rsidR="00C7268F" w:rsidRPr="00804AC7">
        <w:rPr>
          <w:rStyle w:val="hps"/>
        </w:rPr>
        <w:t>définition</w:t>
      </w:r>
      <w:r w:rsidR="00C7268F" w:rsidRPr="00804AC7">
        <w:t xml:space="preserve"> </w:t>
      </w:r>
      <w:r w:rsidR="00C7268F" w:rsidRPr="00804AC7">
        <w:rPr>
          <w:rStyle w:val="hps"/>
        </w:rPr>
        <w:t>de l’élément (U.1/R.1), dans l’évaluation de sa viabilité et l’identification de</w:t>
      </w:r>
      <w:r w:rsidR="005E2041" w:rsidRPr="00804AC7">
        <w:rPr>
          <w:rStyle w:val="hps"/>
        </w:rPr>
        <w:t xml:space="preserve">s </w:t>
      </w:r>
      <w:r w:rsidR="00C7268F" w:rsidRPr="00804AC7">
        <w:rPr>
          <w:rStyle w:val="hps"/>
        </w:rPr>
        <w:t xml:space="preserve">menaces </w:t>
      </w:r>
      <w:r w:rsidR="005E2041" w:rsidRPr="00804AC7">
        <w:rPr>
          <w:rStyle w:val="hps"/>
        </w:rPr>
        <w:t xml:space="preserve">auxquelles il fait face </w:t>
      </w:r>
      <w:r w:rsidR="00C7268F" w:rsidRPr="00804AC7">
        <w:rPr>
          <w:rStyle w:val="hps"/>
        </w:rPr>
        <w:t xml:space="preserve">(U.2), dans la planification et la conception des mesures de sauvegarde (U.3/R.3) ainsi que dans l’élaboration </w:t>
      </w:r>
      <w:r w:rsidR="00CE712C" w:rsidRPr="00804AC7">
        <w:rPr>
          <w:rStyle w:val="hps"/>
        </w:rPr>
        <w:t>de l’</w:t>
      </w:r>
      <w:r w:rsidR="00C7268F" w:rsidRPr="00804AC7">
        <w:rPr>
          <w:rStyle w:val="hps"/>
        </w:rPr>
        <w:t xml:space="preserve">inventaire (U.5/R.5). Les inventaires étant élaborés « en vue de la sauvegarde » (article 12) et non </w:t>
      </w:r>
      <w:r w:rsidR="00E257FF">
        <w:rPr>
          <w:rStyle w:val="hps"/>
        </w:rPr>
        <w:t>dans le but de proposer des éléments pour inscription</w:t>
      </w:r>
      <w:r w:rsidR="00CE712C" w:rsidRPr="00804AC7">
        <w:rPr>
          <w:rStyle w:val="hps"/>
        </w:rPr>
        <w:t xml:space="preserve"> (</w:t>
      </w:r>
      <w:r w:rsidR="00E257FF">
        <w:rPr>
          <w:rStyle w:val="hps"/>
        </w:rPr>
        <w:t xml:space="preserve">ce qui arrive </w:t>
      </w:r>
      <w:r w:rsidR="00C7268F" w:rsidRPr="00804AC7">
        <w:rPr>
          <w:rStyle w:val="hps"/>
        </w:rPr>
        <w:t xml:space="preserve">généralement à des </w:t>
      </w:r>
      <w:r w:rsidR="00CE712C" w:rsidRPr="00804AC7">
        <w:rPr>
          <w:rStyle w:val="hps"/>
        </w:rPr>
        <w:t xml:space="preserve">moments </w:t>
      </w:r>
      <w:r w:rsidR="00C7268F" w:rsidRPr="00804AC7">
        <w:rPr>
          <w:rStyle w:val="hps"/>
        </w:rPr>
        <w:t>différents</w:t>
      </w:r>
      <w:r w:rsidR="00CE712C" w:rsidRPr="00804AC7">
        <w:rPr>
          <w:rStyle w:val="hps"/>
        </w:rPr>
        <w:t>)</w:t>
      </w:r>
      <w:r w:rsidR="00C7268F" w:rsidRPr="00804AC7">
        <w:rPr>
          <w:rStyle w:val="hps"/>
        </w:rPr>
        <w:t>, l’Organe d’évaluation note que les communautés, groupes ou individus concernés par une candidature (critères U.4/R.4 p</w:t>
      </w:r>
      <w:r w:rsidR="009113A7">
        <w:rPr>
          <w:rStyle w:val="hps"/>
        </w:rPr>
        <w:t>ar</w:t>
      </w:r>
      <w:r w:rsidR="00C7268F" w:rsidRPr="00804AC7">
        <w:rPr>
          <w:rStyle w:val="hps"/>
        </w:rPr>
        <w:t xml:space="preserve"> ex</w:t>
      </w:r>
      <w:r w:rsidR="009113A7">
        <w:rPr>
          <w:rStyle w:val="hps"/>
        </w:rPr>
        <w:t>emple</w:t>
      </w:r>
      <w:r w:rsidR="00C7268F" w:rsidRPr="00804AC7">
        <w:rPr>
          <w:rStyle w:val="hps"/>
        </w:rPr>
        <w:t xml:space="preserve">) ne doivent pas forcément être identiques à ceux concernés par un inventaire (critères U.5/R.5). Cette réserve étant émise, les critères U.1 à U.4 et R.1 à R.4 doivent identifier les communautés, groupes et individus </w:t>
      </w:r>
      <w:r w:rsidR="00CE712C" w:rsidRPr="00804AC7">
        <w:rPr>
          <w:rStyle w:val="hps"/>
        </w:rPr>
        <w:t>de manière</w:t>
      </w:r>
      <w:r w:rsidR="00C7268F" w:rsidRPr="00804AC7">
        <w:rPr>
          <w:rStyle w:val="hps"/>
        </w:rPr>
        <w:t xml:space="preserve"> </w:t>
      </w:r>
      <w:r w:rsidR="00CE712C" w:rsidRPr="00804AC7">
        <w:rPr>
          <w:rStyle w:val="hps"/>
        </w:rPr>
        <w:t xml:space="preserve">cohérente </w:t>
      </w:r>
      <w:r w:rsidR="00C7268F" w:rsidRPr="00804AC7">
        <w:rPr>
          <w:rStyle w:val="hps"/>
        </w:rPr>
        <w:t xml:space="preserve">et </w:t>
      </w:r>
      <w:r w:rsidR="00CE712C" w:rsidRPr="00804AC7">
        <w:rPr>
          <w:rStyle w:val="hps"/>
        </w:rPr>
        <w:t xml:space="preserve">uniforme, ce </w:t>
      </w:r>
      <w:r w:rsidR="00C7268F" w:rsidRPr="00804AC7">
        <w:rPr>
          <w:rStyle w:val="hps"/>
        </w:rPr>
        <w:t>que doi</w:t>
      </w:r>
      <w:r w:rsidR="00CE712C" w:rsidRPr="00804AC7">
        <w:rPr>
          <w:rStyle w:val="hps"/>
        </w:rPr>
        <w:t>ven</w:t>
      </w:r>
      <w:r w:rsidR="00C7268F" w:rsidRPr="00804AC7">
        <w:rPr>
          <w:rStyle w:val="hps"/>
        </w:rPr>
        <w:t xml:space="preserve">t également refléter les attestations fournies </w:t>
      </w:r>
      <w:r w:rsidR="00CE712C" w:rsidRPr="00804AC7">
        <w:rPr>
          <w:rStyle w:val="hps"/>
        </w:rPr>
        <w:t>pour l</w:t>
      </w:r>
      <w:r w:rsidR="00C7268F" w:rsidRPr="00804AC7">
        <w:rPr>
          <w:rStyle w:val="hps"/>
        </w:rPr>
        <w:t>e consentement libre, préalable et éclairé à la candidature.</w:t>
      </w:r>
    </w:p>
    <w:p w:rsidR="00C7268F" w:rsidRPr="00804AC7" w:rsidRDefault="00C7268F" w:rsidP="00B86CF6">
      <w:pPr>
        <w:pStyle w:val="COMPara"/>
        <w:numPr>
          <w:ilvl w:val="0"/>
          <w:numId w:val="2"/>
        </w:numPr>
        <w:ind w:left="567" w:hanging="567"/>
        <w:jc w:val="both"/>
      </w:pPr>
      <w:r w:rsidRPr="00804AC7">
        <w:rPr>
          <w:color w:val="000000"/>
        </w:rPr>
        <w:t xml:space="preserve">Concernant les demandes </w:t>
      </w:r>
      <w:r w:rsidRPr="00F016A0">
        <w:rPr>
          <w:lang w:eastAsia="en-US" w:bidi="en-US"/>
        </w:rPr>
        <w:t>d’assistance</w:t>
      </w:r>
      <w:r w:rsidRPr="00804AC7">
        <w:rPr>
          <w:color w:val="000000"/>
        </w:rPr>
        <w:t xml:space="preserve"> internationale, les différents critères sont imbriqués encore plus </w:t>
      </w:r>
      <w:r w:rsidR="00740183" w:rsidRPr="00804AC7">
        <w:rPr>
          <w:color w:val="000000"/>
        </w:rPr>
        <w:t xml:space="preserve">étroitement </w:t>
      </w:r>
      <w:r w:rsidRPr="00804AC7">
        <w:rPr>
          <w:color w:val="000000"/>
        </w:rPr>
        <w:t xml:space="preserve">que dans le cas des deux listes. </w:t>
      </w:r>
      <w:r w:rsidRPr="00804AC7">
        <w:t xml:space="preserve">Ainsi, l’implication des communautés </w:t>
      </w:r>
      <w:r w:rsidRPr="00804AC7">
        <w:rPr>
          <w:color w:val="000000"/>
        </w:rPr>
        <w:t xml:space="preserve">(critère A.1) est principalement traitée dans la </w:t>
      </w:r>
      <w:r w:rsidR="00740183" w:rsidRPr="00804AC7">
        <w:rPr>
          <w:color w:val="000000"/>
        </w:rPr>
        <w:t>section </w:t>
      </w:r>
      <w:r w:rsidRPr="00804AC7">
        <w:rPr>
          <w:color w:val="000000"/>
        </w:rPr>
        <w:t xml:space="preserve">19 mais concerne également les autres sections, notamment </w:t>
      </w:r>
      <w:r w:rsidR="00740183" w:rsidRPr="00804AC7">
        <w:rPr>
          <w:color w:val="000000"/>
        </w:rPr>
        <w:t xml:space="preserve">pour ce qui est de </w:t>
      </w:r>
      <w:r w:rsidR="00E257FF">
        <w:rPr>
          <w:color w:val="000000"/>
        </w:rPr>
        <w:t xml:space="preserve">la situation </w:t>
      </w:r>
      <w:r w:rsidRPr="00804AC7">
        <w:rPr>
          <w:color w:val="000000"/>
        </w:rPr>
        <w:t xml:space="preserve">du projet </w:t>
      </w:r>
      <w:r w:rsidRPr="00804AC7">
        <w:t>(</w:t>
      </w:r>
      <w:r w:rsidR="00740183" w:rsidRPr="00804AC7">
        <w:t>section </w:t>
      </w:r>
      <w:r w:rsidRPr="00804AC7">
        <w:t xml:space="preserve">11), </w:t>
      </w:r>
      <w:r w:rsidR="00740183" w:rsidRPr="00804AC7">
        <w:t xml:space="preserve">des </w:t>
      </w:r>
      <w:r w:rsidRPr="00804AC7">
        <w:t xml:space="preserve">activités de suivi, de </w:t>
      </w:r>
      <w:r w:rsidR="00740183" w:rsidRPr="00804AC7">
        <w:t>rapport</w:t>
      </w:r>
      <w:r w:rsidRPr="00804AC7">
        <w:t xml:space="preserve"> et d’évaluation (</w:t>
      </w:r>
      <w:r w:rsidR="00740183" w:rsidRPr="00804AC7">
        <w:t>section </w:t>
      </w:r>
      <w:r w:rsidRPr="00804AC7">
        <w:t xml:space="preserve">22), </w:t>
      </w:r>
      <w:r w:rsidR="00E257FF">
        <w:t>du</w:t>
      </w:r>
      <w:r w:rsidR="00E257FF" w:rsidRPr="00804AC7">
        <w:t xml:space="preserve"> </w:t>
      </w:r>
      <w:r w:rsidRPr="00804AC7">
        <w:t>renforcement des capacités (</w:t>
      </w:r>
      <w:r w:rsidR="00740183" w:rsidRPr="00804AC7">
        <w:t>section </w:t>
      </w:r>
      <w:r w:rsidRPr="00804AC7">
        <w:t xml:space="preserve">23) et </w:t>
      </w:r>
      <w:r w:rsidR="00E257FF">
        <w:t xml:space="preserve">de </w:t>
      </w:r>
      <w:r w:rsidRPr="00804AC7">
        <w:t xml:space="preserve">la </w:t>
      </w:r>
      <w:r w:rsidR="00E257FF">
        <w:t>viabilité</w:t>
      </w:r>
      <w:r w:rsidR="00E257FF" w:rsidRPr="00804AC7">
        <w:t xml:space="preserve"> </w:t>
      </w:r>
      <w:r w:rsidRPr="00804AC7">
        <w:t>au terme de l’assistance (section</w:t>
      </w:r>
      <w:r w:rsidR="009113A7">
        <w:t> </w:t>
      </w:r>
      <w:r w:rsidRPr="00804AC7">
        <w:t>24)</w:t>
      </w:r>
      <w:r w:rsidRPr="00804AC7">
        <w:rPr>
          <w:color w:val="000000"/>
        </w:rPr>
        <w:t xml:space="preserve">. </w:t>
      </w:r>
      <w:r w:rsidRPr="00804AC7">
        <w:t xml:space="preserve">Pour déterminer si « le montant de l’assistance requise est approprié » (critère A.2), </w:t>
      </w:r>
      <w:r w:rsidRPr="00804AC7">
        <w:rPr>
          <w:color w:val="000000"/>
        </w:rPr>
        <w:t>la question est abordée dans les sections 5 et 18, mais est étroitement liée aux activités (</w:t>
      </w:r>
      <w:r w:rsidRPr="00804AC7">
        <w:t>section</w:t>
      </w:r>
      <w:r w:rsidR="009113A7">
        <w:t> </w:t>
      </w:r>
      <w:r w:rsidRPr="00804AC7">
        <w:rPr>
          <w:color w:val="000000"/>
        </w:rPr>
        <w:t>16) et au calendrier du projet (</w:t>
      </w:r>
      <w:r w:rsidR="00BA08E1" w:rsidRPr="00804AC7">
        <w:t>section </w:t>
      </w:r>
      <w:r w:rsidRPr="00804AC7">
        <w:rPr>
          <w:color w:val="000000"/>
        </w:rPr>
        <w:t xml:space="preserve">17). Afin de démontrer que « les activités proposées sont bien conçues et réalisables » (critère A.3), il est nécessaire d’assurer une parfaite cohérence entre </w:t>
      </w:r>
      <w:r w:rsidR="00E257FF">
        <w:rPr>
          <w:color w:val="000000"/>
        </w:rPr>
        <w:t>l’objet</w:t>
      </w:r>
      <w:r w:rsidRPr="00804AC7">
        <w:rPr>
          <w:color w:val="000000"/>
        </w:rPr>
        <w:t xml:space="preserve"> de la demande (</w:t>
      </w:r>
      <w:r w:rsidRPr="00804AC7">
        <w:t>section </w:t>
      </w:r>
      <w:r w:rsidRPr="00804AC7">
        <w:rPr>
          <w:color w:val="000000"/>
        </w:rPr>
        <w:t>12), les formes de l’assistance demandée (</w:t>
      </w:r>
      <w:r w:rsidRPr="00804AC7">
        <w:t>section</w:t>
      </w:r>
      <w:r w:rsidR="009113A7">
        <w:t> </w:t>
      </w:r>
      <w:r w:rsidRPr="00804AC7">
        <w:rPr>
          <w:color w:val="000000"/>
        </w:rPr>
        <w:t>13), le contexte et la justification du projet (</w:t>
      </w:r>
      <w:r w:rsidRPr="00804AC7">
        <w:t>section </w:t>
      </w:r>
      <w:r w:rsidRPr="00804AC7">
        <w:rPr>
          <w:color w:val="000000"/>
        </w:rPr>
        <w:t>14), les objectifs et résultats escomptés (</w:t>
      </w:r>
      <w:r w:rsidRPr="00804AC7">
        <w:t>section</w:t>
      </w:r>
      <w:r w:rsidR="009113A7">
        <w:t> </w:t>
      </w:r>
      <w:r w:rsidRPr="00804AC7">
        <w:rPr>
          <w:color w:val="000000"/>
        </w:rPr>
        <w:t>15), les activités (</w:t>
      </w:r>
      <w:r w:rsidRPr="00804AC7">
        <w:t>section</w:t>
      </w:r>
      <w:r w:rsidR="009113A7">
        <w:t> </w:t>
      </w:r>
      <w:r w:rsidRPr="00804AC7">
        <w:rPr>
          <w:color w:val="000000"/>
        </w:rPr>
        <w:t>16), le calendrier (</w:t>
      </w:r>
      <w:r w:rsidRPr="00804AC7">
        <w:t>section</w:t>
      </w:r>
      <w:r w:rsidR="009113A7">
        <w:t> </w:t>
      </w:r>
      <w:r w:rsidRPr="00804AC7">
        <w:rPr>
          <w:color w:val="000000"/>
        </w:rPr>
        <w:t>17), le budget (</w:t>
      </w:r>
      <w:r w:rsidRPr="00804AC7">
        <w:t>section</w:t>
      </w:r>
      <w:r w:rsidR="009113A7">
        <w:t> </w:t>
      </w:r>
      <w:r w:rsidRPr="00804AC7">
        <w:rPr>
          <w:color w:val="000000"/>
        </w:rPr>
        <w:t>18), l’organisation et la stratégie de mise en œuvre (</w:t>
      </w:r>
      <w:r w:rsidRPr="00804AC7">
        <w:t>section</w:t>
      </w:r>
      <w:r w:rsidR="009113A7">
        <w:t> </w:t>
      </w:r>
      <w:r w:rsidRPr="00804AC7">
        <w:rPr>
          <w:color w:val="000000"/>
        </w:rPr>
        <w:t>20), les partenaires (</w:t>
      </w:r>
      <w:r w:rsidRPr="00804AC7">
        <w:t>section</w:t>
      </w:r>
      <w:r w:rsidR="009113A7">
        <w:t> </w:t>
      </w:r>
      <w:r w:rsidRPr="00804AC7">
        <w:rPr>
          <w:color w:val="000000"/>
        </w:rPr>
        <w:t>21) et les activités de suivi, de rapport et d’évaluation (</w:t>
      </w:r>
      <w:r w:rsidRPr="00804AC7">
        <w:t>section</w:t>
      </w:r>
      <w:r w:rsidR="009113A7">
        <w:t> </w:t>
      </w:r>
      <w:r w:rsidRPr="00804AC7">
        <w:rPr>
          <w:color w:val="000000"/>
        </w:rPr>
        <w:t>22).</w:t>
      </w:r>
    </w:p>
    <w:p w:rsidR="00C7268F" w:rsidRPr="00804AC7" w:rsidRDefault="00656DE4" w:rsidP="00B86CF6">
      <w:pPr>
        <w:pStyle w:val="COMPara"/>
        <w:numPr>
          <w:ilvl w:val="0"/>
          <w:numId w:val="2"/>
        </w:numPr>
        <w:ind w:left="567" w:hanging="567"/>
        <w:jc w:val="both"/>
      </w:pPr>
      <w:r w:rsidRPr="00B86CF6">
        <w:rPr>
          <w:b/>
          <w:i/>
        </w:rPr>
        <w:t>Localisation géographique et étendue de l’élément (section D).</w:t>
      </w:r>
      <w:r w:rsidR="00C7268F" w:rsidRPr="00804AC7">
        <w:t xml:space="preserve"> </w:t>
      </w:r>
      <w:r w:rsidR="00860A13" w:rsidRPr="00804AC7">
        <w:t xml:space="preserve">L’information concernant la </w:t>
      </w:r>
      <w:r w:rsidR="00C7268F" w:rsidRPr="00804AC7">
        <w:t xml:space="preserve">localisation géographique et l’étendue de l’élément </w:t>
      </w:r>
      <w:r w:rsidR="00E909FD" w:rsidRPr="00804AC7">
        <w:t xml:space="preserve">fournie </w:t>
      </w:r>
      <w:r w:rsidR="00C7268F" w:rsidRPr="00804AC7">
        <w:t xml:space="preserve">dans la </w:t>
      </w:r>
      <w:r w:rsidR="00860A13" w:rsidRPr="00804AC7">
        <w:t>section </w:t>
      </w:r>
      <w:r w:rsidR="00C7268F" w:rsidRPr="00804AC7">
        <w:t>D d</w:t>
      </w:r>
      <w:r w:rsidR="00860A13" w:rsidRPr="00804AC7">
        <w:t>u</w:t>
      </w:r>
      <w:r w:rsidR="00C7268F" w:rsidRPr="00804AC7">
        <w:t xml:space="preserve"> formulaire de candidature </w:t>
      </w:r>
      <w:r w:rsidR="00950A2E" w:rsidRPr="009113A7">
        <w:t>(</w:t>
      </w:r>
      <w:r w:rsidR="009113A7" w:rsidRPr="0001488C">
        <w:t xml:space="preserve">à la fois pour la Liste de sauvegarde urgente et </w:t>
      </w:r>
      <w:r w:rsidR="009113A7" w:rsidRPr="009113A7">
        <w:t xml:space="preserve">pour la </w:t>
      </w:r>
      <w:r w:rsidR="009113A7">
        <w:t>L</w:t>
      </w:r>
      <w:r w:rsidR="009113A7" w:rsidRPr="0001488C">
        <w:t>iste représentative</w:t>
      </w:r>
      <w:r w:rsidR="00950A2E" w:rsidRPr="009113A7">
        <w:t>)</w:t>
      </w:r>
      <w:r w:rsidR="00950A2E" w:rsidRPr="002C2818">
        <w:t xml:space="preserve"> </w:t>
      </w:r>
      <w:r w:rsidR="00C7268F" w:rsidRPr="00804AC7">
        <w:t>doit être décrite et mentionnée d</w:t>
      </w:r>
      <w:r w:rsidR="00860A13" w:rsidRPr="00804AC7">
        <w:t>e manière consistante</w:t>
      </w:r>
      <w:r w:rsidR="00C7268F" w:rsidRPr="00804AC7">
        <w:t xml:space="preserve"> tout au long du dossier de candidature</w:t>
      </w:r>
      <w:r w:rsidR="00860A13" w:rsidRPr="00804AC7">
        <w:t> ; elle doit</w:t>
      </w:r>
      <w:r w:rsidR="00C7268F" w:rsidRPr="00804AC7">
        <w:t xml:space="preserve"> également être liée à la définition des communautés, qui doivent elles-mêmes être définies et mentionnées de façon </w:t>
      </w:r>
      <w:r w:rsidR="00860A13" w:rsidRPr="00804AC7">
        <w:t>consistante à travers tout le</w:t>
      </w:r>
      <w:r w:rsidR="00C7268F" w:rsidRPr="00804AC7">
        <w:t xml:space="preserve"> dossier</w:t>
      </w:r>
      <w:r w:rsidR="00860A13" w:rsidRPr="00804AC7">
        <w:t xml:space="preserve">, comme </w:t>
      </w:r>
      <w:r w:rsidR="00E909FD">
        <w:t>indiqué</w:t>
      </w:r>
      <w:r w:rsidR="00E909FD" w:rsidRPr="00804AC7">
        <w:t xml:space="preserve"> </w:t>
      </w:r>
      <w:r w:rsidR="00860A13" w:rsidRPr="00804AC7">
        <w:t>plus haut</w:t>
      </w:r>
      <w:r w:rsidR="00C7268F" w:rsidRPr="00804AC7">
        <w:t>.</w:t>
      </w:r>
    </w:p>
    <w:p w:rsidR="00C7268F" w:rsidRDefault="00656DE4" w:rsidP="00B86CF6">
      <w:pPr>
        <w:pStyle w:val="COMPara"/>
        <w:numPr>
          <w:ilvl w:val="0"/>
          <w:numId w:val="2"/>
        </w:numPr>
        <w:ind w:left="567" w:hanging="567"/>
        <w:jc w:val="both"/>
      </w:pPr>
      <w:r w:rsidRPr="00B86CF6">
        <w:rPr>
          <w:b/>
          <w:i/>
        </w:rPr>
        <w:t>Identification du(es) domaine(s)</w:t>
      </w:r>
      <w:r w:rsidRPr="00B86CF6">
        <w:rPr>
          <w:b/>
        </w:rPr>
        <w:t>.</w:t>
      </w:r>
      <w:r w:rsidR="00C7268F" w:rsidRPr="00804AC7">
        <w:t xml:space="preserve"> Les informations portant sur le (ou les) domaine(s) de manifestation de l’élément, fournies sous forme de cases à cocher (section E de la Liste de sauvegarde urgente et section 1 de la Liste représentative)</w:t>
      </w:r>
      <w:r w:rsidR="008919FA" w:rsidRPr="00804AC7">
        <w:t>,</w:t>
      </w:r>
      <w:r w:rsidR="00C7268F" w:rsidRPr="00804AC7">
        <w:t xml:space="preserve"> semblent la plupart du temps </w:t>
      </w:r>
      <w:r w:rsidR="00E909FD">
        <w:t xml:space="preserve">relativement </w:t>
      </w:r>
      <w:r w:rsidR="00C7268F" w:rsidRPr="00804AC7">
        <w:t xml:space="preserve">arbitraires, car aucune </w:t>
      </w:r>
      <w:r w:rsidR="00C7268F" w:rsidRPr="00F016A0">
        <w:rPr>
          <w:lang w:eastAsia="en-US" w:bidi="en-US"/>
        </w:rPr>
        <w:t>information</w:t>
      </w:r>
      <w:r w:rsidR="00C7268F" w:rsidRPr="00804AC7">
        <w:t xml:space="preserve"> parallèle n’est fournie dans la section narrative U.1/R.1. Bien que la tendance générale consiste à cocher toutes les cases ou presque, il arrive </w:t>
      </w:r>
      <w:r w:rsidR="008919FA" w:rsidRPr="00804AC7">
        <w:t xml:space="preserve">aussi </w:t>
      </w:r>
      <w:r w:rsidR="00C7268F" w:rsidRPr="00804AC7">
        <w:t>que des informations précises soient fournies dans la partie narrative sur un domaine spécifique qui n’</w:t>
      </w:r>
      <w:r w:rsidR="008919FA" w:rsidRPr="00804AC7">
        <w:t>est cependant</w:t>
      </w:r>
      <w:r w:rsidR="00C7268F" w:rsidRPr="00804AC7">
        <w:t xml:space="preserve"> pas coché. Les États parties doivent </w:t>
      </w:r>
      <w:r w:rsidR="00E909FD">
        <w:t>accorder toute leur attention à cette identification élémentaire à sa correspondance avec</w:t>
      </w:r>
      <w:r w:rsidR="00E909FD" w:rsidRPr="00804AC7">
        <w:t xml:space="preserve"> </w:t>
      </w:r>
      <w:r w:rsidR="00E909FD">
        <w:t>le</w:t>
      </w:r>
      <w:r w:rsidR="00C7268F" w:rsidRPr="00804AC7">
        <w:t xml:space="preserve"> contenu narratif qui suit. Les cases à cocher servant uniquement à classifier et à indexer les éléments inscrits sur les deux listes, l’Organe d’évaluation propose que ne soi(en)t coché(s) que le (ou les) domaines </w:t>
      </w:r>
      <w:proofErr w:type="gramStart"/>
      <w:r w:rsidR="00C7268F" w:rsidRPr="00804AC7">
        <w:t>principal(</w:t>
      </w:r>
      <w:proofErr w:type="gramEnd"/>
      <w:r w:rsidR="00C7268F" w:rsidRPr="00804AC7">
        <w:t>ux)</w:t>
      </w:r>
      <w:r w:rsidR="008D1526" w:rsidRPr="00804AC7">
        <w:t>,</w:t>
      </w:r>
      <w:r w:rsidR="00C7268F" w:rsidRPr="00804AC7">
        <w:t xml:space="preserve"> et de</w:t>
      </w:r>
      <w:r w:rsidR="008D1526" w:rsidRPr="00804AC7">
        <w:t>mande à ce que</w:t>
      </w:r>
      <w:r w:rsidR="00C7268F" w:rsidRPr="00804AC7">
        <w:t xml:space="preserve"> les instructions </w:t>
      </w:r>
      <w:r w:rsidR="008D1526" w:rsidRPr="00804AC7">
        <w:t xml:space="preserve">soient corrigées </w:t>
      </w:r>
      <w:r w:rsidR="00C7268F" w:rsidRPr="00804AC7">
        <w:t>en conséquence</w:t>
      </w:r>
      <w:r w:rsidR="008D1526" w:rsidRPr="00804AC7">
        <w:t xml:space="preserve"> dans le formulaire</w:t>
      </w:r>
      <w:r w:rsidR="00C7268F" w:rsidRPr="00804AC7">
        <w:t xml:space="preserve">, même si </w:t>
      </w:r>
      <w:r w:rsidR="008D1526" w:rsidRPr="00804AC7">
        <w:t xml:space="preserve">la partie narrative </w:t>
      </w:r>
      <w:r w:rsidR="00E909FD">
        <w:t>peut</w:t>
      </w:r>
      <w:r w:rsidR="00E909FD" w:rsidRPr="00804AC7">
        <w:t xml:space="preserve"> </w:t>
      </w:r>
      <w:r w:rsidR="008D1526" w:rsidRPr="00804AC7">
        <w:t xml:space="preserve">expliquer la pertinence </w:t>
      </w:r>
      <w:r w:rsidR="00C7268F" w:rsidRPr="00804AC7">
        <w:t>de domaines supplémentaires.</w:t>
      </w:r>
    </w:p>
    <w:p w:rsidR="00C7268F" w:rsidRPr="00C249C5" w:rsidRDefault="00656DE4" w:rsidP="00B86CF6">
      <w:pPr>
        <w:pStyle w:val="COMPara"/>
        <w:numPr>
          <w:ilvl w:val="0"/>
          <w:numId w:val="2"/>
        </w:numPr>
        <w:ind w:left="567" w:hanging="567"/>
        <w:jc w:val="both"/>
      </w:pPr>
      <w:r w:rsidRPr="00B86CF6">
        <w:rPr>
          <w:b/>
          <w:i/>
          <w:color w:val="000000"/>
        </w:rPr>
        <w:t>Contribution aux objectifs de la Liste représentative (R.2)</w:t>
      </w:r>
      <w:r w:rsidRPr="00B86CF6">
        <w:rPr>
          <w:b/>
          <w:color w:val="000000"/>
        </w:rPr>
        <w:t>.</w:t>
      </w:r>
      <w:r w:rsidR="00C7268F" w:rsidRPr="00804AC7">
        <w:rPr>
          <w:color w:val="000000"/>
        </w:rPr>
        <w:t xml:space="preserve"> </w:t>
      </w:r>
      <w:r w:rsidR="00C7268F" w:rsidRPr="00804AC7">
        <w:t>Le critère R.2 est au cœur de la Liste représentative</w:t>
      </w:r>
      <w:r w:rsidR="00C52A84" w:rsidRPr="00804AC7">
        <w:t>,</w:t>
      </w:r>
      <w:r w:rsidR="00C7268F" w:rsidRPr="00804AC7">
        <w:t xml:space="preserve"> lié à l’objectif de la Liste de contribuer à </w:t>
      </w:r>
      <w:r w:rsidR="00C52A84" w:rsidRPr="00804AC7">
        <w:t xml:space="preserve">la </w:t>
      </w:r>
      <w:r w:rsidR="00C7268F" w:rsidRPr="00804AC7">
        <w:t xml:space="preserve">visibilité du patrimoine culturel immatériel </w:t>
      </w:r>
      <w:r w:rsidR="00C52A84" w:rsidRPr="00804AC7">
        <w:t xml:space="preserve">en général </w:t>
      </w:r>
      <w:r w:rsidR="00C7268F" w:rsidRPr="00804AC7">
        <w:t xml:space="preserve">et à la prise de conscience de son importance au niveau local, </w:t>
      </w:r>
      <w:r w:rsidR="00C7268F" w:rsidRPr="00F016A0">
        <w:rPr>
          <w:lang w:eastAsia="en-US" w:bidi="en-US"/>
        </w:rPr>
        <w:t>national</w:t>
      </w:r>
      <w:r w:rsidR="00C7268F" w:rsidRPr="00804AC7">
        <w:t xml:space="preserve"> et international, d’encourager le dialogue parmi les communautés, les groupes et les individus et de promouvoir </w:t>
      </w:r>
      <w:r w:rsidR="00C52A84" w:rsidRPr="00804AC7">
        <w:t xml:space="preserve">le respect pour </w:t>
      </w:r>
      <w:r w:rsidR="00C7268F" w:rsidRPr="00804AC7">
        <w:t xml:space="preserve">la diversité culturelle et la créativité humaine. Les États parties devraient donc </w:t>
      </w:r>
      <w:r w:rsidR="00C52A84" w:rsidRPr="00804AC7">
        <w:t>attacher une grande attention</w:t>
      </w:r>
      <w:r w:rsidR="00C7268F" w:rsidRPr="00804AC7">
        <w:t xml:space="preserve"> </w:t>
      </w:r>
      <w:r w:rsidR="00C52A84" w:rsidRPr="00804AC7">
        <w:t xml:space="preserve">à </w:t>
      </w:r>
      <w:r w:rsidR="00C7268F" w:rsidRPr="00804AC7">
        <w:t>ce critère. La tendance générale est toutefois à l’introversion</w:t>
      </w:r>
      <w:r w:rsidR="008A4923">
        <w:t xml:space="preserve"> et à se</w:t>
      </w:r>
      <w:r w:rsidR="00C7268F" w:rsidRPr="00804AC7">
        <w:t xml:space="preserve"> </w:t>
      </w:r>
      <w:r w:rsidR="008A4923">
        <w:t>concentrer</w:t>
      </w:r>
      <w:r w:rsidR="006135F4" w:rsidRPr="00804AC7">
        <w:t xml:space="preserve"> </w:t>
      </w:r>
      <w:r w:rsidR="00C7268F" w:rsidRPr="00804AC7">
        <w:t xml:space="preserve">sur les avantages de l’inscription pour l’élément lui-même. </w:t>
      </w:r>
      <w:r w:rsidR="006135F4" w:rsidRPr="00804AC7">
        <w:t>Et ce</w:t>
      </w:r>
      <w:r w:rsidR="00C7268F" w:rsidRPr="00804AC7">
        <w:t xml:space="preserve"> malgré la décision récente prise par le Comité de ne considérer ce critère satisfait que si les contributions au patrimoine culturel immatériel en général sont démontrées (Décision 8.COM 8). </w:t>
      </w:r>
      <w:r w:rsidR="00C7268F" w:rsidRPr="00C249C5">
        <w:t>Pour l’Organe d’évaluation également, il s’</w:t>
      </w:r>
      <w:r w:rsidR="006135F4" w:rsidRPr="00C249C5">
        <w:t xml:space="preserve">est </w:t>
      </w:r>
      <w:r w:rsidR="00C7268F" w:rsidRPr="00C249C5">
        <w:t xml:space="preserve">agi d’un des critères qui </w:t>
      </w:r>
      <w:r w:rsidR="006135F4" w:rsidRPr="00C249C5">
        <w:t xml:space="preserve">lui ont posé </w:t>
      </w:r>
      <w:r w:rsidR="00C7268F" w:rsidRPr="00C249C5">
        <w:t>le plus de défis</w:t>
      </w:r>
      <w:r w:rsidR="00B76B7C" w:rsidRPr="00C249C5">
        <w:t>, et ce</w:t>
      </w:r>
      <w:r w:rsidR="008A4923">
        <w:t>,</w:t>
      </w:r>
      <w:r w:rsidR="00B76B7C" w:rsidRPr="00C249C5">
        <w:t xml:space="preserve"> </w:t>
      </w:r>
      <w:r w:rsidR="008A4923">
        <w:t xml:space="preserve">principalement, </w:t>
      </w:r>
      <w:r w:rsidR="008A4923" w:rsidRPr="00C249C5">
        <w:t>parce</w:t>
      </w:r>
      <w:r w:rsidR="008A4923">
        <w:t xml:space="preserve"> que dans </w:t>
      </w:r>
      <w:r w:rsidR="00B76B7C" w:rsidRPr="00C249C5">
        <w:t>ce cycle la tendance à fournir des affirmations plutôt que des démonstrations a été particulièrement forte</w:t>
      </w:r>
      <w:r w:rsidR="00C7268F" w:rsidRPr="00C249C5">
        <w:t>.</w:t>
      </w:r>
      <w:r w:rsidR="00C7268F" w:rsidRPr="00804AC7">
        <w:t xml:space="preserve"> </w:t>
      </w:r>
      <w:r w:rsidR="00B76B7C" w:rsidRPr="00804AC7">
        <w:t>Se fondant sur</w:t>
      </w:r>
      <w:r w:rsidR="00C7268F" w:rsidRPr="00804AC7">
        <w:t xml:space="preserve"> diverses informations </w:t>
      </w:r>
      <w:r w:rsidR="00B76B7C" w:rsidRPr="00804AC7">
        <w:t xml:space="preserve">trouvées </w:t>
      </w:r>
      <w:r w:rsidR="00C7268F" w:rsidRPr="00804AC7">
        <w:t xml:space="preserve">dans </w:t>
      </w:r>
      <w:r w:rsidR="00B631C6">
        <w:t>d’autres</w:t>
      </w:r>
      <w:r w:rsidR="00B631C6" w:rsidRPr="00804AC7">
        <w:t xml:space="preserve"> </w:t>
      </w:r>
      <w:r w:rsidR="00C7268F" w:rsidRPr="00804AC7">
        <w:t xml:space="preserve">sections de la candidature, l’Organe </w:t>
      </w:r>
      <w:r w:rsidR="00B631C6">
        <w:t>a</w:t>
      </w:r>
      <w:r w:rsidR="00B631C6" w:rsidRPr="00804AC7">
        <w:t xml:space="preserve"> </w:t>
      </w:r>
      <w:r w:rsidR="00B631C6">
        <w:t xml:space="preserve">pu </w:t>
      </w:r>
      <w:r w:rsidR="00C7268F" w:rsidRPr="00804AC7">
        <w:t xml:space="preserve">penser </w:t>
      </w:r>
      <w:r w:rsidR="00B631C6">
        <w:t xml:space="preserve">dans certains cas </w:t>
      </w:r>
      <w:r w:rsidR="00C7268F" w:rsidRPr="00804AC7">
        <w:t xml:space="preserve">que l’inscription de l’élément pourrait contribuer aux objectifs de la Liste. Toutefois, mis à part le fait que </w:t>
      </w:r>
      <w:r w:rsidR="008A4923">
        <w:t>d</w:t>
      </w:r>
      <w:r w:rsidR="008A4923" w:rsidRPr="00804AC7">
        <w:t xml:space="preserve">es </w:t>
      </w:r>
      <w:r w:rsidR="00C7268F" w:rsidRPr="00804AC7">
        <w:t xml:space="preserve">informations placées aux mauvais endroits empêchent une candidature de bénéficier de « conditions favorables pour son évaluation et son examen » (Décision 7.COM 7), </w:t>
      </w:r>
      <w:r w:rsidR="00BF4A8D" w:rsidRPr="00804AC7">
        <w:t>c</w:t>
      </w:r>
      <w:r w:rsidR="00BF4A8D">
        <w:t>’</w:t>
      </w:r>
      <w:r w:rsidR="00BF4A8D" w:rsidRPr="00804AC7">
        <w:t xml:space="preserve">est </w:t>
      </w:r>
      <w:r w:rsidR="00C7268F" w:rsidRPr="00804AC7">
        <w:t xml:space="preserve">à l’État partie, et non à l’Organe d’évaluation, </w:t>
      </w:r>
      <w:r w:rsidR="008A4923">
        <w:t xml:space="preserve">qu’il revient </w:t>
      </w:r>
      <w:r w:rsidR="00C7268F" w:rsidRPr="00804AC7">
        <w:t xml:space="preserve">de démontrer et d’expliquer en quoi une telle inscription pourrait contribuer à la visibilité du patrimoine culturel immatériel en général. Si l’État n’a pas pris </w:t>
      </w:r>
      <w:r w:rsidR="008A4923">
        <w:t>suffisamment en compte</w:t>
      </w:r>
      <w:r w:rsidR="00C7268F" w:rsidRPr="00804AC7">
        <w:t xml:space="preserve"> cette question ni démontré sa capacité à anticiper </w:t>
      </w:r>
      <w:r w:rsidR="008A4923">
        <w:t xml:space="preserve">comment </w:t>
      </w:r>
      <w:r w:rsidR="00C7268F" w:rsidRPr="00804AC7">
        <w:t>de telles contributions</w:t>
      </w:r>
      <w:r w:rsidR="008A4923">
        <w:t xml:space="preserve"> auront lieu</w:t>
      </w:r>
      <w:r w:rsidR="00C7268F" w:rsidRPr="00804AC7">
        <w:t xml:space="preserve">, il est irréaliste </w:t>
      </w:r>
      <w:r w:rsidR="00B97B6E">
        <w:t xml:space="preserve">de s’attendre </w:t>
      </w:r>
      <w:r w:rsidR="00E05722">
        <w:t xml:space="preserve">à </w:t>
      </w:r>
      <w:r w:rsidR="00B97B6E">
        <w:t>une réelle contribution suite</w:t>
      </w:r>
      <w:r w:rsidR="00C7268F" w:rsidRPr="00804AC7">
        <w:t xml:space="preserve"> </w:t>
      </w:r>
      <w:r w:rsidR="00B97B6E">
        <w:t>à</w:t>
      </w:r>
      <w:r w:rsidR="00C7268F" w:rsidRPr="00804AC7">
        <w:t xml:space="preserve"> </w:t>
      </w:r>
      <w:r w:rsidR="00B97B6E">
        <w:t>l’</w:t>
      </w:r>
      <w:r w:rsidR="00C7268F" w:rsidRPr="00804AC7">
        <w:t xml:space="preserve">inscription. Pour que </w:t>
      </w:r>
      <w:r w:rsidR="00E05722">
        <w:t xml:space="preserve">la réponse à </w:t>
      </w:r>
      <w:r w:rsidR="00C7268F" w:rsidRPr="00804AC7">
        <w:t xml:space="preserve">ce critère soit </w:t>
      </w:r>
      <w:r w:rsidR="00E05722">
        <w:t>adéquate</w:t>
      </w:r>
      <w:r w:rsidR="00C7268F" w:rsidRPr="00804AC7">
        <w:t xml:space="preserve">, l’État soumissionnaire doit </w:t>
      </w:r>
      <w:r w:rsidR="00B97B6E">
        <w:t xml:space="preserve">clairement élucider comment </w:t>
      </w:r>
      <w:r w:rsidR="00C7268F" w:rsidRPr="00804AC7">
        <w:t xml:space="preserve">l’élément incorpore, implique et/ou favorise des contributions </w:t>
      </w:r>
      <w:r w:rsidR="00E05722">
        <w:t>pertinentes au regard des objectifs</w:t>
      </w:r>
      <w:r w:rsidR="00E05722" w:rsidRPr="00804AC7">
        <w:t xml:space="preserve"> </w:t>
      </w:r>
      <w:r w:rsidR="00C7268F" w:rsidRPr="00804AC7">
        <w:t xml:space="preserve">globaux de la Liste représentative. </w:t>
      </w:r>
      <w:r w:rsidR="008A4923">
        <w:t>Les informations fournies dans la section</w:t>
      </w:r>
      <w:r w:rsidR="00406005">
        <w:t> </w:t>
      </w:r>
      <w:r w:rsidR="008A4923">
        <w:t>R.2</w:t>
      </w:r>
      <w:r w:rsidR="00406005">
        <w:t xml:space="preserve"> peuvent bien entendu se référer à des </w:t>
      </w:r>
      <w:r w:rsidR="008A4923">
        <w:t>information</w:t>
      </w:r>
      <w:r w:rsidR="00406005">
        <w:t>s</w:t>
      </w:r>
      <w:r w:rsidR="008A4923">
        <w:t xml:space="preserve"> qui offre</w:t>
      </w:r>
      <w:r w:rsidR="00406005">
        <w:t>nt</w:t>
      </w:r>
      <w:r w:rsidR="008A4923">
        <w:t xml:space="preserve"> une preuve supplémentaire </w:t>
      </w:r>
      <w:r w:rsidR="00406005">
        <w:t xml:space="preserve">de ses revendications mais qui sont fournies </w:t>
      </w:r>
      <w:r w:rsidR="008A4923">
        <w:t>plus en détail dans d</w:t>
      </w:r>
      <w:r w:rsidR="00406005">
        <w:t>’</w:t>
      </w:r>
      <w:r w:rsidR="008A4923">
        <w:t xml:space="preserve">autres sections du dossier de candidature. </w:t>
      </w:r>
      <w:r w:rsidR="00406005">
        <w:t>Or</w:t>
      </w:r>
      <w:r w:rsidR="008A4923">
        <w:t xml:space="preserve"> si elle</w:t>
      </w:r>
      <w:r w:rsidR="00406005">
        <w:t>s ne fournissent</w:t>
      </w:r>
      <w:r w:rsidR="008A4923">
        <w:t xml:space="preserve"> </w:t>
      </w:r>
      <w:r w:rsidR="00406005">
        <w:t>pas de</w:t>
      </w:r>
      <w:r w:rsidR="008A4923">
        <w:t xml:space="preserve"> démonstration ni </w:t>
      </w:r>
      <w:r w:rsidR="00406005">
        <w:t xml:space="preserve">elles se </w:t>
      </w:r>
      <w:r w:rsidR="008A4923">
        <w:t>réfère</w:t>
      </w:r>
      <w:r w:rsidR="00406005">
        <w:t>nt</w:t>
      </w:r>
      <w:r w:rsidR="008A4923">
        <w:t xml:space="preserve"> à des faits explorés plus en profondeur ailleurs</w:t>
      </w:r>
      <w:r w:rsidR="00B631C6">
        <w:t xml:space="preserve"> dans la candidature</w:t>
      </w:r>
      <w:r w:rsidR="008A4923">
        <w:t xml:space="preserve">, </w:t>
      </w:r>
      <w:r w:rsidR="00406005">
        <w:t>elles</w:t>
      </w:r>
      <w:r w:rsidR="008A4923">
        <w:t xml:space="preserve"> </w:t>
      </w:r>
      <w:r w:rsidR="00411535">
        <w:t>laissent</w:t>
      </w:r>
      <w:r w:rsidR="008A4923">
        <w:t xml:space="preserve"> une impression de simple</w:t>
      </w:r>
      <w:r w:rsidR="00406005">
        <w:t>s</w:t>
      </w:r>
      <w:r w:rsidR="008A4923">
        <w:t xml:space="preserve"> affirmation</w:t>
      </w:r>
      <w:r w:rsidR="00406005">
        <w:t>s</w:t>
      </w:r>
      <w:r w:rsidR="008A4923">
        <w:t xml:space="preserve"> qui ne peu</w:t>
      </w:r>
      <w:r w:rsidR="00406005">
        <w:t>vent pas</w:t>
      </w:r>
      <w:r w:rsidR="008A4923">
        <w:t xml:space="preserve"> être accepté</w:t>
      </w:r>
      <w:r w:rsidR="00406005">
        <w:t>es</w:t>
      </w:r>
      <w:r w:rsidR="008A4923">
        <w:t xml:space="preserve"> comme suffisante</w:t>
      </w:r>
      <w:r w:rsidR="00411535">
        <w:t>s</w:t>
      </w:r>
      <w:r w:rsidR="008A4923">
        <w:t>.</w:t>
      </w:r>
    </w:p>
    <w:p w:rsidR="00A20E53" w:rsidRPr="00804AC7" w:rsidRDefault="00656DE4" w:rsidP="00B86CF6">
      <w:pPr>
        <w:pStyle w:val="COMPara"/>
        <w:numPr>
          <w:ilvl w:val="0"/>
          <w:numId w:val="2"/>
        </w:numPr>
        <w:ind w:left="567" w:hanging="567"/>
        <w:jc w:val="both"/>
      </w:pPr>
      <w:r w:rsidRPr="00B86CF6">
        <w:rPr>
          <w:b/>
          <w:i/>
        </w:rPr>
        <w:t>Différences entre plans et mesures de sauvegarde (U.3/R.3)</w:t>
      </w:r>
      <w:r w:rsidRPr="00B86CF6">
        <w:rPr>
          <w:b/>
        </w:rPr>
        <w:t>.</w:t>
      </w:r>
      <w:r w:rsidR="00C7268F" w:rsidRPr="00804AC7">
        <w:t xml:space="preserve"> En raison des objectifs différents des deux listes, les mesures de sauvegarde proposées dans le cadre d’une candidature pour inscription sur la Liste représentative ne requièrent pas la même portée </w:t>
      </w:r>
      <w:r w:rsidR="00A20E53">
        <w:t>ni</w:t>
      </w:r>
      <w:r w:rsidR="00A20E53" w:rsidRPr="00804AC7">
        <w:t xml:space="preserve"> </w:t>
      </w:r>
      <w:r w:rsidR="00C7268F" w:rsidRPr="00804AC7">
        <w:t xml:space="preserve">le même degré de rigueur qu’un plan de sauvegarde pour une candidature sur la Liste de sauvegarde </w:t>
      </w:r>
      <w:r w:rsidR="00C7268F" w:rsidRPr="00F016A0">
        <w:rPr>
          <w:lang w:eastAsia="en-US" w:bidi="en-US"/>
        </w:rPr>
        <w:t>urgente</w:t>
      </w:r>
      <w:r w:rsidR="00C7268F" w:rsidRPr="00804AC7">
        <w:t xml:space="preserve">. En outre, bien que la </w:t>
      </w:r>
      <w:r w:rsidR="00A20E53">
        <w:t>description</w:t>
      </w:r>
      <w:r w:rsidR="00A20E53" w:rsidRPr="00804AC7">
        <w:t xml:space="preserve"> </w:t>
      </w:r>
      <w:r w:rsidR="00C7268F" w:rsidRPr="00804AC7">
        <w:t xml:space="preserve">d’une communauté </w:t>
      </w:r>
      <w:r w:rsidR="00A20E53" w:rsidRPr="00804AC7">
        <w:t xml:space="preserve">plus large </w:t>
      </w:r>
      <w:r w:rsidR="00C7268F" w:rsidRPr="00804AC7">
        <w:t xml:space="preserve">impliquée dans la pratique et la sauvegarde d’un élément soit toujours souhaitable, </w:t>
      </w:r>
      <w:r w:rsidR="00A20E53">
        <w:t>y compris</w:t>
      </w:r>
      <w:r w:rsidR="00A20E53" w:rsidRPr="00804AC7">
        <w:t xml:space="preserve"> </w:t>
      </w:r>
      <w:r w:rsidR="00A20E53">
        <w:t>celle d’</w:t>
      </w:r>
      <w:r w:rsidR="00C7268F" w:rsidRPr="00804AC7">
        <w:t xml:space="preserve">un public </w:t>
      </w:r>
      <w:r w:rsidR="00DF7990" w:rsidRPr="00804AC7">
        <w:t xml:space="preserve">informé </w:t>
      </w:r>
      <w:r w:rsidR="00C7268F" w:rsidRPr="00804AC7">
        <w:t xml:space="preserve">et </w:t>
      </w:r>
      <w:r w:rsidR="00DF7990" w:rsidRPr="00804AC7">
        <w:t>dédié</w:t>
      </w:r>
      <w:r w:rsidR="00C7268F" w:rsidRPr="00804AC7">
        <w:t xml:space="preserve">, il apparaît souvent </w:t>
      </w:r>
      <w:r w:rsidR="009F3CEF" w:rsidRPr="00804AC7">
        <w:t>difficile</w:t>
      </w:r>
      <w:r w:rsidR="00DF7990" w:rsidRPr="00804AC7">
        <w:t xml:space="preserve"> </w:t>
      </w:r>
      <w:r w:rsidR="00C7268F" w:rsidRPr="00804AC7">
        <w:t xml:space="preserve">de démontrer l’existence d’un public plus large dans le </w:t>
      </w:r>
      <w:r w:rsidR="00A20E53">
        <w:t>cas</w:t>
      </w:r>
      <w:r w:rsidR="00A20E53" w:rsidRPr="00804AC7">
        <w:t xml:space="preserve"> </w:t>
      </w:r>
      <w:r w:rsidR="00C7268F" w:rsidRPr="00804AC7">
        <w:t xml:space="preserve">d’une candidature pour la Liste de sauvegarde urgente, en raison </w:t>
      </w:r>
      <w:r w:rsidR="00A20E53">
        <w:t>des menaces qui pèsent</w:t>
      </w:r>
      <w:r w:rsidR="00C7268F" w:rsidRPr="00804AC7">
        <w:t xml:space="preserve"> </w:t>
      </w:r>
      <w:r w:rsidR="00A20E53">
        <w:t>sur</w:t>
      </w:r>
      <w:r w:rsidR="00A20E53" w:rsidRPr="00804AC7">
        <w:t xml:space="preserve"> </w:t>
      </w:r>
      <w:r w:rsidR="00C7268F" w:rsidRPr="00804AC7">
        <w:t xml:space="preserve">l’élément. Dans </w:t>
      </w:r>
      <w:r w:rsidR="00A20E53">
        <w:t>de tels</w:t>
      </w:r>
      <w:r w:rsidR="00A20E53" w:rsidRPr="00804AC7">
        <w:t xml:space="preserve"> </w:t>
      </w:r>
      <w:r w:rsidR="00C7268F" w:rsidRPr="00804AC7">
        <w:t xml:space="preserve">cas, la simple </w:t>
      </w:r>
      <w:r w:rsidR="00DF7990" w:rsidRPr="00804AC7">
        <w:t xml:space="preserve">description </w:t>
      </w:r>
      <w:r w:rsidR="00C7268F" w:rsidRPr="00804AC7">
        <w:t>de</w:t>
      </w:r>
      <w:r w:rsidR="00DF7990" w:rsidRPr="00804AC7">
        <w:t>s</w:t>
      </w:r>
      <w:r w:rsidR="00C7268F" w:rsidRPr="00804AC7">
        <w:t xml:space="preserve"> </w:t>
      </w:r>
      <w:r w:rsidR="00A20E53" w:rsidRPr="00804AC7">
        <w:t xml:space="preserve">principaux </w:t>
      </w:r>
      <w:r w:rsidR="00C7268F" w:rsidRPr="00804AC7">
        <w:t>détenteurs et praticiens peut suffire</w:t>
      </w:r>
      <w:r w:rsidR="00A20E53">
        <w:t xml:space="preserve"> tandis que ce même niveau d’information</w:t>
      </w:r>
      <w:r w:rsidR="00C7268F" w:rsidRPr="00804AC7">
        <w:t xml:space="preserve"> ne serait pas </w:t>
      </w:r>
      <w:r w:rsidR="00DF7990" w:rsidRPr="00804AC7">
        <w:t>suffisant</w:t>
      </w:r>
      <w:r w:rsidR="00C7268F" w:rsidRPr="00804AC7">
        <w:t xml:space="preserve"> </w:t>
      </w:r>
      <w:r w:rsidR="00A20E53">
        <w:t>pour</w:t>
      </w:r>
      <w:r w:rsidR="00A20E53" w:rsidRPr="00804AC7">
        <w:t xml:space="preserve"> </w:t>
      </w:r>
      <w:r w:rsidR="00C7268F" w:rsidRPr="00804AC7">
        <w:t xml:space="preserve">une </w:t>
      </w:r>
      <w:r w:rsidR="00DF7990" w:rsidRPr="00804AC7">
        <w:t>candidature</w:t>
      </w:r>
      <w:r w:rsidR="00C7268F" w:rsidRPr="00804AC7">
        <w:t xml:space="preserve"> </w:t>
      </w:r>
      <w:r w:rsidR="00DF7990" w:rsidRPr="00804AC7">
        <w:t xml:space="preserve">à </w:t>
      </w:r>
      <w:r w:rsidR="00C7268F" w:rsidRPr="00804AC7">
        <w:t xml:space="preserve">la Liste représentative. Il est également crucial que soient clairement </w:t>
      </w:r>
      <w:r w:rsidR="00A20E53">
        <w:t>identifiées</w:t>
      </w:r>
      <w:r w:rsidR="00A20E53" w:rsidRPr="00804AC7">
        <w:t xml:space="preserve"> </w:t>
      </w:r>
      <w:r w:rsidR="00C7268F" w:rsidRPr="00804AC7">
        <w:t xml:space="preserve">dans le dossier de candidature pour la Liste de sauvegarde urgente les menaces qui pèsent spécifiquement sur l’élément </w:t>
      </w:r>
      <w:r w:rsidR="00DF7990" w:rsidRPr="00804AC7">
        <w:t>qu’il est</w:t>
      </w:r>
      <w:r w:rsidR="00C7268F" w:rsidRPr="00804AC7">
        <w:t xml:space="preserve"> </w:t>
      </w:r>
      <w:r w:rsidR="00DF7990" w:rsidRPr="00804AC7">
        <w:t xml:space="preserve">possible d’atténuer </w:t>
      </w:r>
      <w:r w:rsidR="00C7268F" w:rsidRPr="00804AC7">
        <w:t xml:space="preserve">ou </w:t>
      </w:r>
      <w:r w:rsidR="00A20E53">
        <w:t>de surmonter</w:t>
      </w:r>
      <w:r w:rsidR="00C7268F" w:rsidRPr="00804AC7">
        <w:t xml:space="preserve">, </w:t>
      </w:r>
      <w:r w:rsidR="00DF7990" w:rsidRPr="00804AC7">
        <w:t>contrairement</w:t>
      </w:r>
      <w:r w:rsidR="00C7268F" w:rsidRPr="00804AC7">
        <w:t xml:space="preserve"> </w:t>
      </w:r>
      <w:r w:rsidR="00DF7990" w:rsidRPr="00804AC7">
        <w:t xml:space="preserve">aux </w:t>
      </w:r>
      <w:r w:rsidR="00C7268F" w:rsidRPr="00804AC7">
        <w:t xml:space="preserve">problématiques générales telles que les phénomènes de migration ou de modernisation </w:t>
      </w:r>
      <w:r w:rsidR="00DF7990" w:rsidRPr="00804AC7">
        <w:t xml:space="preserve">qui sont </w:t>
      </w:r>
      <w:r w:rsidR="00C7268F" w:rsidRPr="00804AC7">
        <w:t xml:space="preserve">inhérentes </w:t>
      </w:r>
      <w:r w:rsidR="00DF7990" w:rsidRPr="00804AC7">
        <w:t>à la transformation d’une</w:t>
      </w:r>
      <w:r w:rsidR="00C7268F" w:rsidRPr="00804AC7">
        <w:t xml:space="preserve"> société. Il est impossible de juguler les transformations sociétales pour assurer la viabilité de l’élément comme par le passé, et les États parties élaborent rarement des mesures </w:t>
      </w:r>
      <w:r w:rsidR="00DF7990" w:rsidRPr="00804AC7">
        <w:t xml:space="preserve">spécifiques </w:t>
      </w:r>
      <w:r w:rsidR="00C7268F" w:rsidRPr="00804AC7">
        <w:t xml:space="preserve">destinées à remédier à ces menaces génériques. Les candidatures devraient </w:t>
      </w:r>
      <w:r w:rsidR="00DF7990" w:rsidRPr="00804AC7">
        <w:t xml:space="preserve">plutôt </w:t>
      </w:r>
      <w:r w:rsidR="00C7268F" w:rsidRPr="00804AC7">
        <w:t xml:space="preserve">présenter des mesures permettant à l’élément et aux communautés concernées de s’adapter à des contextes socioculturels changeants mais, là encore, peu de mesures sont identifiées </w:t>
      </w:r>
      <w:r w:rsidR="00DF7990" w:rsidRPr="00804AC7">
        <w:t>pour renforcer</w:t>
      </w:r>
      <w:r w:rsidR="00C7268F" w:rsidRPr="00804AC7">
        <w:t xml:space="preserve"> les communautés </w:t>
      </w:r>
      <w:r w:rsidR="00DF7990" w:rsidRPr="00804AC7">
        <w:t xml:space="preserve">face à des </w:t>
      </w:r>
      <w:r w:rsidR="00C7268F" w:rsidRPr="00804AC7">
        <w:t xml:space="preserve">mutations inexorables. De telles exigences, à la fois spécifiques et </w:t>
      </w:r>
      <w:r w:rsidR="00233155" w:rsidRPr="00804AC7">
        <w:t>difficiles</w:t>
      </w:r>
      <w:r w:rsidR="00C7268F" w:rsidRPr="00804AC7">
        <w:t xml:space="preserve">, n’apparaissent pas dans le cas d’éléments proposés pour la Liste représentative, puisqu’il s’agit en général d’éléments viables. Ainsi, la faisabilité du plan est de première importance et représente un enjeu de taille pour les éléments </w:t>
      </w:r>
      <w:r w:rsidR="00233155" w:rsidRPr="00804AC7">
        <w:t>nécessitant une</w:t>
      </w:r>
      <w:r w:rsidR="00C7268F" w:rsidRPr="00804AC7">
        <w:t xml:space="preserve"> sauvegarde urgente, </w:t>
      </w:r>
      <w:r w:rsidR="00233155" w:rsidRPr="00804AC7">
        <w:t>alors que les mesures de sauvegarde sont moins soumises à cet enjeu</w:t>
      </w:r>
      <w:r w:rsidR="00C7268F" w:rsidRPr="00804AC7">
        <w:t xml:space="preserve"> pour les éléments faisant l’objet de candidatures </w:t>
      </w:r>
      <w:r w:rsidR="00233155" w:rsidRPr="00804AC7">
        <w:t xml:space="preserve">à </w:t>
      </w:r>
      <w:r w:rsidR="00C7268F" w:rsidRPr="00804AC7">
        <w:t>la Liste représentative.</w:t>
      </w:r>
    </w:p>
    <w:p w:rsidR="00C7268F" w:rsidRPr="00B86CF6" w:rsidRDefault="00656DE4" w:rsidP="00B86CF6">
      <w:pPr>
        <w:pStyle w:val="COMPara"/>
        <w:numPr>
          <w:ilvl w:val="0"/>
          <w:numId w:val="2"/>
        </w:numPr>
        <w:ind w:left="567" w:hanging="567"/>
        <w:jc w:val="both"/>
      </w:pPr>
      <w:r w:rsidRPr="00B86CF6">
        <w:rPr>
          <w:b/>
          <w:i/>
        </w:rPr>
        <w:t>Approches de la sauvegarde de bas en haut (U.3/R.3)</w:t>
      </w:r>
      <w:r w:rsidRPr="00B86CF6">
        <w:rPr>
          <w:b/>
        </w:rPr>
        <w:t>.</w:t>
      </w:r>
      <w:r w:rsidR="00C7268F" w:rsidRPr="00804AC7">
        <w:t xml:space="preserve"> L’Organe d’évaluation a noté </w:t>
      </w:r>
      <w:r w:rsidR="008D35A0" w:rsidRPr="00804AC7">
        <w:t xml:space="preserve">dans certains cas </w:t>
      </w:r>
      <w:r w:rsidR="00C7268F" w:rsidRPr="00804AC7">
        <w:t xml:space="preserve">des </w:t>
      </w:r>
      <w:r w:rsidR="008D35A0" w:rsidRPr="00804AC7">
        <w:t xml:space="preserve">approches </w:t>
      </w:r>
      <w:r w:rsidR="00C7268F" w:rsidRPr="00804AC7">
        <w:t xml:space="preserve">de sauvegarde </w:t>
      </w:r>
      <w:r w:rsidR="00C7268F" w:rsidRPr="00F016A0">
        <w:rPr>
          <w:color w:val="000000"/>
          <w:lang w:eastAsia="en-US" w:bidi="en-US"/>
        </w:rPr>
        <w:t>structurées</w:t>
      </w:r>
      <w:r w:rsidR="00C7268F" w:rsidRPr="00804AC7">
        <w:t xml:space="preserve"> « de haut en bas », et donc susceptibles de </w:t>
      </w:r>
      <w:r w:rsidR="009D5B60">
        <w:t>dessaisir</w:t>
      </w:r>
      <w:r w:rsidR="009D5B60" w:rsidRPr="00804AC7">
        <w:t xml:space="preserve"> </w:t>
      </w:r>
      <w:r w:rsidR="00C7268F" w:rsidRPr="00804AC7">
        <w:t xml:space="preserve">les communautés concernées de </w:t>
      </w:r>
      <w:r w:rsidR="009D5B60">
        <w:t xml:space="preserve">leur </w:t>
      </w:r>
      <w:r w:rsidR="00C7268F" w:rsidRPr="00804AC7">
        <w:t xml:space="preserve">pouvoir d’action et </w:t>
      </w:r>
      <w:r w:rsidR="008D35A0" w:rsidRPr="00804AC7">
        <w:t>d</w:t>
      </w:r>
      <w:r w:rsidR="00C7268F" w:rsidRPr="00804AC7">
        <w:t>e</w:t>
      </w:r>
      <w:r w:rsidR="008D35A0" w:rsidRPr="00804AC7">
        <w:t xml:space="preserve"> les exclure du processus</w:t>
      </w:r>
      <w:r w:rsidR="00C7268F" w:rsidRPr="00804AC7">
        <w:t xml:space="preserve"> de candidature et </w:t>
      </w:r>
      <w:r w:rsidR="008D35A0" w:rsidRPr="00804AC7">
        <w:t xml:space="preserve">de </w:t>
      </w:r>
      <w:r w:rsidR="00C7268F" w:rsidRPr="00804AC7">
        <w:t>la mise en œuvre des mesures</w:t>
      </w:r>
      <w:r w:rsidR="008D35A0" w:rsidRPr="00804AC7">
        <w:t xml:space="preserve"> de sauvegarde</w:t>
      </w:r>
      <w:r w:rsidR="00C7268F" w:rsidRPr="00804AC7">
        <w:t xml:space="preserve">. Les États parties sont encouragés à adopter des approches « de bas en haut », dans la mesure où la participation des communautés est essentielle dans cette Convention. </w:t>
      </w:r>
      <w:r w:rsidR="008D35A0" w:rsidRPr="00804AC7">
        <w:t xml:space="preserve">Dans le même temps, l’engagement </w:t>
      </w:r>
      <w:r w:rsidR="00C7268F" w:rsidRPr="00804AC7">
        <w:t xml:space="preserve">de l’État partie </w:t>
      </w:r>
      <w:r w:rsidR="008D35A0" w:rsidRPr="00804AC7">
        <w:t>est une condition sine qua non</w:t>
      </w:r>
      <w:r w:rsidR="00C7268F" w:rsidRPr="00804AC7">
        <w:t xml:space="preserve"> pour assurer la faisabilité et la </w:t>
      </w:r>
      <w:r w:rsidR="008D35A0" w:rsidRPr="00804AC7">
        <w:t xml:space="preserve">durabilité </w:t>
      </w:r>
      <w:r w:rsidR="00C7268F" w:rsidRPr="00804AC7">
        <w:t xml:space="preserve">de la sauvegarde, mais cet engagement ne doit pas </w:t>
      </w:r>
      <w:r w:rsidR="00C7268F" w:rsidRPr="00804AC7">
        <w:rPr>
          <w:color w:val="000000"/>
        </w:rPr>
        <w:t>se transformer en omniprésence.</w:t>
      </w:r>
    </w:p>
    <w:p w:rsidR="00C7268F" w:rsidRPr="009D5B60" w:rsidRDefault="00656DE4" w:rsidP="00B86CF6">
      <w:pPr>
        <w:pStyle w:val="COMPara"/>
        <w:numPr>
          <w:ilvl w:val="0"/>
          <w:numId w:val="2"/>
        </w:numPr>
        <w:ind w:left="567" w:hanging="567"/>
        <w:jc w:val="both"/>
      </w:pPr>
      <w:r w:rsidRPr="00B86CF6">
        <w:rPr>
          <w:b/>
          <w:i/>
        </w:rPr>
        <w:t>Mise à jour des plans et mesures de sauvegarde (U.3/R.3).</w:t>
      </w:r>
      <w:r w:rsidR="00C7268F" w:rsidRPr="009D5B60">
        <w:t xml:space="preserve"> </w:t>
      </w:r>
      <w:r w:rsidR="00184BE3" w:rsidRPr="009D5B60">
        <w:t>Du fait que</w:t>
      </w:r>
      <w:r w:rsidR="00C7268F" w:rsidRPr="009D5B60">
        <w:t xml:space="preserve"> l</w:t>
      </w:r>
      <w:r w:rsidR="00184BE3" w:rsidRPr="009D5B60">
        <w:t>e processus</w:t>
      </w:r>
      <w:r w:rsidR="00C7268F" w:rsidRPr="009D5B60">
        <w:t xml:space="preserve"> d’évaluation des candidatures</w:t>
      </w:r>
      <w:r w:rsidR="00184BE3" w:rsidRPr="009D5B60">
        <w:t xml:space="preserve"> s’échelonne </w:t>
      </w:r>
      <w:r w:rsidRPr="00B86CF6">
        <w:t>sur plusieurs années, ou plus</w:t>
      </w:r>
      <w:r w:rsidR="00C21C1B" w:rsidRPr="009D5B60">
        <w:t xml:space="preserve"> dans le cas d’un dossier renvoyé</w:t>
      </w:r>
      <w:r w:rsidR="00C7268F" w:rsidRPr="009D5B60">
        <w:t xml:space="preserve">, il est arrivé que certaines mesures </w:t>
      </w:r>
      <w:r w:rsidR="00505A6C" w:rsidRPr="009D5B60">
        <w:t xml:space="preserve">ou plans </w:t>
      </w:r>
      <w:r w:rsidR="00C7268F" w:rsidRPr="009D5B60">
        <w:t>de sauvegarde proposés soient déjà en phase de mise en œuvre au moment de leur évaluation par l’Organe. S</w:t>
      </w:r>
      <w:r w:rsidR="005961C5" w:rsidRPr="009D5B60">
        <w:t xml:space="preserve">’il est louable qu’un État partie ne retarde pas la sauvegarde d’un élément, indépendamment du calendrier d’inscription, </w:t>
      </w:r>
      <w:r w:rsidR="00C7268F" w:rsidRPr="009D5B60">
        <w:t xml:space="preserve">une telle situation </w:t>
      </w:r>
      <w:r w:rsidR="005961C5" w:rsidRPr="009D5B60">
        <w:t>confronte</w:t>
      </w:r>
      <w:r w:rsidR="00C7268F" w:rsidRPr="009D5B60">
        <w:t xml:space="preserve"> l’Organe </w:t>
      </w:r>
      <w:r w:rsidR="005961C5" w:rsidRPr="009D5B60">
        <w:t>au</w:t>
      </w:r>
      <w:r w:rsidR="00C7268F" w:rsidRPr="009D5B60">
        <w:t xml:space="preserve"> manque de </w:t>
      </w:r>
      <w:r w:rsidR="005961C5" w:rsidRPr="009D5B60">
        <w:t xml:space="preserve">plans réels </w:t>
      </w:r>
      <w:r w:rsidR="00C7268F" w:rsidRPr="009D5B60">
        <w:t>après l’inscription</w:t>
      </w:r>
      <w:r w:rsidR="005961C5" w:rsidRPr="009D5B60">
        <w:t xml:space="preserve">. </w:t>
      </w:r>
      <w:r w:rsidRPr="00B86CF6">
        <w:t xml:space="preserve">L’Organe suggère au Comité de clarifier que les mesures et plans </w:t>
      </w:r>
      <w:r w:rsidR="005961C5" w:rsidRPr="00B86CF6">
        <w:t xml:space="preserve">de sauvegarde </w:t>
      </w:r>
      <w:r w:rsidRPr="00B86CF6">
        <w:t xml:space="preserve">sont </w:t>
      </w:r>
      <w:r w:rsidR="005961C5" w:rsidRPr="00B86CF6">
        <w:t xml:space="preserve">néanmoins </w:t>
      </w:r>
      <w:r w:rsidRPr="00B86CF6">
        <w:t xml:space="preserve">censés </w:t>
      </w:r>
      <w:r w:rsidR="00311809" w:rsidRPr="009D5B60">
        <w:t xml:space="preserve">inclure une </w:t>
      </w:r>
      <w:r w:rsidR="009F3CEF" w:rsidRPr="009D5B60">
        <w:t>certaine période de temps</w:t>
      </w:r>
      <w:r w:rsidR="00311809" w:rsidRPr="009D5B60">
        <w:t xml:space="preserve"> </w:t>
      </w:r>
      <w:r w:rsidR="005961C5" w:rsidRPr="00B86CF6">
        <w:t>après</w:t>
      </w:r>
      <w:r w:rsidRPr="00B86CF6">
        <w:t xml:space="preserve"> </w:t>
      </w:r>
      <w:r w:rsidR="00515619" w:rsidRPr="00B86CF6">
        <w:t>l</w:t>
      </w:r>
      <w:r w:rsidRPr="00B86CF6">
        <w:t>’inscription</w:t>
      </w:r>
      <w:r w:rsidR="00311809" w:rsidRPr="00B86CF6">
        <w:t xml:space="preserve">, </w:t>
      </w:r>
      <w:r w:rsidR="00030147" w:rsidRPr="00B86CF6">
        <w:t>en particulier concernant la Liste de sauvegarde urgente.</w:t>
      </w:r>
    </w:p>
    <w:p w:rsidR="00C7268F" w:rsidRPr="00D30682" w:rsidRDefault="00D30682" w:rsidP="00B86CF6">
      <w:pPr>
        <w:pStyle w:val="COMPara"/>
        <w:numPr>
          <w:ilvl w:val="0"/>
          <w:numId w:val="2"/>
        </w:numPr>
        <w:ind w:left="567" w:hanging="567"/>
        <w:jc w:val="both"/>
      </w:pPr>
      <w:r w:rsidRPr="00B86CF6">
        <w:rPr>
          <w:b/>
          <w:i/>
          <w:color w:val="000000"/>
        </w:rPr>
        <w:t>Ce qui fait l’objet</w:t>
      </w:r>
      <w:r w:rsidR="00656DE4" w:rsidRPr="00B86CF6">
        <w:rPr>
          <w:b/>
          <w:i/>
          <w:color w:val="000000"/>
        </w:rPr>
        <w:t xml:space="preserve"> du consentement démontrant la participation des communautés (U.4/R.4).</w:t>
      </w:r>
      <w:r w:rsidR="00C7268F" w:rsidRPr="00D30682">
        <w:rPr>
          <w:color w:val="000000"/>
        </w:rPr>
        <w:t xml:space="preserve"> </w:t>
      </w:r>
      <w:r w:rsidR="00C7268F" w:rsidRPr="00D30682">
        <w:t xml:space="preserve">Aucun sujet n’a reçu plus </w:t>
      </w:r>
      <w:r w:rsidR="009D5B60" w:rsidRPr="00D30682">
        <w:t>d’</w:t>
      </w:r>
      <w:r w:rsidR="00C7268F" w:rsidRPr="00D30682">
        <w:t xml:space="preserve">attention de la part du Comité et de ses organes que celui de la plus large participation possible des communautés, des groupes et, le cas échéant, des individus dans le processus de candidature. Outre la description narrative de leur participation fournie dans la section U.4.a/R.4.a, les États soumissionnaires doivent apporter la preuve de leur consentement libre, préalable et éclairé à la candidature (U.4.b/R.4.b et annexe), ce consentement étant considéré comme une preuve nécessaire mais non suffisante de participation. Lors des cycles passés, le Comité et </w:t>
      </w:r>
      <w:r w:rsidR="009D5B60" w:rsidRPr="00D30682">
        <w:t xml:space="preserve">les </w:t>
      </w:r>
      <w:r w:rsidR="00C7268F" w:rsidRPr="00D30682">
        <w:t xml:space="preserve">deux organes se sont </w:t>
      </w:r>
      <w:r w:rsidR="00C06130" w:rsidRPr="00D30682">
        <w:t>attachés</w:t>
      </w:r>
      <w:r w:rsidR="009D5B60" w:rsidRPr="00D30682">
        <w:t xml:space="preserve">, d’une part, </w:t>
      </w:r>
      <w:r w:rsidR="00C06130" w:rsidRPr="00D30682">
        <w:t>au</w:t>
      </w:r>
      <w:r w:rsidR="00C7268F" w:rsidRPr="00D30682">
        <w:t xml:space="preserve"> format des consentements, </w:t>
      </w:r>
      <w:r w:rsidR="00C06130" w:rsidRPr="00D30682">
        <w:t xml:space="preserve">cherchant à trouver des </w:t>
      </w:r>
      <w:r w:rsidR="00C7268F" w:rsidRPr="00D30682">
        <w:t>forme</w:t>
      </w:r>
      <w:r w:rsidR="00C06130" w:rsidRPr="00D30682">
        <w:t>s</w:t>
      </w:r>
      <w:r w:rsidR="00C7268F" w:rsidRPr="00D30682">
        <w:t xml:space="preserve"> </w:t>
      </w:r>
      <w:r w:rsidR="00C06130" w:rsidRPr="00D30682">
        <w:t>variées de démonstration</w:t>
      </w:r>
      <w:r w:rsidR="00C7268F" w:rsidRPr="00D30682">
        <w:t xml:space="preserve"> </w:t>
      </w:r>
      <w:r w:rsidR="00C06130" w:rsidRPr="00D30682">
        <w:t xml:space="preserve">ainsi que </w:t>
      </w:r>
      <w:r w:rsidR="00C7268F" w:rsidRPr="00D30682">
        <w:t>des expressions personnalisées et individuelles</w:t>
      </w:r>
      <w:r w:rsidR="009D5B60" w:rsidRPr="00D30682">
        <w:t xml:space="preserve">, </w:t>
      </w:r>
      <w:r w:rsidR="00C7268F" w:rsidRPr="00D30682">
        <w:t xml:space="preserve">et </w:t>
      </w:r>
      <w:r w:rsidR="009D5B60" w:rsidRPr="00D30682">
        <w:t xml:space="preserve">d’autre part, à </w:t>
      </w:r>
      <w:r w:rsidR="00C06130" w:rsidRPr="00D30682">
        <w:t xml:space="preserve">la </w:t>
      </w:r>
      <w:r w:rsidR="009D5B60" w:rsidRPr="00D30682">
        <w:t xml:space="preserve">pertinence </w:t>
      </w:r>
      <w:r w:rsidR="00C7268F" w:rsidRPr="00D30682">
        <w:t xml:space="preserve">des représentants communautaires ou intermédiaires, en accordant moins d’attention à </w:t>
      </w:r>
      <w:r w:rsidR="003B3593" w:rsidRPr="00D30682">
        <w:t>la question de savoir</w:t>
      </w:r>
      <w:r w:rsidR="00C7268F" w:rsidRPr="00D30682">
        <w:t xml:space="preserve"> </w:t>
      </w:r>
      <w:r w:rsidR="00D54ECF" w:rsidRPr="00D30682">
        <w:t xml:space="preserve">par qui, </w:t>
      </w:r>
      <w:r w:rsidR="00C7268F" w:rsidRPr="00D30682">
        <w:t>quand</w:t>
      </w:r>
      <w:r w:rsidR="009825AE" w:rsidRPr="00D30682">
        <w:t>,</w:t>
      </w:r>
      <w:r w:rsidR="000F28C7" w:rsidRPr="00D30682">
        <w:t xml:space="preserve"> </w:t>
      </w:r>
      <w:r w:rsidR="00D54ECF" w:rsidRPr="00D30682">
        <w:t>où</w:t>
      </w:r>
      <w:r w:rsidR="00C7268F" w:rsidRPr="00D30682">
        <w:t xml:space="preserve"> et </w:t>
      </w:r>
      <w:r w:rsidR="00656DE4" w:rsidRPr="00B86CF6">
        <w:t xml:space="preserve">dans quel but le consentement </w:t>
      </w:r>
      <w:r w:rsidR="009825AE" w:rsidRPr="00B86CF6">
        <w:t>avait été</w:t>
      </w:r>
      <w:r w:rsidR="00656DE4" w:rsidRPr="00B86CF6">
        <w:t xml:space="preserve"> </w:t>
      </w:r>
      <w:r w:rsidR="00B631C6">
        <w:t>fourni</w:t>
      </w:r>
      <w:r w:rsidR="00C7268F" w:rsidRPr="00D30682">
        <w:t xml:space="preserve">. Dans son </w:t>
      </w:r>
      <w:r w:rsidR="003B3593" w:rsidRPr="00D30682">
        <w:t>évaluation</w:t>
      </w:r>
      <w:r w:rsidR="00C7268F" w:rsidRPr="00D30682">
        <w:t xml:space="preserve"> des candidatures soumises pour le présent cycle, l’Organe d’évaluation a noté avec satisfaction un</w:t>
      </w:r>
      <w:r w:rsidR="003B3593" w:rsidRPr="00D30682">
        <w:t>e</w:t>
      </w:r>
      <w:r w:rsidR="00C7268F" w:rsidRPr="00D30682">
        <w:t xml:space="preserve"> </w:t>
      </w:r>
      <w:r w:rsidR="003B3593" w:rsidRPr="00D30682">
        <w:t xml:space="preserve">amélioration </w:t>
      </w:r>
      <w:r w:rsidR="00C7268F" w:rsidRPr="00D30682">
        <w:t>général</w:t>
      </w:r>
      <w:r w:rsidR="003B3593" w:rsidRPr="00D30682">
        <w:t>e</w:t>
      </w:r>
      <w:r w:rsidR="00C7268F" w:rsidRPr="00D30682">
        <w:t xml:space="preserve"> dans la quantité et la diversité de</w:t>
      </w:r>
      <w:r w:rsidR="003B3593" w:rsidRPr="00D30682">
        <w:t>s</w:t>
      </w:r>
      <w:r w:rsidR="00C7268F" w:rsidRPr="00D30682">
        <w:t xml:space="preserve"> </w:t>
      </w:r>
      <w:r w:rsidR="003B3593" w:rsidRPr="00D30682">
        <w:t xml:space="preserve">formes </w:t>
      </w:r>
      <w:r w:rsidR="00C7268F" w:rsidRPr="00D30682">
        <w:t xml:space="preserve">des </w:t>
      </w:r>
      <w:r w:rsidR="00F141C9" w:rsidRPr="00D30682">
        <w:t xml:space="preserve">preuves </w:t>
      </w:r>
      <w:r w:rsidR="00C7268F" w:rsidRPr="00D30682">
        <w:t>fourni</w:t>
      </w:r>
      <w:r w:rsidR="00F141C9" w:rsidRPr="00D30682">
        <w:t>e</w:t>
      </w:r>
      <w:r w:rsidR="00C7268F" w:rsidRPr="00D30682">
        <w:t xml:space="preserve">s par les </w:t>
      </w:r>
      <w:r w:rsidR="00F141C9" w:rsidRPr="00D30682">
        <w:t xml:space="preserve">différentes </w:t>
      </w:r>
      <w:r w:rsidR="00C7268F" w:rsidRPr="00D30682">
        <w:t xml:space="preserve">parties concernées. Mais en analysant leur contenu de plus près, l’Organe </w:t>
      </w:r>
      <w:r w:rsidR="00F141C9" w:rsidRPr="00D30682">
        <w:t>a souvent rencontré des difficultés</w:t>
      </w:r>
      <w:r w:rsidR="00C7268F" w:rsidRPr="00D30682">
        <w:t xml:space="preserve"> </w:t>
      </w:r>
      <w:r w:rsidR="00F141C9" w:rsidRPr="00D30682">
        <w:t>pour</w:t>
      </w:r>
      <w:r w:rsidR="00C7268F" w:rsidRPr="00D30682">
        <w:t xml:space="preserve"> déterminer si les consentements étaient fournis </w:t>
      </w:r>
      <w:r w:rsidR="00F141C9" w:rsidRPr="00D30682">
        <w:t>pour</w:t>
      </w:r>
      <w:r w:rsidR="00C7268F" w:rsidRPr="00D30682">
        <w:t xml:space="preserve"> la candidature</w:t>
      </w:r>
      <w:r w:rsidR="00F141C9" w:rsidRPr="00D30682">
        <w:t xml:space="preserve"> </w:t>
      </w:r>
      <w:r w:rsidR="009825AE" w:rsidRPr="00D30682">
        <w:t xml:space="preserve">en tant que telle </w:t>
      </w:r>
      <w:r w:rsidR="00C7268F" w:rsidRPr="00D30682">
        <w:t xml:space="preserve">ou exprimaient simplement le soutien de leurs auteurs en faveur de l’élément lui-même. </w:t>
      </w:r>
      <w:r w:rsidR="009825AE" w:rsidRPr="00D30682">
        <w:t>Il n’y avait souvent aucune référence concrète au</w:t>
      </w:r>
      <w:r w:rsidR="00C7268F" w:rsidRPr="00D30682">
        <w:t xml:space="preserve"> </w:t>
      </w:r>
      <w:r w:rsidR="009825AE" w:rsidRPr="00D30682">
        <w:t xml:space="preserve">processus </w:t>
      </w:r>
      <w:r w:rsidR="00C7268F" w:rsidRPr="00D30682">
        <w:t xml:space="preserve">de candidature, </w:t>
      </w:r>
      <w:r w:rsidR="009825AE" w:rsidRPr="00D30682">
        <w:t xml:space="preserve">au </w:t>
      </w:r>
      <w:r w:rsidR="00C7268F" w:rsidRPr="00D30682">
        <w:t xml:space="preserve">dossier </w:t>
      </w:r>
      <w:r w:rsidR="00F141C9" w:rsidRPr="00D30682">
        <w:t xml:space="preserve">en </w:t>
      </w:r>
      <w:r w:rsidR="00C7268F" w:rsidRPr="00D30682">
        <w:t xml:space="preserve">résultant et/ou </w:t>
      </w:r>
      <w:r w:rsidR="009825AE" w:rsidRPr="00D30682">
        <w:t xml:space="preserve">au </w:t>
      </w:r>
      <w:r w:rsidR="00C7268F" w:rsidRPr="00D30682">
        <w:t xml:space="preserve">rôle du signataire </w:t>
      </w:r>
      <w:r w:rsidR="009825AE" w:rsidRPr="00D30682">
        <w:t xml:space="preserve">que ce soit </w:t>
      </w:r>
      <w:r w:rsidR="00C7268F" w:rsidRPr="00D30682">
        <w:t>dans la définition de l’élément, l’identification de sa viabilité ou des menaces pesant sur lui</w:t>
      </w:r>
      <w:r w:rsidR="00F141C9" w:rsidRPr="00D30682">
        <w:t>,</w:t>
      </w:r>
      <w:r w:rsidR="00C7268F" w:rsidRPr="00D30682">
        <w:t xml:space="preserve"> ou</w:t>
      </w:r>
      <w:r w:rsidR="00F141C9" w:rsidRPr="00D30682">
        <w:t xml:space="preserve"> encore</w:t>
      </w:r>
      <w:r w:rsidR="00C7268F" w:rsidRPr="00D30682">
        <w:t xml:space="preserve"> dans la planification et la mise en œuvre des mesures de sauvegarde proposées. Les documents faisaient </w:t>
      </w:r>
      <w:r w:rsidR="00C571CA" w:rsidRPr="00D30682">
        <w:t>souvent</w:t>
      </w:r>
      <w:r w:rsidR="00C7268F" w:rsidRPr="00D30682">
        <w:t xml:space="preserve"> référence aux mérites de l’élément et au soutien de sa reconnaissance par la communauté internationale. Ils étaient parfois accompagnés de notes évoquant l’identification du signataire à l’élément et/ou son implication dans sa pratique et sa sauvegarde ou, dans le cas d’organisations culturelles, de références à leur mission et à leurs activités relatives à l’élément. Dans un dossier en particulier, l’attestation fournie comme preuve </w:t>
      </w:r>
      <w:r w:rsidR="009825AE" w:rsidRPr="00D30682">
        <w:t xml:space="preserve">du </w:t>
      </w:r>
      <w:r w:rsidR="00C7268F" w:rsidRPr="00D30682">
        <w:t xml:space="preserve">consentement de la communauté laissait entrevoir une compréhension de l’élément considérablement différente, voire même </w:t>
      </w:r>
      <w:r w:rsidR="00C571CA" w:rsidRPr="00D30682">
        <w:t>contraire</w:t>
      </w:r>
      <w:r w:rsidR="00C7268F" w:rsidRPr="00D30682">
        <w:t xml:space="preserve">, </w:t>
      </w:r>
      <w:r w:rsidR="00C571CA" w:rsidRPr="00D30682">
        <w:t xml:space="preserve">à </w:t>
      </w:r>
      <w:r w:rsidR="00C7268F" w:rsidRPr="00D30682">
        <w:t>celle définie dans le dossier. Dans un autre exemple, une partie des attestations de consentement était signée par des passants</w:t>
      </w:r>
      <w:r w:rsidR="00C571CA" w:rsidRPr="00D30682">
        <w:t xml:space="preserve"> dans la rue</w:t>
      </w:r>
      <w:r w:rsidR="00C7268F" w:rsidRPr="00D30682">
        <w:t xml:space="preserve"> qui n’avaient aucune connaissance du dossier de candidature et </w:t>
      </w:r>
      <w:r w:rsidR="00C571CA" w:rsidRPr="00D30682">
        <w:t xml:space="preserve">n’avaient pu </w:t>
      </w:r>
      <w:r w:rsidR="00C7268F" w:rsidRPr="00D30682">
        <w:t xml:space="preserve">participer à son élaboration. En d’autres termes, l’Organe s’est </w:t>
      </w:r>
      <w:r w:rsidR="009825AE" w:rsidRPr="00D30682">
        <w:t xml:space="preserve">souvent </w:t>
      </w:r>
      <w:r w:rsidR="00C7268F" w:rsidRPr="00D30682">
        <w:t xml:space="preserve">retrouvé face à des documents de consentement </w:t>
      </w:r>
      <w:r w:rsidR="009825AE" w:rsidRPr="00D30682">
        <w:t>qui ne parvenaient pas à démontrer qu’ils étaient</w:t>
      </w:r>
      <w:r w:rsidR="00C7268F" w:rsidRPr="00D30682">
        <w:t xml:space="preserve"> « éclairés ». Il lui apparaît donc nécessaire de rappeler aux États parties qu’un consentement libre, préalable et éclairé signifie avant tout un « consentement à la candidature de l’élément », </w:t>
      </w:r>
      <w:r w:rsidR="00C571CA" w:rsidRPr="00D30682">
        <w:t>tel que formulé dans</w:t>
      </w:r>
      <w:r w:rsidR="00C7268F" w:rsidRPr="00D30682">
        <w:t xml:space="preserve"> </w:t>
      </w:r>
      <w:r w:rsidR="00C571CA" w:rsidRPr="00D30682">
        <w:t xml:space="preserve">la </w:t>
      </w:r>
      <w:r w:rsidR="00C7268F" w:rsidRPr="00D30682">
        <w:t xml:space="preserve">candidature, tandis que le format </w:t>
      </w:r>
      <w:r w:rsidR="00C571CA" w:rsidRPr="00D30682">
        <w:t xml:space="preserve">qu’il prend </w:t>
      </w:r>
      <w:r w:rsidR="00C7268F" w:rsidRPr="00D30682">
        <w:t xml:space="preserve">est d’importance secondaire, même si </w:t>
      </w:r>
      <w:r w:rsidR="00AE332B" w:rsidRPr="00D30682">
        <w:t xml:space="preserve">le Comité a désormais décidé que </w:t>
      </w:r>
      <w:r w:rsidR="00C7268F" w:rsidRPr="00D30682">
        <w:t>les « expressions individualisées de consentement sont préférables aux lettres, pétitions et preuves uniformes de consentement » (Décision 9.COM 10).</w:t>
      </w:r>
    </w:p>
    <w:p w:rsidR="00C7268F" w:rsidRPr="00804AC7" w:rsidRDefault="00656DE4" w:rsidP="00B86CF6">
      <w:pPr>
        <w:pStyle w:val="COMPara"/>
        <w:numPr>
          <w:ilvl w:val="0"/>
          <w:numId w:val="2"/>
        </w:numPr>
        <w:ind w:left="567" w:hanging="567"/>
        <w:jc w:val="both"/>
      </w:pPr>
      <w:r w:rsidRPr="00B86CF6">
        <w:rPr>
          <w:b/>
          <w:i/>
          <w:color w:val="000000"/>
        </w:rPr>
        <w:t>Consentement éclairé dans le cas d’une candidature multinationale.</w:t>
      </w:r>
      <w:r w:rsidR="00C7268F" w:rsidRPr="00804AC7">
        <w:rPr>
          <w:i/>
          <w:color w:val="000000"/>
        </w:rPr>
        <w:t xml:space="preserve"> </w:t>
      </w:r>
      <w:r w:rsidR="00C7268F" w:rsidRPr="00804AC7">
        <w:t>Dans le cas de candidatures multinationales, comme mentionné</w:t>
      </w:r>
      <w:r w:rsidR="00F93A54" w:rsidRPr="00804AC7">
        <w:t xml:space="preserve"> ci-dessus</w:t>
      </w:r>
      <w:r w:rsidR="00C7268F" w:rsidRPr="00804AC7">
        <w:t xml:space="preserve">, les </w:t>
      </w:r>
      <w:r w:rsidR="00F93A54" w:rsidRPr="00804AC7">
        <w:t xml:space="preserve">documents fournis comme preuve </w:t>
      </w:r>
      <w:r w:rsidR="00C7268F" w:rsidRPr="00804AC7">
        <w:t xml:space="preserve">de consentement doivent également démontrer que les communautés sont conscientes de la nature </w:t>
      </w:r>
      <w:r w:rsidR="00C7268F" w:rsidRPr="00F016A0">
        <w:rPr>
          <w:lang w:eastAsia="en-US" w:bidi="en-US"/>
        </w:rPr>
        <w:t>partagée</w:t>
      </w:r>
      <w:r w:rsidR="00C7268F" w:rsidRPr="00804AC7">
        <w:t xml:space="preserve"> de l’élément proposé et </w:t>
      </w:r>
      <w:r w:rsidR="00CE5945">
        <w:t xml:space="preserve">de </w:t>
      </w:r>
      <w:r w:rsidR="00F93A54" w:rsidRPr="00804AC7">
        <w:t xml:space="preserve">leur </w:t>
      </w:r>
      <w:r w:rsidR="00CE5945">
        <w:t>engagement</w:t>
      </w:r>
      <w:r w:rsidR="00CE5945" w:rsidRPr="00804AC7">
        <w:t xml:space="preserve"> </w:t>
      </w:r>
      <w:r w:rsidR="00CE5945">
        <w:t>vis-à-vis du</w:t>
      </w:r>
      <w:r w:rsidR="00F93A54" w:rsidRPr="00804AC7">
        <w:t xml:space="preserve"> </w:t>
      </w:r>
      <w:r w:rsidR="00C7268F" w:rsidRPr="00804AC7">
        <w:t xml:space="preserve">caractère multinational de la candidature. En effet, l’Organe subsidiaire a abordé cette question en 2014 et le Comité a décidé en conséquence d’encourager les États soumissionnaires à « mettre en évidence le sentiment d’appartenance des communautés, groupes et individus concernés et à clairement démontrer leur consentement libre, préalable et éclairé à la candidature multinationale telle qu’elle est formulée » (Décision 9.COM 10). Étant donné que la décision du Comité a été prise après la date limite de dépôt des candidatures pour le cycle 2015, l’Organe </w:t>
      </w:r>
      <w:r w:rsidR="00F160AD">
        <w:t>d’évaluation</w:t>
      </w:r>
      <w:r w:rsidR="00C7268F" w:rsidRPr="00804AC7">
        <w:t xml:space="preserve"> a fait preuve de souplesse dans son </w:t>
      </w:r>
      <w:r w:rsidR="00F160AD">
        <w:t>évaluation</w:t>
      </w:r>
      <w:r w:rsidR="00F160AD" w:rsidRPr="00804AC7">
        <w:t xml:space="preserve"> </w:t>
      </w:r>
      <w:r w:rsidR="00C7268F" w:rsidRPr="00804AC7">
        <w:t xml:space="preserve">des présents dossiers, mais propose néanmoins que le Comité prenne note des faiblesses à cet égard là où elles apparaissent, dans l’espoir </w:t>
      </w:r>
      <w:r w:rsidR="00F93A54" w:rsidRPr="00804AC7">
        <w:t>de</w:t>
      </w:r>
      <w:r w:rsidR="00C7268F" w:rsidRPr="00804AC7">
        <w:t xml:space="preserve"> contribuer à une meilleure prise de conscience de la nécessité – au cours du cycle 2016 et des suivants – de respecter cette exigence.</w:t>
      </w:r>
    </w:p>
    <w:p w:rsidR="00C7268F" w:rsidRDefault="00656DE4" w:rsidP="00B86CF6">
      <w:pPr>
        <w:pStyle w:val="COMPara"/>
        <w:numPr>
          <w:ilvl w:val="0"/>
          <w:numId w:val="2"/>
        </w:numPr>
        <w:ind w:left="567" w:hanging="567"/>
        <w:jc w:val="both"/>
      </w:pPr>
      <w:r w:rsidRPr="00B86CF6">
        <w:rPr>
          <w:b/>
          <w:i/>
        </w:rPr>
        <w:t>Consentement représentatif</w:t>
      </w:r>
      <w:r w:rsidRPr="00B86CF6">
        <w:rPr>
          <w:b/>
        </w:rPr>
        <w:t>.</w:t>
      </w:r>
      <w:r w:rsidR="00C7268F" w:rsidRPr="00804AC7">
        <w:t xml:space="preserve"> </w:t>
      </w:r>
      <w:r w:rsidRPr="00B86CF6">
        <w:t>L’Organe d’évaluation a pris note de la possibilité d’</w:t>
      </w:r>
      <w:r w:rsidR="00F160AD" w:rsidRPr="00B86CF6">
        <w:t xml:space="preserve">avoir affaire à </w:t>
      </w:r>
      <w:r w:rsidRPr="00B86CF6">
        <w:t xml:space="preserve">un </w:t>
      </w:r>
      <w:r w:rsidRPr="00B86CF6">
        <w:rPr>
          <w:lang w:eastAsia="en-US" w:bidi="en-US"/>
        </w:rPr>
        <w:t>consentement</w:t>
      </w:r>
      <w:r w:rsidRPr="00B86CF6">
        <w:t xml:space="preserve"> représentatif ou par procuration</w:t>
      </w:r>
      <w:r w:rsidR="00C7268F" w:rsidRPr="00B86CF6">
        <w:t xml:space="preserve"> de la part d’un</w:t>
      </w:r>
      <w:r w:rsidR="008F5627" w:rsidRPr="00B86CF6">
        <w:t>e autorité</w:t>
      </w:r>
      <w:r w:rsidR="00C7268F" w:rsidRPr="00B86CF6">
        <w:t xml:space="preserve"> au nom d’une communauté. Les États parties sont cependant encouragés à fournir autant de preuves concrètes que possibles de la consultation des communautés et de leur connaissance </w:t>
      </w:r>
      <w:r w:rsidR="00C623EC" w:rsidRPr="00B86CF6">
        <w:t xml:space="preserve">de ce </w:t>
      </w:r>
      <w:r w:rsidR="00C7268F" w:rsidRPr="00B86CF6">
        <w:t xml:space="preserve">type de consentement. En général, </w:t>
      </w:r>
      <w:r w:rsidR="00C623EC" w:rsidRPr="00B86CF6">
        <w:t>une plus grande rigueur a</w:t>
      </w:r>
      <w:r w:rsidR="00C623EC" w:rsidRPr="00804AC7">
        <w:t xml:space="preserve"> été appliquée pour juger de </w:t>
      </w:r>
      <w:r w:rsidR="00C7268F" w:rsidRPr="00804AC7">
        <w:t xml:space="preserve">l’adéquation des </w:t>
      </w:r>
      <w:r w:rsidR="00C623EC" w:rsidRPr="00804AC7">
        <w:t xml:space="preserve">preuves de </w:t>
      </w:r>
      <w:r w:rsidR="00C7268F" w:rsidRPr="00804AC7">
        <w:t>consentement libre, préalable et éclairé</w:t>
      </w:r>
      <w:r w:rsidR="00C623EC" w:rsidRPr="00804AC7">
        <w:t xml:space="preserve"> aux</w:t>
      </w:r>
      <w:r w:rsidR="00C7268F" w:rsidRPr="00804AC7">
        <w:t xml:space="preserve"> candidatures à la Liste de sauvegarde urgente </w:t>
      </w:r>
      <w:r w:rsidR="00C623EC" w:rsidRPr="00804AC7">
        <w:t>qu’à</w:t>
      </w:r>
      <w:r w:rsidR="00C7268F" w:rsidRPr="00804AC7">
        <w:t xml:space="preserve"> </w:t>
      </w:r>
      <w:r w:rsidR="00C623EC" w:rsidRPr="00804AC7">
        <w:t xml:space="preserve">celles à </w:t>
      </w:r>
      <w:r w:rsidR="00C7268F" w:rsidRPr="00804AC7">
        <w:t xml:space="preserve">la Liste représentative, </w:t>
      </w:r>
      <w:r w:rsidR="00C623EC" w:rsidRPr="00804AC7">
        <w:t xml:space="preserve">y compris pour ce qui est </w:t>
      </w:r>
      <w:r w:rsidR="00C7268F" w:rsidRPr="00804AC7">
        <w:t>du consentement délégué par une communauté à une autorité traditionnelle.</w:t>
      </w:r>
    </w:p>
    <w:p w:rsidR="00C7268F" w:rsidRDefault="00656DE4" w:rsidP="00B86CF6">
      <w:pPr>
        <w:pStyle w:val="COMPara"/>
        <w:numPr>
          <w:ilvl w:val="0"/>
          <w:numId w:val="2"/>
        </w:numPr>
        <w:ind w:left="567" w:hanging="567"/>
        <w:jc w:val="both"/>
      </w:pPr>
      <w:r w:rsidRPr="00B86CF6">
        <w:rPr>
          <w:b/>
          <w:i/>
        </w:rPr>
        <w:t>Inventaire (U.5/R.5)</w:t>
      </w:r>
      <w:r w:rsidRPr="00B86CF6">
        <w:rPr>
          <w:b/>
        </w:rPr>
        <w:t>.</w:t>
      </w:r>
      <w:r w:rsidR="00C7268F" w:rsidRPr="00804AC7">
        <w:t xml:space="preserve"> La disposition récemment introduite exigeant la fourniture d’un extrait pertinent </w:t>
      </w:r>
      <w:r w:rsidR="001A272E" w:rsidRPr="00804AC7">
        <w:t>d</w:t>
      </w:r>
      <w:r w:rsidR="001A272E">
        <w:t>’</w:t>
      </w:r>
      <w:r w:rsidR="001A272E" w:rsidRPr="00804AC7">
        <w:t>inventaire</w:t>
      </w:r>
      <w:r w:rsidR="00F96310" w:rsidRPr="00804AC7">
        <w:t>(s)</w:t>
      </w:r>
      <w:r w:rsidR="00C7268F" w:rsidRPr="00804AC7">
        <w:t xml:space="preserve"> (</w:t>
      </w:r>
      <w:r w:rsidR="00174AC7">
        <w:t>d</w:t>
      </w:r>
      <w:r w:rsidR="00174AC7" w:rsidRPr="00804AC7">
        <w:t xml:space="preserve">écision </w:t>
      </w:r>
      <w:r w:rsidR="00C7268F" w:rsidRPr="00804AC7">
        <w:t xml:space="preserve">8.COM 7.a et </w:t>
      </w:r>
      <w:r w:rsidR="00174AC7">
        <w:t>d</w:t>
      </w:r>
      <w:r w:rsidR="00174AC7" w:rsidRPr="00804AC7">
        <w:t xml:space="preserve">écision </w:t>
      </w:r>
      <w:r w:rsidR="00C7268F" w:rsidRPr="00804AC7">
        <w:t xml:space="preserve">8.COM 8) a </w:t>
      </w:r>
      <w:r w:rsidR="00F96310" w:rsidRPr="00804AC7">
        <w:t xml:space="preserve">démontré </w:t>
      </w:r>
      <w:r w:rsidR="00C7268F" w:rsidRPr="00804AC7">
        <w:t xml:space="preserve">sa valeur. </w:t>
      </w:r>
      <w:r w:rsidR="00F96310" w:rsidRPr="00804AC7">
        <w:t xml:space="preserve">Tout en rappelant que l’identification des divers éléments de patrimoine culturel immatériel est l’une des obligations les plus importantes des États parties conformément aux articles 11 et 12 de la Convention, l’Organe d’évaluation a </w:t>
      </w:r>
      <w:r w:rsidR="00174AC7">
        <w:t>constaté</w:t>
      </w:r>
      <w:r w:rsidR="00174AC7" w:rsidRPr="00804AC7">
        <w:t xml:space="preserve"> </w:t>
      </w:r>
      <w:r w:rsidR="00F96310" w:rsidRPr="00804AC7">
        <w:t xml:space="preserve">que l’extrait d’inventaire </w:t>
      </w:r>
      <w:r w:rsidR="00C7268F" w:rsidRPr="00804AC7">
        <w:t xml:space="preserve">aide non seulement à déterminer si le critère est rempli mais également à faire prendre conscience de la diversité des </w:t>
      </w:r>
      <w:r w:rsidR="00174AC7">
        <w:t>systèmes</w:t>
      </w:r>
      <w:r w:rsidR="00174AC7" w:rsidRPr="00804AC7">
        <w:t xml:space="preserve"> </w:t>
      </w:r>
      <w:r w:rsidR="00C7268F" w:rsidRPr="00804AC7">
        <w:t xml:space="preserve">et des </w:t>
      </w:r>
      <w:r w:rsidR="00174AC7">
        <w:t>processus</w:t>
      </w:r>
      <w:r w:rsidR="00174AC7" w:rsidRPr="00804AC7">
        <w:t xml:space="preserve"> </w:t>
      </w:r>
      <w:r w:rsidR="00C7268F" w:rsidRPr="00804AC7">
        <w:t xml:space="preserve">d’inventaire </w:t>
      </w:r>
      <w:r w:rsidR="00174AC7">
        <w:t>adaptés à la situation spécifique d</w:t>
      </w:r>
      <w:r w:rsidR="00C7268F" w:rsidRPr="00804AC7">
        <w:t>e</w:t>
      </w:r>
      <w:r w:rsidR="00174AC7">
        <w:t xml:space="preserve"> chaque</w:t>
      </w:r>
      <w:r w:rsidR="00C7268F" w:rsidRPr="00804AC7">
        <w:t xml:space="preserve"> État partie concerné</w:t>
      </w:r>
      <w:r w:rsidR="00174AC7">
        <w:t xml:space="preserve">, </w:t>
      </w:r>
      <w:r w:rsidR="00C7268F" w:rsidRPr="00804AC7">
        <w:t xml:space="preserve">dont des manières novatrices </w:t>
      </w:r>
      <w:r w:rsidR="00174AC7">
        <w:t xml:space="preserve">de dresser des inventaires sur la base de la participation la plus large </w:t>
      </w:r>
      <w:r w:rsidR="00C7268F" w:rsidRPr="00804AC7">
        <w:t>possible de</w:t>
      </w:r>
      <w:r w:rsidR="00174AC7">
        <w:t>s</w:t>
      </w:r>
      <w:r w:rsidR="00C7268F" w:rsidRPr="00804AC7">
        <w:t xml:space="preserve"> communautés, de</w:t>
      </w:r>
      <w:r w:rsidR="00174AC7">
        <w:t>s</w:t>
      </w:r>
      <w:r w:rsidR="00C7268F" w:rsidRPr="00804AC7">
        <w:t xml:space="preserve"> groupes et d</w:t>
      </w:r>
      <w:r w:rsidR="00174AC7">
        <w:t xml:space="preserve">es </w:t>
      </w:r>
      <w:r w:rsidR="00C7268F" w:rsidRPr="00804AC7">
        <w:t>organisations non</w:t>
      </w:r>
      <w:r w:rsidR="00D76F17" w:rsidRPr="00804AC7">
        <w:t xml:space="preserve"> </w:t>
      </w:r>
      <w:r w:rsidR="00C7268F" w:rsidRPr="00804AC7">
        <w:t xml:space="preserve">gouvernementales pertinentes. Ceci dit, l’accessibilité d’un tel extrait a toutefois fait émerger de nouvelles questions liées de près ou de loin à l’ensemble des composantes du critère. En général, comme cela a été rappelé plus haut, l’Organe d’évaluation est arrivé à la conclusion que la pratique habituellement employée pour évaluer ce critère </w:t>
      </w:r>
      <w:r w:rsidR="00F96310" w:rsidRPr="00804AC7">
        <w:t>a été</w:t>
      </w:r>
      <w:r w:rsidR="00C7268F" w:rsidRPr="00804AC7">
        <w:t xml:space="preserve"> de se montrer </w:t>
      </w:r>
      <w:r w:rsidR="00F96310" w:rsidRPr="00804AC7">
        <w:t xml:space="preserve">plutôt </w:t>
      </w:r>
      <w:r w:rsidR="00C7268F" w:rsidRPr="00804AC7">
        <w:t xml:space="preserve">inclusif qu’exclusif vis-à-vis des candidatures, et </w:t>
      </w:r>
      <w:r w:rsidR="00F96310" w:rsidRPr="00804AC7">
        <w:t xml:space="preserve">flexible </w:t>
      </w:r>
      <w:r w:rsidR="00C7268F" w:rsidRPr="00804AC7">
        <w:t xml:space="preserve">en termes de niveau de démonstration exigé. Par conséquent, et compte tenu du fait que le cycle 2015 inaugurait la mise en œuvre de cette nouvelle disposition, l’Organe a décidé de suivre la tendance </w:t>
      </w:r>
      <w:r w:rsidR="00C7268F" w:rsidRPr="00F016A0">
        <w:rPr>
          <w:lang w:eastAsia="en-US" w:bidi="en-US"/>
        </w:rPr>
        <w:t>actuelle</w:t>
      </w:r>
      <w:r w:rsidR="00C7268F" w:rsidRPr="00804AC7">
        <w:t xml:space="preserve"> à l’inclusion. Il souhaite toutefois expliquer quelles conclusions ont pu être tirées en comparant les différents extraits d’inventaire pertinents </w:t>
      </w:r>
      <w:r w:rsidR="00F96310" w:rsidRPr="00804AC7">
        <w:t xml:space="preserve">annexés </w:t>
      </w:r>
      <w:r w:rsidR="00C7268F" w:rsidRPr="00804AC7">
        <w:t xml:space="preserve">aux dossiers de candidature et </w:t>
      </w:r>
      <w:r w:rsidR="00F96310" w:rsidRPr="00804AC7">
        <w:t>les</w:t>
      </w:r>
      <w:r w:rsidR="00C7268F" w:rsidRPr="00804AC7">
        <w:t xml:space="preserve"> remarques et recommandations contenues dans les </w:t>
      </w:r>
      <w:r w:rsidR="00542FA2" w:rsidRPr="00804AC7">
        <w:t>Aide</w:t>
      </w:r>
      <w:r w:rsidR="00C7268F" w:rsidRPr="00804AC7">
        <w:t xml:space="preserve">-mémoire. L’Organe espère que ses explications sur les problèmes rencontrés aideront le Comité à développer une norme minimale claire et cohérente </w:t>
      </w:r>
      <w:r w:rsidR="00174AC7">
        <w:t>pour démontrer</w:t>
      </w:r>
      <w:r w:rsidR="00C7268F" w:rsidRPr="00804AC7">
        <w:t xml:space="preserve"> l’inclusion d’un élément dans un inventaire qui, si elle est approuvée, pourra être mise en œuvre dès le prochain cycle. Les problèmes rencontrés </w:t>
      </w:r>
      <w:r w:rsidR="00F96310" w:rsidRPr="00804AC7">
        <w:t xml:space="preserve">ont été </w:t>
      </w:r>
      <w:r w:rsidR="00C7268F" w:rsidRPr="00804AC7">
        <w:t>les suivants :</w:t>
      </w:r>
    </w:p>
    <w:p w:rsidR="00C7268F" w:rsidRPr="008D1610" w:rsidRDefault="00656DE4" w:rsidP="00B86CF6">
      <w:pPr>
        <w:pStyle w:val="COMPara"/>
        <w:keepNext/>
        <w:numPr>
          <w:ilvl w:val="2"/>
          <w:numId w:val="2"/>
        </w:numPr>
        <w:tabs>
          <w:tab w:val="left" w:pos="993"/>
        </w:tabs>
        <w:spacing w:before="240"/>
        <w:ind w:left="992" w:hanging="181"/>
        <w:jc w:val="both"/>
      </w:pPr>
      <w:r w:rsidRPr="00B86CF6">
        <w:rPr>
          <w:u w:val="single"/>
          <w:lang w:eastAsia="en-US" w:bidi="en-US"/>
        </w:rPr>
        <w:t>Correspondance</w:t>
      </w:r>
      <w:r w:rsidRPr="00B86CF6">
        <w:rPr>
          <w:u w:val="single"/>
        </w:rPr>
        <w:t xml:space="preserve"> entre l’inventaire et la candidature</w:t>
      </w:r>
      <w:r w:rsidR="00C7268F" w:rsidRPr="008D1610">
        <w:t xml:space="preserve"> </w:t>
      </w:r>
    </w:p>
    <w:p w:rsidR="00C7268F" w:rsidRDefault="00C7268F" w:rsidP="00B86CF6">
      <w:pPr>
        <w:pStyle w:val="COMPara"/>
        <w:numPr>
          <w:ilvl w:val="0"/>
          <w:numId w:val="2"/>
        </w:numPr>
        <w:ind w:left="567" w:hanging="567"/>
        <w:jc w:val="both"/>
      </w:pPr>
      <w:r w:rsidRPr="00277683">
        <w:t xml:space="preserve">Les </w:t>
      </w:r>
      <w:r w:rsidR="00542FA2" w:rsidRPr="00277683">
        <w:t>Aide</w:t>
      </w:r>
      <w:r w:rsidRPr="00277683">
        <w:t xml:space="preserve">-mémoire, </w:t>
      </w:r>
      <w:r w:rsidR="00F0334E" w:rsidRPr="00277683">
        <w:t xml:space="preserve">qui résument les précédents </w:t>
      </w:r>
      <w:r w:rsidRPr="00277683">
        <w:t xml:space="preserve">rapports </w:t>
      </w:r>
      <w:r w:rsidR="00F0334E" w:rsidRPr="00277683">
        <w:t>des</w:t>
      </w:r>
      <w:r w:rsidRPr="00277683">
        <w:t xml:space="preserve"> organes d’évaluation et </w:t>
      </w:r>
      <w:r w:rsidR="00F0334E" w:rsidRPr="00277683">
        <w:t xml:space="preserve">les </w:t>
      </w:r>
      <w:r w:rsidRPr="00277683">
        <w:t xml:space="preserve">décisions </w:t>
      </w:r>
      <w:r w:rsidR="00F0334E" w:rsidRPr="00277683">
        <w:t>du</w:t>
      </w:r>
      <w:r w:rsidRPr="00277683">
        <w:t xml:space="preserve"> Comité</w:t>
      </w:r>
      <w:r w:rsidR="00F0334E" w:rsidRPr="00277683">
        <w:t>,</w:t>
      </w:r>
      <w:r w:rsidRPr="00277683">
        <w:t xml:space="preserve"> expliquent « l’importance d’établir une étroite relation entre les informations fournies sur l’inventaire et la description de l’élément en tant que tel dans la candidature » (</w:t>
      </w:r>
      <w:r w:rsidR="00542FA2" w:rsidRPr="00277683">
        <w:t>Aide</w:t>
      </w:r>
      <w:r w:rsidRPr="00277683">
        <w:t xml:space="preserve">-mémoire pour la Liste représentative, paragraphe 115 ; </w:t>
      </w:r>
      <w:r w:rsidR="00542FA2" w:rsidRPr="00277683">
        <w:t>l’Aide</w:t>
      </w:r>
      <w:r w:rsidRPr="00277683">
        <w:t xml:space="preserve">-mémoire pour la Liste de sauvegarde urgente contient des passages similaires). </w:t>
      </w:r>
      <w:r w:rsidR="00656DE4" w:rsidRPr="00B86CF6">
        <w:t>Les Aide-mémoire rappellent en même temps qu’« il n’existe pas de modèle unique d’inventaire et que l’identification du patrimoine immatériel peut revêtir de multiples formes acceptables » (Aide-mémoire pour la Liste représentative, paragraphe 112). En outre, comme c’est le cas pour les candidatures multinationales, « chaque inventaire ne doit pas nécessairement renvoyer à l’élément du même nom ou contenir les mêmes informations relatives à l’élément », même s’il est « indispensable que les inventaires en question soient mis à jour, les États concernés par la candidature multinationale doivent être en mesure d’assurer leur propre coordination et de fournir des informations de même niveau, y compris le cas échéant l’indication de la situation dans les autres pays » (Aide-mémoire pour la Liste représentative, paragraphe</w:t>
      </w:r>
      <w:r w:rsidR="00F0334E" w:rsidRPr="00B86CF6">
        <w:t> </w:t>
      </w:r>
      <w:r w:rsidR="00656DE4" w:rsidRPr="00B86CF6">
        <w:t>116).</w:t>
      </w:r>
      <w:r w:rsidRPr="00804AC7">
        <w:t xml:space="preserve"> Lors</w:t>
      </w:r>
      <w:r w:rsidR="00542FA2" w:rsidRPr="00804AC7">
        <w:t>qu’il a essayé de</w:t>
      </w:r>
      <w:r w:rsidRPr="00804AC7">
        <w:t xml:space="preserve"> mettre ces recommandations en pratique au cours du processus d’évaluation du présent cycle, l’Organe d’évaluation a éprouvé des difficultés à </w:t>
      </w:r>
      <w:r w:rsidR="00542FA2" w:rsidRPr="00804AC7">
        <w:t xml:space="preserve">trouver le moyen de réconcilier </w:t>
      </w:r>
      <w:r w:rsidRPr="00804AC7">
        <w:t xml:space="preserve">l’étroite relation nécessaire entre inventaire et candidature et </w:t>
      </w:r>
      <w:r w:rsidR="00542FA2" w:rsidRPr="00804AC7">
        <w:t xml:space="preserve">le fait d’accepter </w:t>
      </w:r>
      <w:r w:rsidRPr="00804AC7">
        <w:t>des multiples formes d’inventaire. Cette « </w:t>
      </w:r>
      <w:r w:rsidR="00277683" w:rsidRPr="00804AC7">
        <w:t xml:space="preserve">étroite </w:t>
      </w:r>
      <w:r w:rsidRPr="00804AC7">
        <w:t>relation » doit bien évidemment inclure une définition élémentaire de l’élément, telle que le nom des communautés, des groupes ou, le cas échéant, des individus concernés (</w:t>
      </w:r>
      <w:r w:rsidR="00542FA2" w:rsidRPr="00804AC7">
        <w:t>section </w:t>
      </w:r>
      <w:r w:rsidRPr="00804AC7">
        <w:t>C), la localisation géographique et l’étendue de l’élément (</w:t>
      </w:r>
      <w:r w:rsidR="00542FA2" w:rsidRPr="00804AC7">
        <w:t>section </w:t>
      </w:r>
      <w:r w:rsidRPr="00804AC7">
        <w:t xml:space="preserve">D), et peut-être également certains aspects </w:t>
      </w:r>
      <w:r w:rsidR="00B67A6D">
        <w:t xml:space="preserve">élémentaires </w:t>
      </w:r>
      <w:r w:rsidRPr="00804AC7">
        <w:t>de l’identification de l’élément (U.1/R.1). Toutefois, même avec une exigence de correspondance réduite à son minimum, plusieurs candidatures soumises dans le présent cycle n</w:t>
      </w:r>
      <w:r w:rsidR="00542FA2" w:rsidRPr="00804AC7">
        <w:t>’ont pas satisfait ce critère</w:t>
      </w:r>
      <w:r w:rsidRPr="00804AC7">
        <w:t xml:space="preserve"> en raison </w:t>
      </w:r>
      <w:r w:rsidR="00B67A6D">
        <w:t>des divergences</w:t>
      </w:r>
      <w:r w:rsidRPr="00804AC7">
        <w:t xml:space="preserve"> entre les informations fournies dans l’inventaire et celles </w:t>
      </w:r>
      <w:r w:rsidR="00542FA2" w:rsidRPr="00804AC7">
        <w:t xml:space="preserve">fournies dans </w:t>
      </w:r>
      <w:r w:rsidRPr="00804AC7">
        <w:t xml:space="preserve">la candidature. </w:t>
      </w:r>
    </w:p>
    <w:p w:rsidR="00C7268F" w:rsidRPr="00804AC7" w:rsidRDefault="00C7268F" w:rsidP="00B86CF6">
      <w:pPr>
        <w:pStyle w:val="COMPara"/>
        <w:numPr>
          <w:ilvl w:val="0"/>
          <w:numId w:val="2"/>
        </w:numPr>
        <w:ind w:left="567" w:hanging="567"/>
        <w:jc w:val="both"/>
      </w:pPr>
      <w:r w:rsidRPr="00804AC7">
        <w:t xml:space="preserve">D’autre part, l’Organe a </w:t>
      </w:r>
      <w:r w:rsidR="0058025D" w:rsidRPr="00804AC7">
        <w:t xml:space="preserve">rencontré </w:t>
      </w:r>
      <w:r w:rsidRPr="00804AC7">
        <w:t xml:space="preserve">plusieurs candidatures, dont une en particulier, qui souffrait d’un </w:t>
      </w:r>
      <w:r w:rsidR="0058025D" w:rsidRPr="00804AC7">
        <w:t>manque de correspondance</w:t>
      </w:r>
      <w:r w:rsidRPr="00804AC7">
        <w:t xml:space="preserve"> entre la candidature et l’inventaire en termes de dialogue entre les communautés. Un tel </w:t>
      </w:r>
      <w:r w:rsidR="0058025D" w:rsidRPr="00804AC7">
        <w:t xml:space="preserve">manque de correspondance </w:t>
      </w:r>
      <w:r w:rsidRPr="00804AC7">
        <w:t xml:space="preserve">semble suffisamment significatif pour ne pas être négligé. Il semble donc que la </w:t>
      </w:r>
      <w:r w:rsidR="0058025D" w:rsidRPr="00804AC7">
        <w:t>correspondance</w:t>
      </w:r>
      <w:r w:rsidRPr="00804AC7">
        <w:t xml:space="preserve"> nécessaire doive également </w:t>
      </w:r>
      <w:r w:rsidR="0058025D" w:rsidRPr="00804AC7">
        <w:t>comprendre une correspondance</w:t>
      </w:r>
      <w:r w:rsidRPr="00804AC7">
        <w:t xml:space="preserve"> </w:t>
      </w:r>
      <w:r w:rsidR="0058025D" w:rsidRPr="00804AC7">
        <w:t>en termes</w:t>
      </w:r>
      <w:r w:rsidRPr="00804AC7">
        <w:t xml:space="preserve"> des principes et objectifs élémentaires de la Convention. En </w:t>
      </w:r>
      <w:r w:rsidRPr="00F016A0">
        <w:rPr>
          <w:lang w:eastAsia="en-US" w:bidi="en-US"/>
        </w:rPr>
        <w:t>outre</w:t>
      </w:r>
      <w:r w:rsidRPr="00804AC7">
        <w:t>, compte tenu de l’importance de la sauvegarde dans le programme complet à tous les niveaux, locaux comme internationaux, ainsi que la mention d</w:t>
      </w:r>
      <w:r w:rsidR="0058025D" w:rsidRPr="00804AC7">
        <w:t>e l</w:t>
      </w:r>
      <w:r w:rsidRPr="00804AC7">
        <w:t xml:space="preserve">’« identification en vue de la sauvegarde » formulée dans l’article 12 de la Convention, il </w:t>
      </w:r>
      <w:r w:rsidR="0058025D" w:rsidRPr="00804AC7">
        <w:t>est attendu</w:t>
      </w:r>
      <w:r w:rsidRPr="00804AC7">
        <w:t xml:space="preserve"> </w:t>
      </w:r>
      <w:r w:rsidR="0058025D" w:rsidRPr="00804AC7">
        <w:t>que</w:t>
      </w:r>
      <w:r w:rsidRPr="00804AC7">
        <w:t xml:space="preserve"> l’inventaire serve d’outil </w:t>
      </w:r>
      <w:r w:rsidR="0058025D" w:rsidRPr="00F016A0">
        <w:t xml:space="preserve">utile </w:t>
      </w:r>
      <w:r w:rsidRPr="00F016A0">
        <w:t xml:space="preserve">au service de la sauvegarde, </w:t>
      </w:r>
      <w:r w:rsidR="0058025D" w:rsidRPr="00804AC7">
        <w:t xml:space="preserve">au-delà </w:t>
      </w:r>
      <w:r w:rsidRPr="00804AC7">
        <w:t xml:space="preserve">de </w:t>
      </w:r>
      <w:r w:rsidR="0058025D" w:rsidRPr="00804AC7">
        <w:t>fournir une</w:t>
      </w:r>
      <w:r w:rsidRPr="00804AC7">
        <w:t xml:space="preserve"> documentation </w:t>
      </w:r>
      <w:r w:rsidR="0058025D" w:rsidRPr="00804AC7">
        <w:t>ou</w:t>
      </w:r>
      <w:r w:rsidRPr="00804AC7">
        <w:t xml:space="preserve"> de</w:t>
      </w:r>
      <w:r w:rsidR="0058025D" w:rsidRPr="00804AC7">
        <w:t>s</w:t>
      </w:r>
      <w:r w:rsidRPr="00804AC7">
        <w:t xml:space="preserve"> </w:t>
      </w:r>
      <w:r w:rsidR="0058025D" w:rsidRPr="00804AC7">
        <w:t xml:space="preserve">travaux de </w:t>
      </w:r>
      <w:r w:rsidRPr="00804AC7">
        <w:t xml:space="preserve">recherche. Dans </w:t>
      </w:r>
      <w:r w:rsidR="0058025D" w:rsidRPr="00804AC7">
        <w:t>ce cas</w:t>
      </w:r>
      <w:r w:rsidRPr="00804AC7">
        <w:t>, cependant, de nombreuses candidatures</w:t>
      </w:r>
      <w:r w:rsidR="0058025D" w:rsidRPr="00804AC7">
        <w:t xml:space="preserve"> soumises lors de ce cycle </w:t>
      </w:r>
      <w:r w:rsidRPr="00804AC7">
        <w:t xml:space="preserve">ne satisferaient pas ce critère. En outre, la question est de savoir comment une telle exigence s’accommoderait d’une autre partie de l’article 12, en vertu duquel chaque État partie est autorisé à agir « de façon adaptée à sa situation ». L’orientation du Comité sur ce qui constitue un extrait d’inventaire acceptable en termes de </w:t>
      </w:r>
      <w:r w:rsidR="0058025D" w:rsidRPr="00804AC7">
        <w:t>« </w:t>
      </w:r>
      <w:r w:rsidRPr="00804AC7">
        <w:t xml:space="preserve">relation étroite » avec la candidature apparaît </w:t>
      </w:r>
      <w:r w:rsidR="0058025D" w:rsidRPr="00804AC7">
        <w:t>en tout état de cause souhaitable</w:t>
      </w:r>
      <w:r w:rsidRPr="00804AC7">
        <w:t xml:space="preserve">. </w:t>
      </w:r>
    </w:p>
    <w:p w:rsidR="00C7268F" w:rsidRDefault="000A2E07" w:rsidP="00B86CF6">
      <w:pPr>
        <w:pStyle w:val="COMPara"/>
        <w:numPr>
          <w:ilvl w:val="0"/>
          <w:numId w:val="2"/>
        </w:numPr>
        <w:ind w:left="567" w:hanging="567"/>
        <w:jc w:val="both"/>
      </w:pPr>
      <w:r>
        <w:t>Sur la base</w:t>
      </w:r>
      <w:r w:rsidRPr="00804AC7">
        <w:t xml:space="preserve"> </w:t>
      </w:r>
      <w:r w:rsidR="00C7268F" w:rsidRPr="00804AC7">
        <w:t xml:space="preserve">de son expérience au cours du présent cycle, l’Organe estime que ni lui ni le Comité ne peuvent tenir compte des informations offertes par l’inventaire qui </w:t>
      </w:r>
      <w:r>
        <w:t>offriraient un aperçu plus complet de</w:t>
      </w:r>
      <w:r w:rsidRPr="00804AC7">
        <w:t xml:space="preserve"> </w:t>
      </w:r>
      <w:r w:rsidR="00C7268F" w:rsidRPr="00804AC7">
        <w:t xml:space="preserve">l’élément </w:t>
      </w:r>
      <w:r>
        <w:t>que celui présenté</w:t>
      </w:r>
      <w:r w:rsidR="00C7268F" w:rsidRPr="00804AC7">
        <w:t xml:space="preserve"> dans la candidature elle-même, en raison de l’exigence concernant les informations placées au mauvais endroit. Cependant, suivant la logique appliquée à d’autres questions, il estime également que l’inverse n’est pas vrai : si les informations contenues dans l’inventaire </w:t>
      </w:r>
      <w:r w:rsidR="00C7268F" w:rsidRPr="00804AC7">
        <w:rPr>
          <w:i/>
        </w:rPr>
        <w:t xml:space="preserve">contredisent </w:t>
      </w:r>
      <w:r w:rsidR="00C7268F" w:rsidRPr="00804AC7">
        <w:t>celles de la candidature, alors la crédibilité de cette dernière doit être remise en question. Une autre question a émergé au cours des évaluations à propos des informations dupliqué</w:t>
      </w:r>
      <w:r w:rsidR="00C514F6" w:rsidRPr="00804AC7">
        <w:t>e</w:t>
      </w:r>
      <w:r w:rsidR="00C7268F" w:rsidRPr="00804AC7">
        <w:t xml:space="preserve">s dans l’inventaire et dans la candidature et </w:t>
      </w:r>
      <w:r>
        <w:t xml:space="preserve">de comment cela pourrait aller à l’encontre </w:t>
      </w:r>
      <w:r w:rsidR="00C7268F" w:rsidRPr="00804AC7">
        <w:t xml:space="preserve">de l’exigence selon laquelle « chaque candidature devrait constituer un document original et unique » </w:t>
      </w:r>
      <w:r w:rsidR="00C7268F" w:rsidRPr="00804AC7">
        <w:rPr>
          <w:rStyle w:val="hps"/>
        </w:rPr>
        <w:t>(Décision</w:t>
      </w:r>
      <w:r>
        <w:rPr>
          <w:rStyle w:val="hps"/>
        </w:rPr>
        <w:t> </w:t>
      </w:r>
      <w:r w:rsidR="00C7268F" w:rsidRPr="00804AC7">
        <w:rPr>
          <w:rStyle w:val="hps"/>
        </w:rPr>
        <w:t>7.COM 11)</w:t>
      </w:r>
      <w:r w:rsidR="00C7268F" w:rsidRPr="00804AC7">
        <w:t xml:space="preserve">. L’Organe a toutefois </w:t>
      </w:r>
      <w:r>
        <w:t>convenu</w:t>
      </w:r>
      <w:r w:rsidRPr="00804AC7">
        <w:t xml:space="preserve"> </w:t>
      </w:r>
      <w:r w:rsidR="00C7268F" w:rsidRPr="00804AC7">
        <w:t>que ce type de doublons ne devait pas être visé par cette exigence d’ordre général.</w:t>
      </w:r>
    </w:p>
    <w:p w:rsidR="00C7268F" w:rsidRPr="008D1610" w:rsidRDefault="00C7268F" w:rsidP="00F016A0">
      <w:pPr>
        <w:pStyle w:val="COMPara"/>
        <w:keepNext/>
        <w:spacing w:before="240"/>
        <w:ind w:left="1134" w:hanging="425"/>
        <w:jc w:val="both"/>
      </w:pPr>
      <w:r w:rsidRPr="008D1610">
        <w:t>ii</w:t>
      </w:r>
      <w:r w:rsidR="00790031" w:rsidRPr="008D1610">
        <w:t>.</w:t>
      </w:r>
      <w:r w:rsidR="00C249C5" w:rsidRPr="00515619">
        <w:rPr>
          <w:lang w:eastAsia="en-US" w:bidi="en-US"/>
        </w:rPr>
        <w:tab/>
      </w:r>
      <w:r w:rsidR="00656DE4" w:rsidRPr="00B86CF6">
        <w:rPr>
          <w:u w:val="single"/>
          <w:lang w:eastAsia="en-US" w:bidi="en-US"/>
        </w:rPr>
        <w:t>Format</w:t>
      </w:r>
      <w:r w:rsidR="00656DE4" w:rsidRPr="00B86CF6">
        <w:rPr>
          <w:u w:val="single"/>
        </w:rPr>
        <w:t xml:space="preserve"> de l’inventaire</w:t>
      </w:r>
    </w:p>
    <w:p w:rsidR="00C7268F" w:rsidRPr="00804AC7" w:rsidRDefault="00C7268F" w:rsidP="00B86CF6">
      <w:pPr>
        <w:pStyle w:val="COMPara"/>
        <w:numPr>
          <w:ilvl w:val="0"/>
          <w:numId w:val="2"/>
        </w:numPr>
        <w:ind w:left="567" w:hanging="567"/>
        <w:jc w:val="both"/>
      </w:pPr>
      <w:r w:rsidRPr="00804AC7">
        <w:t>Bien qu’il puisse revêtir des formes multiples, un inventaire est censé représenter un « document plus complet qu’une simple liste de noms d’éléments » (</w:t>
      </w:r>
      <w:r w:rsidR="00790031" w:rsidRPr="00804AC7">
        <w:t>Aide</w:t>
      </w:r>
      <w:r w:rsidRPr="00804AC7">
        <w:t xml:space="preserve">-mémoire pour la Liste </w:t>
      </w:r>
      <w:r w:rsidRPr="00F016A0">
        <w:rPr>
          <w:lang w:eastAsia="en-US" w:bidi="en-US"/>
        </w:rPr>
        <w:t>représentative</w:t>
      </w:r>
      <w:r w:rsidRPr="00804AC7">
        <w:t>, paragraphe 113). L’Organe d’évaluation a appliqué cette approche à ses travaux, mais a éprouvé un certain malaise face aux inventaires ne comptant guère plus que quelques lignes de description des plus basiques. Parfois, les inventaires ressemblaient également à un</w:t>
      </w:r>
      <w:r w:rsidR="00790031" w:rsidRPr="00804AC7">
        <w:t>e compilation</w:t>
      </w:r>
      <w:r w:rsidRPr="00804AC7">
        <w:t xml:space="preserve"> d’informations puisées </w:t>
      </w:r>
      <w:r w:rsidR="00C54594">
        <w:t xml:space="preserve">dans </w:t>
      </w:r>
      <w:r w:rsidR="00C54594" w:rsidRPr="00804AC7">
        <w:t xml:space="preserve"> </w:t>
      </w:r>
      <w:r w:rsidRPr="00804AC7">
        <w:t>différentes sources. D’autres fois, à des publications universitaires, parfois même signées de leur auteur, comme ce fut le cas dans une candidature en particulier. Comme il n’existe aucune instruction spécifique concernant le format des inventaire</w:t>
      </w:r>
      <w:r w:rsidR="00790031" w:rsidRPr="00804AC7">
        <w:t>s</w:t>
      </w:r>
      <w:r w:rsidRPr="00804AC7">
        <w:t xml:space="preserve">, et que chaque État partie </w:t>
      </w:r>
      <w:r w:rsidR="00790031" w:rsidRPr="00804AC7">
        <w:t>peut</w:t>
      </w:r>
      <w:r w:rsidRPr="00804AC7">
        <w:t xml:space="preserve"> dresser un ou plusieurs inventaires de façon autonome et « adaptée à sa situation » (</w:t>
      </w:r>
      <w:r w:rsidR="00790031" w:rsidRPr="00804AC7">
        <w:t>article </w:t>
      </w:r>
      <w:r w:rsidRPr="00804AC7">
        <w:t xml:space="preserve">12 de la Convention), l’Organe d’évaluation a accepté tous les formats autres que les simples listes et publications signées, même </w:t>
      </w:r>
      <w:r w:rsidR="00790031" w:rsidRPr="00804AC7">
        <w:t xml:space="preserve">s’il l’a fait </w:t>
      </w:r>
      <w:r w:rsidRPr="00804AC7">
        <w:t>à contrecœur. Il serait souhaitable que le Comité fournisse des directives plus précises sur ce point.</w:t>
      </w:r>
    </w:p>
    <w:p w:rsidR="00C7268F" w:rsidRPr="008D1610" w:rsidRDefault="00C7268F" w:rsidP="009F3A9A">
      <w:pPr>
        <w:pStyle w:val="COMPara"/>
        <w:keepNext/>
        <w:spacing w:before="240"/>
        <w:ind w:left="1134" w:hanging="425"/>
        <w:jc w:val="both"/>
      </w:pPr>
      <w:r w:rsidRPr="008D1610">
        <w:t>iii</w:t>
      </w:r>
      <w:r w:rsidR="00790031" w:rsidRPr="008D1610">
        <w:t>.</w:t>
      </w:r>
      <w:r w:rsidR="00790031" w:rsidRPr="008D1610">
        <w:tab/>
      </w:r>
      <w:r w:rsidR="00656DE4" w:rsidRPr="00B86CF6">
        <w:rPr>
          <w:u w:val="single"/>
        </w:rPr>
        <w:t>Inventaires à des niveaux autres que nationaux</w:t>
      </w:r>
    </w:p>
    <w:p w:rsidR="00C7268F" w:rsidRPr="00804AC7" w:rsidRDefault="00C7268F" w:rsidP="00B86CF6">
      <w:pPr>
        <w:pStyle w:val="COMPara"/>
        <w:numPr>
          <w:ilvl w:val="0"/>
          <w:numId w:val="2"/>
        </w:numPr>
        <w:ind w:left="567" w:hanging="567"/>
        <w:jc w:val="both"/>
      </w:pPr>
      <w:r w:rsidRPr="00804AC7">
        <w:t xml:space="preserve">L’Organe d’évaluation a </w:t>
      </w:r>
      <w:r w:rsidR="00F9571C" w:rsidRPr="00804AC7">
        <w:t>rencontré</w:t>
      </w:r>
      <w:r w:rsidRPr="00804AC7">
        <w:t xml:space="preserve"> certains inventaires maintenus non pas </w:t>
      </w:r>
      <w:r w:rsidR="00C72A48">
        <w:t>au niveau</w:t>
      </w:r>
      <w:r w:rsidRPr="00804AC7">
        <w:t xml:space="preserve"> national mais local ou régional. La Convention établissant clairement que chaque État partie doit dresser « un ou plusieurs inventaires du patrimoine culturel immatériel présent sur son territoire » (article 12), de tels inventaires locaux, régionaux ou spécifiques à certaines disciplines sont </w:t>
      </w:r>
      <w:r w:rsidR="00384F99">
        <w:t>satisfaisants</w:t>
      </w:r>
      <w:r w:rsidRPr="00804AC7">
        <w:t xml:space="preserve"> au même </w:t>
      </w:r>
      <w:r w:rsidRPr="00F016A0">
        <w:rPr>
          <w:lang w:eastAsia="en-US" w:bidi="en-US"/>
        </w:rPr>
        <w:t>titre</w:t>
      </w:r>
      <w:r w:rsidRPr="00804AC7">
        <w:t xml:space="preserve"> que les inventaires « nationaux ». Il convient de noter que ni la Convention ni les Directives opérationnelles ne font référence à un « inventaire national », référence que le Comité ainsi que ses organes d’évaluation ont scrupuleusement évité</w:t>
      </w:r>
      <w:r w:rsidR="00C72A48">
        <w:t>e</w:t>
      </w:r>
      <w:r w:rsidRPr="00804AC7">
        <w:t xml:space="preserve"> (hormis dans le contexte d’un inventaire spécifique ainsi nommé par l’État partie).</w:t>
      </w:r>
    </w:p>
    <w:p w:rsidR="00C7268F" w:rsidRPr="008D1610" w:rsidRDefault="00C7268F" w:rsidP="009F3A9A">
      <w:pPr>
        <w:pStyle w:val="COMPara"/>
        <w:keepNext/>
        <w:spacing w:before="240"/>
        <w:ind w:left="1134" w:hanging="425"/>
        <w:jc w:val="both"/>
      </w:pPr>
      <w:r w:rsidRPr="008D1610">
        <w:t>iv</w:t>
      </w:r>
      <w:r w:rsidR="00804AC7" w:rsidRPr="008D1610">
        <w:t>.</w:t>
      </w:r>
      <w:r w:rsidR="00804AC7" w:rsidRPr="008D1610">
        <w:tab/>
      </w:r>
      <w:r w:rsidR="00656DE4" w:rsidRPr="00B86CF6">
        <w:rPr>
          <w:u w:val="single"/>
        </w:rPr>
        <w:t>Mise à jour des inventaires</w:t>
      </w:r>
    </w:p>
    <w:p w:rsidR="00C7268F" w:rsidRPr="00804AC7" w:rsidRDefault="00346E14" w:rsidP="00B86CF6">
      <w:pPr>
        <w:pStyle w:val="COMPara"/>
        <w:numPr>
          <w:ilvl w:val="0"/>
          <w:numId w:val="2"/>
        </w:numPr>
        <w:ind w:left="567" w:hanging="567"/>
        <w:jc w:val="both"/>
      </w:pPr>
      <w:r w:rsidRPr="00804AC7">
        <w:t>L’article</w:t>
      </w:r>
      <w:r>
        <w:t> </w:t>
      </w:r>
      <w:r w:rsidR="00C7268F" w:rsidRPr="00804AC7">
        <w:t xml:space="preserve">12 de la Convention et toutes les décisions et recommandations émises depuis exigent une mise à jour </w:t>
      </w:r>
      <w:r>
        <w:t>régulière</w:t>
      </w:r>
      <w:r w:rsidRPr="00804AC7">
        <w:t xml:space="preserve"> </w:t>
      </w:r>
      <w:r w:rsidR="00C7268F" w:rsidRPr="00804AC7">
        <w:t xml:space="preserve">des inventaires, et il est demandé dans les formulaires de candidature aux États soumissionnaires de décrire comment </w:t>
      </w:r>
      <w:r w:rsidR="00B7227D" w:rsidRPr="00804AC7">
        <w:t>cette mise à jour est effectuée</w:t>
      </w:r>
      <w:r w:rsidR="00C7268F" w:rsidRPr="00804AC7">
        <w:t xml:space="preserve">. Toutefois, malgré l’importance cruciale de cette disposition, rares sont les dossiers qui présentent de manière adéquate la nature et la périodicité des mises à jour. Certains États parties entendent la disposition de mise à jour d’un inventaire comme un ajout de nouveaux éléments, d’autres comme une révision périodique des informations portant sur l’élément concerné par la candidature ainsi que de tous les autres éléments inclus dans l’inventaire. L’Organe recommande au Comité de </w:t>
      </w:r>
      <w:r w:rsidR="00B7227D" w:rsidRPr="00804AC7">
        <w:t xml:space="preserve">clarifier </w:t>
      </w:r>
      <w:r w:rsidR="00C7268F" w:rsidRPr="00804AC7">
        <w:t xml:space="preserve">que </w:t>
      </w:r>
      <w:r w:rsidR="00B7227D" w:rsidRPr="00804AC7">
        <w:t>la notion de mise à jour s’adresse aux deux cas, y compris</w:t>
      </w:r>
      <w:r w:rsidR="00C7268F" w:rsidRPr="00804AC7">
        <w:t xml:space="preserve"> </w:t>
      </w:r>
      <w:r w:rsidR="00B7227D" w:rsidRPr="00804AC7">
        <w:t xml:space="preserve">la révision </w:t>
      </w:r>
      <w:r w:rsidR="00C7268F" w:rsidRPr="00804AC7">
        <w:t xml:space="preserve">à intervalles réguliers </w:t>
      </w:r>
      <w:r w:rsidR="00B7227D" w:rsidRPr="00804AC7">
        <w:t>d</w:t>
      </w:r>
      <w:r w:rsidR="00C7268F" w:rsidRPr="00804AC7">
        <w:t>es informations portant sur la nature évolutive de</w:t>
      </w:r>
      <w:r w:rsidR="00B7227D" w:rsidRPr="00804AC7">
        <w:t>s</w:t>
      </w:r>
      <w:r w:rsidR="00C7268F" w:rsidRPr="00804AC7">
        <w:t xml:space="preserve"> élément</w:t>
      </w:r>
      <w:r w:rsidR="00B7227D" w:rsidRPr="00804AC7">
        <w:t>s</w:t>
      </w:r>
      <w:r w:rsidR="00C7268F" w:rsidRPr="00804AC7">
        <w:t xml:space="preserve"> concerné</w:t>
      </w:r>
      <w:r w:rsidR="00B7227D" w:rsidRPr="00804AC7">
        <w:t>s et leur</w:t>
      </w:r>
      <w:r w:rsidR="00C7268F" w:rsidRPr="00804AC7">
        <w:t xml:space="preserve"> sauvegarde </w:t>
      </w:r>
      <w:r w:rsidR="00B7227D" w:rsidRPr="00804AC7">
        <w:t>ainsi que</w:t>
      </w:r>
      <w:r w:rsidR="00C7268F" w:rsidRPr="00804AC7">
        <w:t xml:space="preserve"> le suivi des conséquences de </w:t>
      </w:r>
      <w:r w:rsidR="00B7227D" w:rsidRPr="00804AC7">
        <w:t xml:space="preserve">leur </w:t>
      </w:r>
      <w:r w:rsidR="00C7268F" w:rsidRPr="00804AC7">
        <w:t xml:space="preserve">inscription dans l’inventaire. </w:t>
      </w:r>
      <w:r w:rsidR="00B7227D" w:rsidRPr="00804AC7">
        <w:t>U</w:t>
      </w:r>
      <w:r w:rsidR="00C7268F" w:rsidRPr="00804AC7">
        <w:t xml:space="preserve">ne telle compréhension de la notion de mise à jour est également impliquée dans les rapports périodiques des États parties sur la mise en œuvre de la Convention et sur l’état actuel des éléments inscrits sur la Liste représentative, ainsi que dans les rapports correspondants sur l’état actuel des éléments inscrits sur la Liste de sauvegarde urgente. </w:t>
      </w:r>
    </w:p>
    <w:p w:rsidR="00C7268F" w:rsidRPr="00804AC7" w:rsidRDefault="00C7268F" w:rsidP="00B86CF6">
      <w:pPr>
        <w:pStyle w:val="COMPara"/>
        <w:numPr>
          <w:ilvl w:val="0"/>
          <w:numId w:val="2"/>
        </w:numPr>
        <w:ind w:left="567" w:hanging="567"/>
        <w:jc w:val="both"/>
      </w:pPr>
      <w:r w:rsidRPr="00804AC7">
        <w:t xml:space="preserve">La périodicité d’un inventaire est difficile à définir avec précision. Au cours du présent cycle, les extraits fournis ont révélé que certains inventaires n’avaient pas été mis à jour depuis </w:t>
      </w:r>
      <w:r w:rsidR="008B60B2" w:rsidRPr="00804AC7">
        <w:t>un certain nombre d’années</w:t>
      </w:r>
      <w:r w:rsidRPr="00804AC7">
        <w:t xml:space="preserve"> – en </w:t>
      </w:r>
      <w:r w:rsidR="008B60B2" w:rsidRPr="00804AC7">
        <w:t>réalité</w:t>
      </w:r>
      <w:r w:rsidRPr="00804AC7">
        <w:t>, depuis l’inclusion de l’élément</w:t>
      </w:r>
      <w:r w:rsidR="008B60B2" w:rsidRPr="00804AC7">
        <w:t>,</w:t>
      </w:r>
      <w:r w:rsidRPr="00804AC7">
        <w:t xml:space="preserve"> </w:t>
      </w:r>
      <w:r w:rsidR="008B60B2" w:rsidRPr="00804AC7">
        <w:t xml:space="preserve">souvent de nombreuses </w:t>
      </w:r>
      <w:r w:rsidRPr="00804AC7">
        <w:t xml:space="preserve">années auparavant. La plupart des États parties affirment pourtant dans leurs candidatures que leurs inventaires sont mis à jour régulièrement, sans en dire plus ni faire la preuve de ce qu’ils avancent. Dans le cycle actuel, une telle attestation fournie dans le cadre de la section U.5/R.5 </w:t>
      </w:r>
      <w:r w:rsidR="00346E14">
        <w:t>concernant</w:t>
      </w:r>
      <w:r w:rsidR="00346E14" w:rsidRPr="00804AC7">
        <w:t xml:space="preserve"> </w:t>
      </w:r>
      <w:r w:rsidR="00346E14">
        <w:t xml:space="preserve">la </w:t>
      </w:r>
      <w:r w:rsidRPr="00804AC7">
        <w:t xml:space="preserve">mise à jour périodique a été considérée satisfaisante, </w:t>
      </w:r>
      <w:r w:rsidR="00346E14">
        <w:t xml:space="preserve">bien que </w:t>
      </w:r>
      <w:r w:rsidRPr="00804AC7">
        <w:t>les extraits d’inventaire fournis confirment rarement de telles affirmations.</w:t>
      </w:r>
    </w:p>
    <w:p w:rsidR="00C7268F" w:rsidRPr="008D1610" w:rsidRDefault="00C7268F" w:rsidP="009F3A9A">
      <w:pPr>
        <w:pStyle w:val="COMPara"/>
        <w:keepNext/>
        <w:spacing w:before="240"/>
        <w:ind w:left="1134" w:hanging="567"/>
      </w:pPr>
      <w:r w:rsidRPr="008D1610">
        <w:t>v</w:t>
      </w:r>
      <w:r w:rsidR="000861DE" w:rsidRPr="008D1610">
        <w:t>.</w:t>
      </w:r>
      <w:r w:rsidR="000861DE" w:rsidRPr="008D1610">
        <w:tab/>
      </w:r>
      <w:r w:rsidR="00656DE4" w:rsidRPr="00B86CF6">
        <w:rPr>
          <w:u w:val="single"/>
        </w:rPr>
        <w:t xml:space="preserve">Participation des communautés, des groupes et des </w:t>
      </w:r>
      <w:r w:rsidR="009F3A9A">
        <w:rPr>
          <w:u w:val="single"/>
        </w:rPr>
        <w:br/>
      </w:r>
      <w:r w:rsidR="00656DE4" w:rsidRPr="00B86CF6">
        <w:rPr>
          <w:u w:val="single"/>
        </w:rPr>
        <w:t>organisations non gouvernementales pertinentes</w:t>
      </w:r>
    </w:p>
    <w:p w:rsidR="00C7268F" w:rsidRPr="00804AC7" w:rsidRDefault="00C7268F" w:rsidP="00B86CF6">
      <w:pPr>
        <w:pStyle w:val="COMPara"/>
        <w:numPr>
          <w:ilvl w:val="0"/>
          <w:numId w:val="2"/>
        </w:numPr>
        <w:ind w:left="567" w:hanging="567"/>
        <w:jc w:val="both"/>
      </w:pPr>
      <w:r w:rsidRPr="00804AC7">
        <w:t>En complément de la mise à jour régulière des inventaires, la participation des communautés, des groupes et d</w:t>
      </w:r>
      <w:r w:rsidR="000861DE" w:rsidRPr="00804AC7">
        <w:t xml:space="preserve">es </w:t>
      </w:r>
      <w:r w:rsidRPr="00804AC7">
        <w:t>organisations non</w:t>
      </w:r>
      <w:r w:rsidR="00D76F17" w:rsidRPr="00804AC7">
        <w:t xml:space="preserve"> </w:t>
      </w:r>
      <w:r w:rsidRPr="00804AC7">
        <w:t xml:space="preserve">gouvernementales pertinentes constitue une condition </w:t>
      </w:r>
      <w:r w:rsidR="00181459">
        <w:t xml:space="preserve">fondamentale </w:t>
      </w:r>
      <w:r w:rsidRPr="00804AC7">
        <w:t xml:space="preserve">préalable à l’inclusion d’un élément dans un inventaire. Malheureusement, à l’instar de la première condition, celle-ci est bien souvent affirmée </w:t>
      </w:r>
      <w:r w:rsidR="000861DE" w:rsidRPr="00804AC7">
        <w:t xml:space="preserve">avec peu ou </w:t>
      </w:r>
      <w:r w:rsidRPr="00804AC7">
        <w:t xml:space="preserve">sans justification concrète. En s’appuyant sur le modèle établi pour le critère U.4/R.4, le Comité </w:t>
      </w:r>
      <w:r w:rsidR="000861DE" w:rsidRPr="00804AC7">
        <w:t xml:space="preserve">pourrait </w:t>
      </w:r>
      <w:r w:rsidRPr="00804AC7">
        <w:t xml:space="preserve">trouver un moyen d’aider les États parties à démontrer de manière </w:t>
      </w:r>
      <w:r w:rsidR="000861DE" w:rsidRPr="00804AC7">
        <w:t xml:space="preserve">plus </w:t>
      </w:r>
      <w:r w:rsidRPr="00804AC7">
        <w:t>claire les participations exigées.</w:t>
      </w:r>
    </w:p>
    <w:p w:rsidR="00C7268F" w:rsidRPr="008D1610" w:rsidRDefault="00C7268F" w:rsidP="009F3A9A">
      <w:pPr>
        <w:pStyle w:val="COMPara"/>
        <w:keepNext/>
        <w:spacing w:before="240"/>
        <w:ind w:left="1134" w:hanging="567"/>
      </w:pPr>
      <w:r w:rsidRPr="008D1610">
        <w:t>vi.</w:t>
      </w:r>
      <w:r w:rsidR="000861DE" w:rsidRPr="008D1610">
        <w:tab/>
      </w:r>
      <w:r w:rsidR="00656DE4" w:rsidRPr="00B86CF6">
        <w:rPr>
          <w:u w:val="single"/>
        </w:rPr>
        <w:t>Données fournies sur la date d’inclusion, la référence, le nom de l’inventaire concerné et l’entité responsable de la maintenance de l’inventaire</w:t>
      </w:r>
      <w:r w:rsidRPr="008D1610">
        <w:t xml:space="preserve"> </w:t>
      </w:r>
    </w:p>
    <w:p w:rsidR="00181459" w:rsidRPr="00804AC7" w:rsidRDefault="00C7268F" w:rsidP="00B86CF6">
      <w:pPr>
        <w:pStyle w:val="COMPara"/>
        <w:numPr>
          <w:ilvl w:val="0"/>
          <w:numId w:val="2"/>
        </w:numPr>
        <w:ind w:left="567" w:hanging="567"/>
        <w:jc w:val="both"/>
      </w:pPr>
      <w:r w:rsidRPr="00804AC7">
        <w:t xml:space="preserve">Les formulaires de candidature </w:t>
      </w:r>
      <w:r w:rsidR="00D56874" w:rsidRPr="00804AC7">
        <w:t>demandent clairement aux</w:t>
      </w:r>
      <w:r w:rsidRPr="00804AC7">
        <w:t xml:space="preserve"> États soumissionnaires qu’ils fassent figurer à la section 5 la date d’inclusion d</w:t>
      </w:r>
      <w:r w:rsidR="00D56874" w:rsidRPr="00804AC7">
        <w:t>ans</w:t>
      </w:r>
      <w:r w:rsidRPr="00804AC7">
        <w:t xml:space="preserve"> l’inventaire, sa référence, </w:t>
      </w:r>
      <w:r w:rsidR="00D56874" w:rsidRPr="00804AC7">
        <w:t xml:space="preserve">le </w:t>
      </w:r>
      <w:r w:rsidRPr="00804AC7">
        <w:t xml:space="preserve">nom </w:t>
      </w:r>
      <w:r w:rsidR="00D56874" w:rsidRPr="00804AC7">
        <w:t xml:space="preserve">de l’inventaire </w:t>
      </w:r>
      <w:r w:rsidRPr="00804AC7">
        <w:t xml:space="preserve">et celui de l’entité responsable de sa maintenance. </w:t>
      </w:r>
      <w:r w:rsidR="00181459">
        <w:t>Alors que c</w:t>
      </w:r>
      <w:r w:rsidR="00181459" w:rsidRPr="00804AC7">
        <w:t xml:space="preserve">es </w:t>
      </w:r>
      <w:r w:rsidRPr="00804AC7">
        <w:t xml:space="preserve">informations peuvent </w:t>
      </w:r>
      <w:r w:rsidR="00181459">
        <w:t>sembler</w:t>
      </w:r>
      <w:r w:rsidR="00181459" w:rsidRPr="00804AC7">
        <w:t xml:space="preserve"> </w:t>
      </w:r>
      <w:r w:rsidR="00B152F8">
        <w:t xml:space="preserve">des </w:t>
      </w:r>
      <w:r w:rsidRPr="00804AC7">
        <w:t>détails</w:t>
      </w:r>
      <w:r w:rsidR="00D56874" w:rsidRPr="00804AC7">
        <w:t>,</w:t>
      </w:r>
      <w:r w:rsidRPr="00804AC7">
        <w:t xml:space="preserve"> </w:t>
      </w:r>
      <w:r w:rsidR="00181459">
        <w:t>elles</w:t>
      </w:r>
      <w:r w:rsidR="00181459" w:rsidRPr="00804AC7">
        <w:t xml:space="preserve"> </w:t>
      </w:r>
      <w:r w:rsidRPr="00804AC7">
        <w:t xml:space="preserve">constituent néanmoins des composantes indispensables d’un inventaire </w:t>
      </w:r>
      <w:r w:rsidR="00181459">
        <w:t>établi</w:t>
      </w:r>
      <w:r w:rsidR="00181459" w:rsidRPr="00804AC7">
        <w:t xml:space="preserve"> </w:t>
      </w:r>
      <w:r w:rsidRPr="00804AC7">
        <w:t xml:space="preserve">conformément aux exigences de la Convention. Le fait de les omettre </w:t>
      </w:r>
      <w:r w:rsidR="00181459">
        <w:t>soulève</w:t>
      </w:r>
      <w:r w:rsidR="00181459" w:rsidRPr="00804AC7">
        <w:t xml:space="preserve"> </w:t>
      </w:r>
      <w:r w:rsidRPr="00804AC7">
        <w:t xml:space="preserve">donc des doutes quant </w:t>
      </w:r>
      <w:r w:rsidR="00D56874" w:rsidRPr="00804AC7">
        <w:t xml:space="preserve">à </w:t>
      </w:r>
      <w:r w:rsidR="00181459">
        <w:t>savoir si le processus a effectivement été achevé</w:t>
      </w:r>
      <w:r w:rsidRPr="00804AC7">
        <w:t xml:space="preserve">. </w:t>
      </w:r>
      <w:r w:rsidR="00D56874" w:rsidRPr="00804AC7">
        <w:t xml:space="preserve">Comme pour </w:t>
      </w:r>
      <w:r w:rsidR="00181459">
        <w:t>les sujets plus importants</w:t>
      </w:r>
      <w:r w:rsidRPr="00804AC7">
        <w:t xml:space="preserve"> de la mise à jour périodique et de la participation des communautés, des groupes et d</w:t>
      </w:r>
      <w:r w:rsidR="00D56874" w:rsidRPr="00804AC7">
        <w:t xml:space="preserve">es </w:t>
      </w:r>
      <w:r w:rsidRPr="00804AC7">
        <w:t>organisations non</w:t>
      </w:r>
      <w:r w:rsidR="00D76F17" w:rsidRPr="00804AC7">
        <w:t xml:space="preserve"> </w:t>
      </w:r>
      <w:r w:rsidRPr="00804AC7">
        <w:t xml:space="preserve">gouvernementales pertinentes, une grande majorité de candidatures évaluées dans le cadre du présent cycle ne fournissaient pas </w:t>
      </w:r>
      <w:r w:rsidR="00384F99">
        <w:t>la totalité d</w:t>
      </w:r>
      <w:r w:rsidR="00384F99" w:rsidRPr="00804AC7">
        <w:t xml:space="preserve">es </w:t>
      </w:r>
      <w:r w:rsidRPr="00804AC7">
        <w:t xml:space="preserve">informations requises (même si certaines d’entre elles peuvent être glanées à partir de l’extrait d’inventaire). Dans les formulaires </w:t>
      </w:r>
      <w:r w:rsidR="00181459">
        <w:t>publiés</w:t>
      </w:r>
      <w:r w:rsidR="00181459" w:rsidRPr="00804AC7">
        <w:t xml:space="preserve"> </w:t>
      </w:r>
      <w:r w:rsidRPr="00804AC7">
        <w:t>pour le cycle 2016, le Secrétariat a tenté de lister les informations requises de manière claire, et les membres de l’Organe d’évaluation encouragent leurs successeurs à faire preuve de la plus grande diligence pour s’assurer que les États soumissionnaires fournissent les données exigées.</w:t>
      </w:r>
    </w:p>
    <w:p w:rsidR="00C7268F" w:rsidRPr="008D1610" w:rsidRDefault="00C7268F" w:rsidP="009F3A9A">
      <w:pPr>
        <w:pStyle w:val="COMPara"/>
        <w:keepNext/>
        <w:spacing w:before="240"/>
        <w:ind w:left="1134" w:hanging="567"/>
        <w:jc w:val="both"/>
      </w:pPr>
      <w:r w:rsidRPr="008D1610">
        <w:t>vii.</w:t>
      </w:r>
      <w:r w:rsidR="00D56874" w:rsidRPr="008D1610">
        <w:tab/>
      </w:r>
      <w:r w:rsidR="00656DE4" w:rsidRPr="00B86CF6">
        <w:rPr>
          <w:u w:val="single"/>
        </w:rPr>
        <w:t>Évaluation des inventaires dans le cas de dossiers resoumis</w:t>
      </w:r>
      <w:r w:rsidRPr="008D1610">
        <w:t xml:space="preserve"> </w:t>
      </w:r>
    </w:p>
    <w:p w:rsidR="00C7268F" w:rsidRPr="00804AC7" w:rsidRDefault="00C7268F" w:rsidP="00B86CF6">
      <w:pPr>
        <w:pStyle w:val="COMPara"/>
        <w:numPr>
          <w:ilvl w:val="0"/>
          <w:numId w:val="2"/>
        </w:numPr>
        <w:ind w:left="567" w:hanging="567"/>
        <w:jc w:val="both"/>
      </w:pPr>
      <w:r w:rsidRPr="00804AC7">
        <w:t xml:space="preserve">Le Comité ayant adopté des exigences de plus en plus </w:t>
      </w:r>
      <w:r w:rsidR="006060B7" w:rsidRPr="00804AC7">
        <w:t xml:space="preserve">précises </w:t>
      </w:r>
      <w:r w:rsidRPr="00804AC7">
        <w:t xml:space="preserve">pour les critères U.5/R.5, l’Organe d’évaluation a été confronté au délicat enjeu d’assurer la continuité avec les décisions passées du Comité lors de son </w:t>
      </w:r>
      <w:r w:rsidR="00E554DF">
        <w:t>évaluation</w:t>
      </w:r>
      <w:r w:rsidR="00E554DF" w:rsidRPr="00804AC7">
        <w:t xml:space="preserve"> </w:t>
      </w:r>
      <w:r w:rsidRPr="00804AC7">
        <w:t xml:space="preserve">de dossiers </w:t>
      </w:r>
      <w:r w:rsidR="00E554DF">
        <w:t>précédemment</w:t>
      </w:r>
      <w:r w:rsidR="00E554DF" w:rsidRPr="00804AC7">
        <w:t xml:space="preserve"> </w:t>
      </w:r>
      <w:r w:rsidR="006060B7" w:rsidRPr="00804AC7">
        <w:t xml:space="preserve">renvoyés pour </w:t>
      </w:r>
      <w:r w:rsidRPr="00804AC7">
        <w:t>des critères autres que R.5. Dans l’un de</w:t>
      </w:r>
      <w:r w:rsidR="006060B7" w:rsidRPr="00804AC7">
        <w:t xml:space="preserve"> ce</w:t>
      </w:r>
      <w:r w:rsidRPr="00804AC7">
        <w:t xml:space="preserve">s </w:t>
      </w:r>
      <w:r w:rsidR="006060B7" w:rsidRPr="00804AC7">
        <w:t xml:space="preserve">dossiers </w:t>
      </w:r>
      <w:r w:rsidRPr="00804AC7">
        <w:t xml:space="preserve">resoumis, l’extrait d’inventaire </w:t>
      </w:r>
      <w:r w:rsidR="006060B7" w:rsidRPr="00804AC7">
        <w:t xml:space="preserve">nouvellement </w:t>
      </w:r>
      <w:r w:rsidRPr="00804AC7">
        <w:t>exigé révèle de manière univoque un inventaire non conforme aux articles 11 et 12 de la Convention. Cependant, cet inventaire ayant été accepté lors d’un examen précédent du dossier en question, l’Organe n’a eu d’autre choix que de reconduire la décision favorable du Comité</w:t>
      </w:r>
      <w:r w:rsidR="006060B7" w:rsidRPr="00804AC7">
        <w:t xml:space="preserve"> à cet égard</w:t>
      </w:r>
      <w:r w:rsidRPr="00804AC7">
        <w:t xml:space="preserve">. Le Comité souhaitera peut-être faire savoir aux États soumissionnaires que les futurs Organes d’évaluation rejetteront désormais les inventaires ne remplissant pas les critères </w:t>
      </w:r>
      <w:r w:rsidR="006060B7" w:rsidRPr="00804AC7">
        <w:t>et décisions concernées</w:t>
      </w:r>
      <w:r w:rsidR="00345111" w:rsidRPr="00804AC7">
        <w:t xml:space="preserve"> en vigueur au moment de la soumission de la candidature</w:t>
      </w:r>
      <w:r w:rsidR="006060B7" w:rsidRPr="00804AC7">
        <w:t xml:space="preserve">, </w:t>
      </w:r>
      <w:r w:rsidRPr="00804AC7">
        <w:t xml:space="preserve">quelle qu’ait été l’issue réservée à </w:t>
      </w:r>
      <w:r w:rsidR="00345111" w:rsidRPr="00804AC7">
        <w:t xml:space="preserve">sa </w:t>
      </w:r>
      <w:r w:rsidRPr="00804AC7">
        <w:t>version précédente.</w:t>
      </w:r>
    </w:p>
    <w:p w:rsidR="00C7268F" w:rsidRPr="00804AC7" w:rsidRDefault="00656DE4" w:rsidP="00B86CF6">
      <w:pPr>
        <w:pStyle w:val="COMPara"/>
        <w:numPr>
          <w:ilvl w:val="0"/>
          <w:numId w:val="2"/>
        </w:numPr>
        <w:ind w:left="567" w:hanging="567"/>
        <w:jc w:val="both"/>
      </w:pPr>
      <w:r w:rsidRPr="00B86CF6">
        <w:rPr>
          <w:b/>
          <w:i/>
        </w:rPr>
        <w:t>Vidéo jointe</w:t>
      </w:r>
      <w:r w:rsidRPr="00B86CF6">
        <w:rPr>
          <w:b/>
          <w:i/>
          <w:color w:val="000000"/>
        </w:rPr>
        <w:t>.</w:t>
      </w:r>
      <w:r w:rsidR="00C7268F" w:rsidRPr="00804AC7">
        <w:rPr>
          <w:color w:val="000000"/>
        </w:rPr>
        <w:t xml:space="preserve"> L’Organe d’évaluation note que certains États parties ont fait des efforts louables pour produire des vidéos de qualité au contenu particulièrement </w:t>
      </w:r>
      <w:r w:rsidR="00040586">
        <w:rPr>
          <w:color w:val="000000"/>
        </w:rPr>
        <w:t>informatif</w:t>
      </w:r>
      <w:r w:rsidR="00C7268F" w:rsidRPr="00804AC7">
        <w:rPr>
          <w:color w:val="000000"/>
        </w:rPr>
        <w:t xml:space="preserve">, et encourage les autres à faire de même. Les vidéos doivent refléter les divers aspects de l’élément – contexte et </w:t>
      </w:r>
      <w:r w:rsidR="00040586">
        <w:rPr>
          <w:color w:val="000000"/>
        </w:rPr>
        <w:t>environnement</w:t>
      </w:r>
      <w:r w:rsidR="00C7268F" w:rsidRPr="00804AC7">
        <w:rPr>
          <w:color w:val="000000"/>
        </w:rPr>
        <w:t>, détenteurs, instruments ou outils utilisés, publics, etc. Il est déconseillé aux États parties de fournir des présentations statiques accompagnées d’un</w:t>
      </w:r>
      <w:r w:rsidR="005162A1" w:rsidRPr="00804AC7">
        <w:rPr>
          <w:color w:val="000000"/>
        </w:rPr>
        <w:t>e</w:t>
      </w:r>
      <w:r w:rsidR="00C7268F" w:rsidRPr="00804AC7">
        <w:rPr>
          <w:color w:val="000000"/>
        </w:rPr>
        <w:t xml:space="preserve"> long</w:t>
      </w:r>
      <w:r w:rsidR="005162A1" w:rsidRPr="00804AC7">
        <w:rPr>
          <w:color w:val="000000"/>
        </w:rPr>
        <w:t>ue</w:t>
      </w:r>
      <w:r w:rsidR="00C7268F" w:rsidRPr="00804AC7">
        <w:rPr>
          <w:color w:val="000000"/>
        </w:rPr>
        <w:t xml:space="preserve"> </w:t>
      </w:r>
      <w:r w:rsidR="005162A1" w:rsidRPr="00804AC7">
        <w:rPr>
          <w:color w:val="000000"/>
        </w:rPr>
        <w:t>narration</w:t>
      </w:r>
      <w:r w:rsidR="00C7268F" w:rsidRPr="00804AC7">
        <w:rPr>
          <w:color w:val="000000"/>
        </w:rPr>
        <w:t>, dont la plupart des passages ne sont parfois même pas traduits.</w:t>
      </w:r>
      <w:r w:rsidR="00C7268F" w:rsidRPr="00804AC7">
        <w:t xml:space="preserve"> Dans le cas de traditions orales, </w:t>
      </w:r>
      <w:r w:rsidR="00C7268F" w:rsidRPr="009F3A9A">
        <w:t xml:space="preserve">des </w:t>
      </w:r>
      <w:r w:rsidR="00574C8C" w:rsidRPr="009F3A9A">
        <w:t xml:space="preserve">traductions de </w:t>
      </w:r>
      <w:r w:rsidR="00C7268F" w:rsidRPr="009F3A9A">
        <w:t>poè</w:t>
      </w:r>
      <w:r w:rsidR="00C7268F" w:rsidRPr="00804AC7">
        <w:t>mes ou des exemples pourraient s’avérer utiles.</w:t>
      </w:r>
    </w:p>
    <w:p w:rsidR="00AE014A" w:rsidRPr="00B46158" w:rsidRDefault="00656DE4" w:rsidP="00B86CF6">
      <w:pPr>
        <w:pStyle w:val="COMPara"/>
        <w:numPr>
          <w:ilvl w:val="0"/>
          <w:numId w:val="2"/>
        </w:numPr>
        <w:ind w:left="567" w:hanging="567"/>
        <w:jc w:val="both"/>
      </w:pPr>
      <w:r w:rsidRPr="00B86CF6">
        <w:rPr>
          <w:b/>
          <w:i/>
        </w:rPr>
        <w:t>Questions liées aux demandes d’assistance internationale</w:t>
      </w:r>
      <w:r w:rsidRPr="00B86CF6">
        <w:rPr>
          <w:b/>
          <w:color w:val="000000"/>
        </w:rPr>
        <w:t>.</w:t>
      </w:r>
      <w:r w:rsidRPr="00B86CF6">
        <w:rPr>
          <w:color w:val="000000"/>
        </w:rPr>
        <w:t xml:space="preserve"> Au cours de ses nombreux échanges à propos des deux demandes d’assistance internationale soumises pour le cycle actuel, l’Organe d’évaluation a décelé un certain nombre de problèmes déjà soulevés par les précédents organes et le Comité, mais aucun point saillant ni suggestion méritant d’être ajouté à la jurisprudence existante. Les remarques et recommandations relatives aux deux demandes sont jointes aux projets de décisions respectifs. L’Organe a été heureux d’être informé par le Secrétariat d’un certain nombre de </w:t>
      </w:r>
      <w:r w:rsidR="00372A1F" w:rsidRPr="00B86CF6">
        <w:rPr>
          <w:color w:val="000000"/>
        </w:rPr>
        <w:t>façons</w:t>
      </w:r>
      <w:r w:rsidRPr="00B86CF6">
        <w:rPr>
          <w:color w:val="000000"/>
        </w:rPr>
        <w:t xml:space="preserve"> </w:t>
      </w:r>
      <w:r w:rsidR="00372A1F" w:rsidRPr="00B86CF6">
        <w:rPr>
          <w:color w:val="000000"/>
        </w:rPr>
        <w:t>dont</w:t>
      </w:r>
      <w:r w:rsidRPr="00B86CF6">
        <w:rPr>
          <w:color w:val="000000"/>
        </w:rPr>
        <w:t xml:space="preserve"> l’assistance internationale pourrait être davantage utilisée par les États parties dans leurs efforts de sauvegarde. En effet, l’article 21 de la Convention offre non seulement la possibilité d’accorder une assistance financière (article 21 [g]), seule exploitée jusqu’à ce jour) mais peut également prendre la forme d’études concernant les différents aspects de la sauvegarde (article 21 [a]), </w:t>
      </w:r>
      <w:r w:rsidR="008D356B" w:rsidRPr="00B86CF6">
        <w:rPr>
          <w:color w:val="000000"/>
        </w:rPr>
        <w:t>de</w:t>
      </w:r>
      <w:r w:rsidRPr="00B86CF6">
        <w:rPr>
          <w:color w:val="000000"/>
        </w:rPr>
        <w:t xml:space="preserve"> mise à disposition d’experts et de praticiens (article 21 [b]), </w:t>
      </w:r>
      <w:r w:rsidR="008D356B" w:rsidRPr="00B86CF6">
        <w:rPr>
          <w:color w:val="000000"/>
        </w:rPr>
        <w:t>de</w:t>
      </w:r>
      <w:r w:rsidRPr="00B86CF6">
        <w:rPr>
          <w:color w:val="000000"/>
        </w:rPr>
        <w:t xml:space="preserve"> formation de tous personnels nécessaires (article 21 [c]), etc. Le Secrétariat devrait clarifier aux États parties ces différentes modalités pour leur permettre de demander l’assistance qu’ils requièrent sous la forme appropriée. D’autres soutiens techniques tels que l’aide-mémoire dédié à l’assistance internationale ou la mise à disposition d’experts déjà en cours pour guider les États parties dans l’élaboration de demandes d’assistance internationale ont </w:t>
      </w:r>
      <w:r w:rsidR="00B46158" w:rsidRPr="00B86CF6">
        <w:rPr>
          <w:color w:val="000000"/>
        </w:rPr>
        <w:t xml:space="preserve">également </w:t>
      </w:r>
      <w:r w:rsidRPr="00B86CF6">
        <w:rPr>
          <w:color w:val="000000"/>
        </w:rPr>
        <w:t xml:space="preserve">été saluées. </w:t>
      </w:r>
    </w:p>
    <w:p w:rsidR="00C7268F" w:rsidRPr="00804AC7" w:rsidRDefault="00C7268F" w:rsidP="009F3A9A">
      <w:pPr>
        <w:pStyle w:val="COMPara"/>
        <w:keepNext/>
        <w:tabs>
          <w:tab w:val="left" w:pos="567"/>
        </w:tabs>
        <w:spacing w:before="360" w:line="480" w:lineRule="auto"/>
        <w:ind w:left="0" w:firstLine="0"/>
        <w:jc w:val="both"/>
        <w:rPr>
          <w:b/>
        </w:rPr>
      </w:pPr>
      <w:r w:rsidRPr="00804AC7">
        <w:rPr>
          <w:b/>
        </w:rPr>
        <w:t>C.</w:t>
      </w:r>
      <w:r w:rsidRPr="00804AC7">
        <w:tab/>
      </w:r>
      <w:r w:rsidRPr="00804AC7">
        <w:rPr>
          <w:b/>
        </w:rPr>
        <w:t>Projet de décision</w:t>
      </w:r>
    </w:p>
    <w:p w:rsidR="00C7268F" w:rsidRPr="00804AC7" w:rsidRDefault="00C7268F" w:rsidP="00B86CF6">
      <w:pPr>
        <w:pStyle w:val="COMPara"/>
        <w:keepNext/>
        <w:keepLines/>
        <w:numPr>
          <w:ilvl w:val="0"/>
          <w:numId w:val="2"/>
        </w:numPr>
        <w:spacing w:line="480" w:lineRule="auto"/>
        <w:ind w:left="567" w:hanging="567"/>
        <w:jc w:val="both"/>
      </w:pPr>
      <w:r w:rsidRPr="00804AC7">
        <w:t xml:space="preserve">Le Comité souhaitera peut-être adopter la décision </w:t>
      </w:r>
      <w:r w:rsidR="005162A1" w:rsidRPr="00804AC7">
        <w:t>suivante </w:t>
      </w:r>
      <w:r w:rsidRPr="00804AC7">
        <w:t>:</w:t>
      </w:r>
    </w:p>
    <w:p w:rsidR="00C7268F" w:rsidRPr="00804AC7" w:rsidRDefault="00C7268F" w:rsidP="00F016A0">
      <w:pPr>
        <w:pStyle w:val="COMTitleDecision"/>
        <w:keepLines/>
        <w:spacing w:before="0"/>
      </w:pPr>
      <w:r w:rsidRPr="00804AC7">
        <w:t xml:space="preserve">PROJET </w:t>
      </w:r>
      <w:r w:rsidRPr="005D4A7E">
        <w:rPr>
          <w:lang w:bidi="en-US"/>
        </w:rPr>
        <w:t>DE</w:t>
      </w:r>
      <w:r w:rsidRPr="00804AC7">
        <w:t xml:space="preserve"> DÉCISION 10.COM 10</w:t>
      </w:r>
    </w:p>
    <w:p w:rsidR="00C7268F" w:rsidRPr="00804AC7" w:rsidRDefault="00C7268F" w:rsidP="00F016A0">
      <w:pPr>
        <w:pStyle w:val="COMPreambulaDecisions"/>
        <w:keepLines/>
      </w:pPr>
      <w:r w:rsidRPr="00804AC7">
        <w:t xml:space="preserve">Le </w:t>
      </w:r>
      <w:r w:rsidRPr="005D4A7E">
        <w:rPr>
          <w:lang w:bidi="en-US"/>
        </w:rPr>
        <w:t>Comité</w:t>
      </w:r>
      <w:r w:rsidRPr="00804AC7">
        <w:t>,</w:t>
      </w:r>
    </w:p>
    <w:p w:rsidR="00944A6D" w:rsidRPr="005D4A7E" w:rsidRDefault="00944A6D" w:rsidP="00F016A0">
      <w:pPr>
        <w:pStyle w:val="COMParaDecision"/>
        <w:keepLines/>
        <w:ind w:left="1134" w:hanging="567"/>
      </w:pPr>
      <w:r w:rsidRPr="005D4A7E">
        <w:t>Rappelant</w:t>
      </w:r>
      <w:r w:rsidRPr="00F016A0">
        <w:rPr>
          <w:u w:val="none"/>
        </w:rPr>
        <w:t xml:space="preserve"> le </w:t>
      </w:r>
      <w:r w:rsidRPr="00F016A0">
        <w:rPr>
          <w:u w:val="none"/>
          <w:lang w:bidi="en-US"/>
        </w:rPr>
        <w:t>chapitre</w:t>
      </w:r>
      <w:r w:rsidRPr="00F016A0">
        <w:rPr>
          <w:u w:val="none"/>
        </w:rPr>
        <w:t xml:space="preserve"> I des Directives opérationnelles</w:t>
      </w:r>
      <w:r w:rsidR="008D1610">
        <w:rPr>
          <w:u w:val="none"/>
        </w:rPr>
        <w:t>,</w:t>
      </w:r>
    </w:p>
    <w:p w:rsidR="00944A6D" w:rsidRPr="005D4A7E" w:rsidRDefault="00944A6D" w:rsidP="00F016A0">
      <w:pPr>
        <w:pStyle w:val="COMParaDecision"/>
        <w:ind w:left="1134" w:hanging="567"/>
      </w:pPr>
      <w:r w:rsidRPr="005D4A7E">
        <w:t>Ayant examiné</w:t>
      </w:r>
      <w:r w:rsidRPr="00F016A0">
        <w:rPr>
          <w:u w:val="none"/>
        </w:rPr>
        <w:t xml:space="preserve"> </w:t>
      </w:r>
      <w:r w:rsidRPr="00F016A0">
        <w:rPr>
          <w:u w:val="none"/>
          <w:lang w:bidi="en-US"/>
        </w:rPr>
        <w:t>les</w:t>
      </w:r>
      <w:r w:rsidRPr="00F016A0">
        <w:rPr>
          <w:u w:val="none"/>
        </w:rPr>
        <w:t xml:space="preserve"> documents ITH/15/10.COM/10, ITH/15/10.COM/10.a, ITH/15/10.COM/10.b et ITH/15/10.COM/10.</w:t>
      </w:r>
      <w:r w:rsidR="00C30ACE" w:rsidRPr="00F016A0">
        <w:rPr>
          <w:u w:val="none"/>
        </w:rPr>
        <w:t xml:space="preserve">c </w:t>
      </w:r>
      <w:r w:rsidRPr="00F016A0">
        <w:rPr>
          <w:u w:val="none"/>
        </w:rPr>
        <w:t xml:space="preserve">et les dossiers présentés par les États parties </w:t>
      </w:r>
      <w:r w:rsidR="00C30ACE" w:rsidRPr="00F016A0">
        <w:rPr>
          <w:u w:val="none"/>
        </w:rPr>
        <w:t>respectifs</w:t>
      </w:r>
      <w:r w:rsidR="008D1610">
        <w:rPr>
          <w:u w:val="none"/>
        </w:rPr>
        <w:t>,</w:t>
      </w:r>
    </w:p>
    <w:p w:rsidR="00944A6D" w:rsidRPr="005D4A7E" w:rsidRDefault="00944A6D" w:rsidP="00F016A0">
      <w:pPr>
        <w:pStyle w:val="COMParaDecision"/>
        <w:ind w:left="1134" w:hanging="567"/>
      </w:pPr>
      <w:r w:rsidRPr="005D4A7E">
        <w:t>Félicite</w:t>
      </w:r>
      <w:r w:rsidRPr="00F016A0">
        <w:rPr>
          <w:u w:val="none"/>
        </w:rPr>
        <w:t xml:space="preserve"> les </w:t>
      </w:r>
      <w:r w:rsidRPr="00F016A0">
        <w:rPr>
          <w:color w:val="000000"/>
          <w:u w:val="none"/>
          <w:lang w:bidi="en-US"/>
        </w:rPr>
        <w:t>États</w:t>
      </w:r>
      <w:r w:rsidRPr="00F016A0">
        <w:rPr>
          <w:u w:val="none"/>
        </w:rPr>
        <w:t xml:space="preserve"> </w:t>
      </w:r>
      <w:r w:rsidR="008216DF" w:rsidRPr="00F016A0">
        <w:rPr>
          <w:u w:val="none"/>
        </w:rPr>
        <w:t xml:space="preserve">soumissionnaires pour </w:t>
      </w:r>
      <w:r w:rsidRPr="00F016A0">
        <w:rPr>
          <w:u w:val="none"/>
        </w:rPr>
        <w:t xml:space="preserve">la diversité du patrimoine culturel immatériel présenté lors de ce cycle et </w:t>
      </w:r>
      <w:r w:rsidRPr="005D4A7E">
        <w:t>félicite en particulier</w:t>
      </w:r>
      <w:r w:rsidRPr="00F016A0">
        <w:rPr>
          <w:u w:val="none"/>
        </w:rPr>
        <w:t xml:space="preserve"> les États </w:t>
      </w:r>
      <w:r w:rsidR="008216DF" w:rsidRPr="00F016A0">
        <w:rPr>
          <w:u w:val="none"/>
        </w:rPr>
        <w:t>soumissionnaires</w:t>
      </w:r>
      <w:r w:rsidRPr="00F016A0">
        <w:rPr>
          <w:u w:val="none"/>
        </w:rPr>
        <w:t xml:space="preserve"> </w:t>
      </w:r>
      <w:r w:rsidR="008216DF" w:rsidRPr="00F016A0">
        <w:rPr>
          <w:u w:val="none"/>
        </w:rPr>
        <w:t xml:space="preserve">ayant présenté des </w:t>
      </w:r>
      <w:r w:rsidRPr="00F016A0">
        <w:rPr>
          <w:u w:val="none"/>
        </w:rPr>
        <w:t>candidatures p</w:t>
      </w:r>
      <w:r w:rsidR="008216DF" w:rsidRPr="00F016A0">
        <w:rPr>
          <w:u w:val="none"/>
        </w:rPr>
        <w:t>o</w:t>
      </w:r>
      <w:r w:rsidRPr="00F016A0">
        <w:rPr>
          <w:u w:val="none"/>
        </w:rPr>
        <w:t>uv</w:t>
      </w:r>
      <w:r w:rsidR="008216DF" w:rsidRPr="00F016A0">
        <w:rPr>
          <w:u w:val="none"/>
        </w:rPr>
        <w:t>a</w:t>
      </w:r>
      <w:r w:rsidRPr="00F016A0">
        <w:rPr>
          <w:u w:val="none"/>
        </w:rPr>
        <w:t xml:space="preserve">nt servir de modèles pour </w:t>
      </w:r>
      <w:r w:rsidR="008216DF" w:rsidRPr="00F016A0">
        <w:rPr>
          <w:u w:val="none"/>
        </w:rPr>
        <w:t xml:space="preserve">des </w:t>
      </w:r>
      <w:r w:rsidRPr="00F016A0">
        <w:rPr>
          <w:u w:val="none"/>
        </w:rPr>
        <w:t>soumissions futures</w:t>
      </w:r>
      <w:r w:rsidR="008216DF" w:rsidRPr="00F016A0">
        <w:rPr>
          <w:u w:val="none"/>
        </w:rPr>
        <w:t> </w:t>
      </w:r>
      <w:r w:rsidRPr="00F016A0">
        <w:rPr>
          <w:u w:val="none"/>
        </w:rPr>
        <w:t>;</w:t>
      </w:r>
    </w:p>
    <w:p w:rsidR="00944A6D" w:rsidRPr="00B86CF6" w:rsidRDefault="00944A6D" w:rsidP="00F016A0">
      <w:pPr>
        <w:pStyle w:val="COMParaDecision"/>
        <w:ind w:left="1134" w:hanging="567"/>
      </w:pPr>
      <w:r w:rsidRPr="005D4A7E">
        <w:t>Exprime sa satisfaction</w:t>
      </w:r>
      <w:r w:rsidRPr="00F016A0">
        <w:rPr>
          <w:u w:val="none"/>
        </w:rPr>
        <w:t xml:space="preserve"> </w:t>
      </w:r>
      <w:r w:rsidR="007877D6" w:rsidRPr="00F016A0">
        <w:rPr>
          <w:u w:val="none"/>
        </w:rPr>
        <w:t xml:space="preserve">concernant </w:t>
      </w:r>
      <w:r w:rsidRPr="00F016A0">
        <w:rPr>
          <w:u w:val="none"/>
        </w:rPr>
        <w:t xml:space="preserve">le travail de </w:t>
      </w:r>
      <w:r w:rsidR="0023538C" w:rsidRPr="00F016A0">
        <w:rPr>
          <w:u w:val="none"/>
        </w:rPr>
        <w:t>l</w:t>
      </w:r>
      <w:r w:rsidR="0023538C">
        <w:rPr>
          <w:u w:val="none"/>
        </w:rPr>
        <w:t>’</w:t>
      </w:r>
      <w:r w:rsidR="0023538C" w:rsidRPr="00F016A0">
        <w:rPr>
          <w:u w:val="none"/>
        </w:rPr>
        <w:t xml:space="preserve">Organe </w:t>
      </w:r>
      <w:r w:rsidR="009D1C79" w:rsidRPr="00F016A0">
        <w:rPr>
          <w:u w:val="none"/>
        </w:rPr>
        <w:t xml:space="preserve">d’évaluation </w:t>
      </w:r>
      <w:r w:rsidRPr="00F016A0">
        <w:rPr>
          <w:u w:val="none"/>
        </w:rPr>
        <w:t xml:space="preserve">nouvellement créé </w:t>
      </w:r>
      <w:r w:rsidR="007877D6" w:rsidRPr="00F016A0">
        <w:rPr>
          <w:u w:val="none"/>
        </w:rPr>
        <w:t>en tant qu’</w:t>
      </w:r>
      <w:r w:rsidRPr="00F016A0">
        <w:rPr>
          <w:u w:val="none"/>
        </w:rPr>
        <w:t>orga</w:t>
      </w:r>
      <w:r w:rsidR="007877D6" w:rsidRPr="00F016A0">
        <w:rPr>
          <w:u w:val="none"/>
        </w:rPr>
        <w:t>n</w:t>
      </w:r>
      <w:r w:rsidRPr="00F016A0">
        <w:rPr>
          <w:u w:val="none"/>
        </w:rPr>
        <w:t>e unique qui permet une plus grande cohérence et uniformité dans l</w:t>
      </w:r>
      <w:r w:rsidR="009D1C79" w:rsidRPr="00F016A0">
        <w:rPr>
          <w:u w:val="none"/>
        </w:rPr>
        <w:t>’</w:t>
      </w:r>
      <w:r w:rsidRPr="00F016A0">
        <w:rPr>
          <w:u w:val="none"/>
        </w:rPr>
        <w:t>évaluation entre les différents mécanismes de la Convention</w:t>
      </w:r>
      <w:r w:rsidR="007877D6" w:rsidRPr="00F016A0">
        <w:rPr>
          <w:u w:val="none"/>
        </w:rPr>
        <w:t>,</w:t>
      </w:r>
      <w:r w:rsidRPr="00F016A0">
        <w:rPr>
          <w:u w:val="none"/>
        </w:rPr>
        <w:t xml:space="preserve"> et </w:t>
      </w:r>
      <w:r w:rsidR="00023EB2">
        <w:t>remercie</w:t>
      </w:r>
      <w:r w:rsidR="00023EB2" w:rsidRPr="00F016A0">
        <w:rPr>
          <w:u w:val="none"/>
        </w:rPr>
        <w:t xml:space="preserve"> </w:t>
      </w:r>
      <w:r w:rsidRPr="00F016A0">
        <w:rPr>
          <w:u w:val="none"/>
        </w:rPr>
        <w:t>ses membres pour leurs efforts et pour la qualité du présent rapport</w:t>
      </w:r>
      <w:r w:rsidR="007877D6" w:rsidRPr="00F016A0">
        <w:rPr>
          <w:u w:val="none"/>
        </w:rPr>
        <w:t> </w:t>
      </w:r>
      <w:r w:rsidRPr="00F016A0">
        <w:rPr>
          <w:u w:val="none"/>
        </w:rPr>
        <w:t>;</w:t>
      </w:r>
    </w:p>
    <w:p w:rsidR="00030147" w:rsidRPr="00B86CF6" w:rsidRDefault="00593507" w:rsidP="00F016A0">
      <w:pPr>
        <w:pStyle w:val="COMParaDecision"/>
        <w:ind w:left="1134" w:hanging="567"/>
        <w:rPr>
          <w:u w:val="none"/>
        </w:rPr>
      </w:pPr>
      <w:r>
        <w:t>Apprécie</w:t>
      </w:r>
      <w:r w:rsidR="00656DE4" w:rsidRPr="00B86CF6">
        <w:rPr>
          <w:u w:val="none"/>
        </w:rPr>
        <w:t xml:space="preserve"> l’assistance </w:t>
      </w:r>
      <w:r>
        <w:rPr>
          <w:u w:val="none"/>
        </w:rPr>
        <w:t>du Secrétariat</w:t>
      </w:r>
      <w:r w:rsidR="00656DE4" w:rsidRPr="00B86CF6">
        <w:rPr>
          <w:u w:val="none"/>
        </w:rPr>
        <w:t xml:space="preserve"> lors des travaux de l’Organe d’évaluation ;</w:t>
      </w:r>
    </w:p>
    <w:p w:rsidR="00944A6D" w:rsidRPr="005D4A7E" w:rsidRDefault="00944A6D" w:rsidP="00F016A0">
      <w:pPr>
        <w:pStyle w:val="COMParaDecision"/>
        <w:ind w:left="1134" w:hanging="567"/>
      </w:pPr>
      <w:r w:rsidRPr="005D4A7E">
        <w:t>Réitère sa préoccupation</w:t>
      </w:r>
      <w:r w:rsidRPr="00F016A0">
        <w:rPr>
          <w:u w:val="none"/>
        </w:rPr>
        <w:t xml:space="preserve"> </w:t>
      </w:r>
      <w:r w:rsidR="007877D6" w:rsidRPr="00F016A0">
        <w:rPr>
          <w:u w:val="none"/>
        </w:rPr>
        <w:t xml:space="preserve">concernant </w:t>
      </w:r>
      <w:r w:rsidRPr="00F016A0">
        <w:rPr>
          <w:u w:val="none"/>
        </w:rPr>
        <w:t xml:space="preserve">le nombre de </w:t>
      </w:r>
      <w:r w:rsidR="007877D6" w:rsidRPr="00F016A0">
        <w:rPr>
          <w:u w:val="none"/>
        </w:rPr>
        <w:t xml:space="preserve">candidatures pour </w:t>
      </w:r>
      <w:r w:rsidRPr="00F016A0">
        <w:rPr>
          <w:u w:val="none"/>
        </w:rPr>
        <w:t xml:space="preserve">inscription sur la Liste du patrimoine culturel immatériel nécessitant une sauvegarde urgente, </w:t>
      </w:r>
      <w:r w:rsidR="007877D6" w:rsidRPr="00F016A0">
        <w:rPr>
          <w:u w:val="none"/>
        </w:rPr>
        <w:t xml:space="preserve">de </w:t>
      </w:r>
      <w:r w:rsidRPr="00F016A0">
        <w:rPr>
          <w:u w:val="none"/>
        </w:rPr>
        <w:t>proposition</w:t>
      </w:r>
      <w:r w:rsidR="007877D6" w:rsidRPr="00F016A0">
        <w:rPr>
          <w:u w:val="none"/>
        </w:rPr>
        <w:t>s</w:t>
      </w:r>
      <w:r w:rsidRPr="00F016A0">
        <w:rPr>
          <w:u w:val="none"/>
        </w:rPr>
        <w:t xml:space="preserve"> au Registre des meilleures pratiques de sauvegarde et </w:t>
      </w:r>
      <w:r w:rsidR="007877D6" w:rsidRPr="00F016A0">
        <w:rPr>
          <w:u w:val="none"/>
        </w:rPr>
        <w:t xml:space="preserve">de </w:t>
      </w:r>
      <w:r w:rsidRPr="00F016A0">
        <w:rPr>
          <w:u w:val="none"/>
        </w:rPr>
        <w:t>demandes d'assistance internationale</w:t>
      </w:r>
      <w:r w:rsidR="007877D6" w:rsidRPr="00F016A0">
        <w:rPr>
          <w:u w:val="none"/>
        </w:rPr>
        <w:t>, qui reste</w:t>
      </w:r>
      <w:r w:rsidRPr="00F016A0">
        <w:rPr>
          <w:u w:val="none"/>
        </w:rPr>
        <w:t xml:space="preserve"> limité</w:t>
      </w:r>
      <w:r w:rsidR="007877D6" w:rsidRPr="00F016A0">
        <w:rPr>
          <w:u w:val="none"/>
        </w:rPr>
        <w:t> </w:t>
      </w:r>
      <w:r w:rsidRPr="00F016A0">
        <w:rPr>
          <w:u w:val="none"/>
        </w:rPr>
        <w:t>;</w:t>
      </w:r>
    </w:p>
    <w:p w:rsidR="00B1676C" w:rsidRPr="00B86CF6" w:rsidRDefault="00656DE4" w:rsidP="00F016A0">
      <w:pPr>
        <w:pStyle w:val="COMParaDecision"/>
        <w:ind w:left="1134" w:hanging="567"/>
      </w:pPr>
      <w:r w:rsidRPr="00B86CF6">
        <w:t>Invite</w:t>
      </w:r>
      <w:r w:rsidRPr="00B86CF6">
        <w:rPr>
          <w:u w:val="none"/>
        </w:rPr>
        <w:t xml:space="preserve"> les États parties à accorder une attention particulière aux différents objectifs des listes et aux critères associés lors de l’élaboration des candidatures ;</w:t>
      </w:r>
    </w:p>
    <w:p w:rsidR="00ED715B" w:rsidRPr="00B86CF6" w:rsidRDefault="00656DE4" w:rsidP="00F016A0">
      <w:pPr>
        <w:pStyle w:val="COMParaDecision"/>
        <w:ind w:left="1134" w:hanging="567"/>
      </w:pPr>
      <w:r w:rsidRPr="00B86CF6">
        <w:t>Rappelle</w:t>
      </w:r>
      <w:r w:rsidRPr="00B86CF6">
        <w:rPr>
          <w:u w:val="none"/>
        </w:rPr>
        <w:t xml:space="preserve"> que l’objectif de la Liste représentative est d’assurer une meilleure visibilité du patrimoine culturel immatériel en général</w:t>
      </w:r>
      <w:r w:rsidR="00B46158" w:rsidRPr="00B86CF6">
        <w:rPr>
          <w:u w:val="none"/>
        </w:rPr>
        <w:t xml:space="preserve">, de </w:t>
      </w:r>
      <w:r w:rsidRPr="00B86CF6">
        <w:rPr>
          <w:u w:val="none"/>
        </w:rPr>
        <w:t xml:space="preserve">faire prendre davantage conscience de son importance et </w:t>
      </w:r>
      <w:r w:rsidR="00B46158" w:rsidRPr="00B86CF6">
        <w:rPr>
          <w:u w:val="none"/>
        </w:rPr>
        <w:t xml:space="preserve">de </w:t>
      </w:r>
      <w:r w:rsidRPr="00B86CF6">
        <w:rPr>
          <w:u w:val="none"/>
        </w:rPr>
        <w:t>favoriser le dialogue dans le respect de la diversité culturelle</w:t>
      </w:r>
      <w:r w:rsidR="0023538C" w:rsidRPr="00B86CF6">
        <w:rPr>
          <w:u w:val="none"/>
        </w:rPr>
        <w:t> ;</w:t>
      </w:r>
      <w:r w:rsidRPr="00B86CF6">
        <w:rPr>
          <w:u w:val="none"/>
        </w:rPr>
        <w:t xml:space="preserve"> </w:t>
      </w:r>
      <w:r w:rsidR="00030147" w:rsidRPr="00B86CF6">
        <w:rPr>
          <w:u w:val="none"/>
        </w:rPr>
        <w:t xml:space="preserve">par conséquent, il </w:t>
      </w:r>
      <w:r w:rsidR="00023EB2">
        <w:t>encourage</w:t>
      </w:r>
      <w:r w:rsidR="00023EB2" w:rsidRPr="00B86CF6">
        <w:rPr>
          <w:u w:val="none"/>
        </w:rPr>
        <w:t xml:space="preserve"> </w:t>
      </w:r>
      <w:r w:rsidR="00030147" w:rsidRPr="00B86CF6">
        <w:rPr>
          <w:u w:val="none"/>
        </w:rPr>
        <w:t xml:space="preserve">les États parties, </w:t>
      </w:r>
      <w:r w:rsidR="00CD45E5" w:rsidRPr="00B86CF6">
        <w:rPr>
          <w:u w:val="none"/>
        </w:rPr>
        <w:t>lorsqu’ils répondent au critère</w:t>
      </w:r>
      <w:r w:rsidR="00030147" w:rsidRPr="00B86CF6">
        <w:rPr>
          <w:u w:val="none"/>
        </w:rPr>
        <w:t xml:space="preserve"> R.2, d’expliciter</w:t>
      </w:r>
      <w:r w:rsidR="008453DD" w:rsidRPr="00B86CF6">
        <w:rPr>
          <w:u w:val="none"/>
        </w:rPr>
        <w:t xml:space="preserve"> clairement, parmi</w:t>
      </w:r>
      <w:r w:rsidR="00030147" w:rsidRPr="00B86CF6">
        <w:rPr>
          <w:u w:val="none"/>
        </w:rPr>
        <w:t xml:space="preserve"> </w:t>
      </w:r>
      <w:r w:rsidR="00ED715B" w:rsidRPr="00B86CF6">
        <w:rPr>
          <w:u w:val="none"/>
        </w:rPr>
        <w:t xml:space="preserve">les </w:t>
      </w:r>
      <w:r w:rsidR="008453DD" w:rsidRPr="00B86CF6">
        <w:rPr>
          <w:u w:val="none"/>
        </w:rPr>
        <w:t xml:space="preserve">éventuelles </w:t>
      </w:r>
      <w:r w:rsidR="00ED715B" w:rsidRPr="00B86CF6">
        <w:rPr>
          <w:u w:val="none"/>
        </w:rPr>
        <w:t>conséquences d’une inscription</w:t>
      </w:r>
      <w:r w:rsidR="008453DD" w:rsidRPr="00B86CF6">
        <w:rPr>
          <w:u w:val="none"/>
        </w:rPr>
        <w:t>, celles</w:t>
      </w:r>
      <w:r w:rsidR="00ED715B" w:rsidRPr="00B86CF6">
        <w:rPr>
          <w:u w:val="none"/>
        </w:rPr>
        <w:t xml:space="preserve"> qui sont en lien avec </w:t>
      </w:r>
      <w:r w:rsidR="008453DD" w:rsidRPr="00B86CF6">
        <w:rPr>
          <w:u w:val="none"/>
        </w:rPr>
        <w:t>cet objectif général</w:t>
      </w:r>
      <w:r w:rsidR="00ED715B" w:rsidRPr="00B86CF6">
        <w:rPr>
          <w:u w:val="none"/>
        </w:rPr>
        <w:t xml:space="preserve"> de la Liste</w:t>
      </w:r>
      <w:r w:rsidR="00B46158" w:rsidRPr="00B86CF6">
        <w:rPr>
          <w:u w:val="none"/>
        </w:rPr>
        <w:t>,</w:t>
      </w:r>
      <w:r w:rsidR="00ED715B" w:rsidRPr="00B86CF6">
        <w:rPr>
          <w:u w:val="none"/>
        </w:rPr>
        <w:t xml:space="preserve"> </w:t>
      </w:r>
      <w:r w:rsidR="008453DD" w:rsidRPr="00B86CF6">
        <w:rPr>
          <w:u w:val="none"/>
        </w:rPr>
        <w:t xml:space="preserve">tout en s’assurant que </w:t>
      </w:r>
      <w:r w:rsidR="00ED715B" w:rsidRPr="00B86CF6">
        <w:rPr>
          <w:u w:val="none"/>
        </w:rPr>
        <w:t xml:space="preserve">les réponses aux autres critères </w:t>
      </w:r>
      <w:r w:rsidR="008453DD" w:rsidRPr="00B86CF6">
        <w:rPr>
          <w:u w:val="none"/>
        </w:rPr>
        <w:t xml:space="preserve">viennent </w:t>
      </w:r>
      <w:r w:rsidR="00B46158">
        <w:rPr>
          <w:u w:val="none"/>
        </w:rPr>
        <w:t>appuyer</w:t>
      </w:r>
      <w:r w:rsidR="008453DD" w:rsidRPr="00B86CF6">
        <w:rPr>
          <w:u w:val="none"/>
        </w:rPr>
        <w:t xml:space="preserve"> ces informations ;</w:t>
      </w:r>
    </w:p>
    <w:p w:rsidR="00B1676C" w:rsidRPr="00B86CF6" w:rsidRDefault="00656DE4" w:rsidP="00F016A0">
      <w:pPr>
        <w:pStyle w:val="COMParaDecision"/>
        <w:ind w:left="1134" w:hanging="567"/>
        <w:rPr>
          <w:u w:val="none"/>
        </w:rPr>
      </w:pPr>
      <w:r w:rsidRPr="00B86CF6">
        <w:t>Rappelle en outre</w:t>
      </w:r>
      <w:r w:rsidRPr="00B86CF6">
        <w:rPr>
          <w:u w:val="none"/>
        </w:rPr>
        <w:t xml:space="preserve"> que la Liste de sauvegarde urgente offre une reconnaissance internationale </w:t>
      </w:r>
      <w:r w:rsidR="008453DD" w:rsidRPr="00B86CF6">
        <w:rPr>
          <w:u w:val="none"/>
        </w:rPr>
        <w:t>aux</w:t>
      </w:r>
      <w:r w:rsidRPr="00B86CF6">
        <w:rPr>
          <w:u w:val="none"/>
        </w:rPr>
        <w:t xml:space="preserve"> menaces spécifiques qui pèsent sur la viabilité d’un élément, et doit être accompagnée d’un plan de sauvegarde bien élaboré qui répond</w:t>
      </w:r>
      <w:r w:rsidR="00ED303D" w:rsidRPr="00B86CF6">
        <w:rPr>
          <w:u w:val="none"/>
        </w:rPr>
        <w:t>e</w:t>
      </w:r>
      <w:r w:rsidRPr="00B86CF6">
        <w:rPr>
          <w:u w:val="none"/>
        </w:rPr>
        <w:t xml:space="preserve"> adéquatement à ces menaces</w:t>
      </w:r>
      <w:r w:rsidR="00030147" w:rsidRPr="00B86CF6">
        <w:rPr>
          <w:u w:val="none"/>
        </w:rPr>
        <w:t xml:space="preserve"> </w:t>
      </w:r>
      <w:r w:rsidR="00ED303D" w:rsidRPr="00B86CF6">
        <w:rPr>
          <w:u w:val="none"/>
        </w:rPr>
        <w:t xml:space="preserve">sur </w:t>
      </w:r>
      <w:r w:rsidRPr="00B86CF6">
        <w:rPr>
          <w:u w:val="none"/>
        </w:rPr>
        <w:t xml:space="preserve">une certaine période de temps après </w:t>
      </w:r>
      <w:r w:rsidR="00515619" w:rsidRPr="00B86CF6">
        <w:rPr>
          <w:u w:val="none"/>
        </w:rPr>
        <w:t>l</w:t>
      </w:r>
      <w:r w:rsidRPr="00B86CF6">
        <w:rPr>
          <w:u w:val="none"/>
        </w:rPr>
        <w:t>’inscription ;</w:t>
      </w:r>
    </w:p>
    <w:p w:rsidR="00944A6D" w:rsidRPr="005D4A7E" w:rsidRDefault="00944A6D" w:rsidP="00F016A0">
      <w:pPr>
        <w:pStyle w:val="COMParaDecision"/>
        <w:ind w:left="1134" w:hanging="567"/>
      </w:pPr>
      <w:r w:rsidRPr="005D4A7E">
        <w:t>Prie</w:t>
      </w:r>
      <w:r w:rsidRPr="00F016A0">
        <w:rPr>
          <w:u w:val="none"/>
        </w:rPr>
        <w:t xml:space="preserve"> le Secrétariat, conformément à la décision 8.</w:t>
      </w:r>
      <w:r w:rsidR="006C40F6" w:rsidRPr="00F016A0">
        <w:rPr>
          <w:u w:val="none"/>
        </w:rPr>
        <w:t>COM</w:t>
      </w:r>
      <w:r w:rsidR="006C40F6">
        <w:rPr>
          <w:u w:val="none"/>
        </w:rPr>
        <w:t> </w:t>
      </w:r>
      <w:r w:rsidRPr="00F016A0">
        <w:rPr>
          <w:u w:val="none"/>
        </w:rPr>
        <w:t>5.c.1, de développer d</w:t>
      </w:r>
      <w:r w:rsidR="008179AC" w:rsidRPr="00F016A0">
        <w:rPr>
          <w:u w:val="none"/>
        </w:rPr>
        <w:t>’</w:t>
      </w:r>
      <w:r w:rsidR="0043700C" w:rsidRPr="00F016A0">
        <w:rPr>
          <w:u w:val="none"/>
        </w:rPr>
        <w:t xml:space="preserve">autres </w:t>
      </w:r>
      <w:r w:rsidRPr="00F016A0">
        <w:rPr>
          <w:u w:val="none"/>
        </w:rPr>
        <w:t xml:space="preserve">moyens </w:t>
      </w:r>
      <w:r w:rsidR="00023EB2">
        <w:rPr>
          <w:u w:val="none"/>
        </w:rPr>
        <w:t xml:space="preserve">alternatifs </w:t>
      </w:r>
      <w:r w:rsidRPr="00F016A0">
        <w:rPr>
          <w:u w:val="none"/>
        </w:rPr>
        <w:t xml:space="preserve">plus légers </w:t>
      </w:r>
      <w:r w:rsidR="0043700C" w:rsidRPr="00F016A0">
        <w:rPr>
          <w:u w:val="none"/>
        </w:rPr>
        <w:t>pour</w:t>
      </w:r>
      <w:r w:rsidRPr="00F016A0">
        <w:rPr>
          <w:u w:val="none"/>
        </w:rPr>
        <w:t xml:space="preserve"> </w:t>
      </w:r>
      <w:r w:rsidRPr="00F016A0">
        <w:rPr>
          <w:u w:val="none"/>
          <w:lang w:bidi="en-US"/>
        </w:rPr>
        <w:t>partage</w:t>
      </w:r>
      <w:r w:rsidR="0043700C" w:rsidRPr="00F016A0">
        <w:rPr>
          <w:u w:val="none"/>
          <w:lang w:bidi="en-US"/>
        </w:rPr>
        <w:t>r les</w:t>
      </w:r>
      <w:r w:rsidRPr="00F016A0">
        <w:rPr>
          <w:u w:val="none"/>
        </w:rPr>
        <w:t xml:space="preserve"> </w:t>
      </w:r>
      <w:r w:rsidR="00F21573" w:rsidRPr="00F016A0">
        <w:rPr>
          <w:u w:val="none"/>
        </w:rPr>
        <w:t xml:space="preserve">expériences </w:t>
      </w:r>
      <w:r w:rsidRPr="00F016A0">
        <w:rPr>
          <w:u w:val="none"/>
        </w:rPr>
        <w:t xml:space="preserve">de sauvegarde </w:t>
      </w:r>
      <w:r w:rsidR="00ED303D">
        <w:rPr>
          <w:u w:val="none"/>
        </w:rPr>
        <w:t>afin de</w:t>
      </w:r>
      <w:r w:rsidR="00ED303D" w:rsidRPr="00F016A0">
        <w:rPr>
          <w:u w:val="none"/>
        </w:rPr>
        <w:t xml:space="preserve"> </w:t>
      </w:r>
      <w:r w:rsidRPr="00F016A0">
        <w:rPr>
          <w:u w:val="none"/>
        </w:rPr>
        <w:t>compléter le Registre des meilleures pratiques de sauvegarde</w:t>
      </w:r>
      <w:r w:rsidR="0043700C" w:rsidRPr="00F016A0">
        <w:rPr>
          <w:u w:val="none"/>
        </w:rPr>
        <w:t> </w:t>
      </w:r>
      <w:r w:rsidRPr="00F016A0">
        <w:rPr>
          <w:u w:val="none"/>
        </w:rPr>
        <w:t>;</w:t>
      </w:r>
    </w:p>
    <w:p w:rsidR="00944A6D" w:rsidRPr="00EA1F92" w:rsidRDefault="0023538C" w:rsidP="00F016A0">
      <w:pPr>
        <w:pStyle w:val="COMParaDecision"/>
        <w:ind w:left="1134" w:hanging="567"/>
      </w:pPr>
      <w:r w:rsidRPr="00EA1F92">
        <w:t>Note avec appréciation</w:t>
      </w:r>
      <w:r w:rsidRPr="00EA1F92">
        <w:rPr>
          <w:u w:val="none"/>
        </w:rPr>
        <w:t xml:space="preserve"> </w:t>
      </w:r>
      <w:r w:rsidR="00944A6D" w:rsidRPr="00EA1F92">
        <w:rPr>
          <w:u w:val="none"/>
        </w:rPr>
        <w:t>l</w:t>
      </w:r>
      <w:r w:rsidRPr="00EA1F92">
        <w:rPr>
          <w:u w:val="none"/>
        </w:rPr>
        <w:t xml:space="preserve">e travail accompli </w:t>
      </w:r>
      <w:r w:rsidR="0043700C" w:rsidRPr="00EA1F92">
        <w:rPr>
          <w:u w:val="none"/>
        </w:rPr>
        <w:t xml:space="preserve">par le Secrétariat </w:t>
      </w:r>
      <w:r w:rsidRPr="00EA1F92">
        <w:rPr>
          <w:u w:val="none"/>
        </w:rPr>
        <w:t xml:space="preserve">pour compiler </w:t>
      </w:r>
      <w:r w:rsidR="00944A6D" w:rsidRPr="00EA1F92">
        <w:rPr>
          <w:u w:val="none"/>
        </w:rPr>
        <w:t xml:space="preserve">un </w:t>
      </w:r>
      <w:r w:rsidR="00F21573" w:rsidRPr="00EA1F92">
        <w:rPr>
          <w:u w:val="none"/>
        </w:rPr>
        <w:t xml:space="preserve">nouvel </w:t>
      </w:r>
      <w:r w:rsidR="00023EB2">
        <w:rPr>
          <w:u w:val="none"/>
        </w:rPr>
        <w:t>a</w:t>
      </w:r>
      <w:r w:rsidR="00944A6D" w:rsidRPr="00EA1F92">
        <w:rPr>
          <w:u w:val="none"/>
        </w:rPr>
        <w:t xml:space="preserve">ide-mémoire pour </w:t>
      </w:r>
      <w:r w:rsidR="008179AC" w:rsidRPr="00EA1F92">
        <w:rPr>
          <w:u w:val="none"/>
        </w:rPr>
        <w:t xml:space="preserve">l’assistance </w:t>
      </w:r>
      <w:r w:rsidR="00944A6D" w:rsidRPr="00EA1F92">
        <w:rPr>
          <w:u w:val="none"/>
        </w:rPr>
        <w:t xml:space="preserve">internationale rendant accessibles les questions abordées par les </w:t>
      </w:r>
      <w:r w:rsidR="00F21573" w:rsidRPr="00EA1F92">
        <w:rPr>
          <w:u w:val="none"/>
        </w:rPr>
        <w:t xml:space="preserve">organes précédents </w:t>
      </w:r>
      <w:r w:rsidR="00944A6D" w:rsidRPr="00EA1F92">
        <w:rPr>
          <w:u w:val="none"/>
        </w:rPr>
        <w:t xml:space="preserve">et le Comité et </w:t>
      </w:r>
      <w:r w:rsidR="00F21573" w:rsidRPr="00EA1F92">
        <w:rPr>
          <w:u w:val="none"/>
        </w:rPr>
        <w:t xml:space="preserve">les </w:t>
      </w:r>
      <w:r w:rsidR="00944A6D" w:rsidRPr="00EA1F92">
        <w:rPr>
          <w:u w:val="none"/>
        </w:rPr>
        <w:t xml:space="preserve">décisions connexes, et </w:t>
      </w:r>
      <w:r w:rsidR="00656DE4" w:rsidRPr="00B86CF6">
        <w:t>renouvelle</w:t>
      </w:r>
      <w:r w:rsidR="00944A6D" w:rsidRPr="00EA1F92">
        <w:rPr>
          <w:u w:val="none"/>
        </w:rPr>
        <w:t xml:space="preserve"> son invitation aux </w:t>
      </w:r>
      <w:r w:rsidR="008179AC" w:rsidRPr="00EA1F92">
        <w:rPr>
          <w:u w:val="none"/>
        </w:rPr>
        <w:t>É</w:t>
      </w:r>
      <w:r w:rsidR="00944A6D" w:rsidRPr="00EA1F92">
        <w:rPr>
          <w:u w:val="none"/>
        </w:rPr>
        <w:t xml:space="preserve">tats parties </w:t>
      </w:r>
      <w:r w:rsidR="0043700C" w:rsidRPr="00EA1F92">
        <w:rPr>
          <w:u w:val="none"/>
        </w:rPr>
        <w:t>de</w:t>
      </w:r>
      <w:r w:rsidR="00944A6D" w:rsidRPr="00EA1F92">
        <w:rPr>
          <w:u w:val="none"/>
        </w:rPr>
        <w:t xml:space="preserve"> profiter pleinement des trois aide-mémoire </w:t>
      </w:r>
      <w:r w:rsidR="00F21573" w:rsidRPr="00EA1F92">
        <w:rPr>
          <w:u w:val="none"/>
        </w:rPr>
        <w:t xml:space="preserve">existants </w:t>
      </w:r>
      <w:r w:rsidR="00944A6D" w:rsidRPr="00EA1F92">
        <w:rPr>
          <w:u w:val="none"/>
        </w:rPr>
        <w:t xml:space="preserve">lors de la préparation </w:t>
      </w:r>
      <w:r w:rsidR="00F21573" w:rsidRPr="00EA1F92">
        <w:rPr>
          <w:u w:val="none"/>
        </w:rPr>
        <w:t xml:space="preserve">de </w:t>
      </w:r>
      <w:r w:rsidR="00944A6D" w:rsidRPr="00EA1F92">
        <w:rPr>
          <w:u w:val="none"/>
        </w:rPr>
        <w:t>soumissions futures</w:t>
      </w:r>
      <w:r w:rsidR="0043700C" w:rsidRPr="00EA1F92">
        <w:rPr>
          <w:u w:val="none"/>
        </w:rPr>
        <w:t> </w:t>
      </w:r>
      <w:r w:rsidR="00944A6D" w:rsidRPr="00EA1F92">
        <w:rPr>
          <w:u w:val="none"/>
        </w:rPr>
        <w:t>;</w:t>
      </w:r>
    </w:p>
    <w:p w:rsidR="00944A6D" w:rsidRPr="00B86CF6" w:rsidRDefault="00944A6D" w:rsidP="00F016A0">
      <w:pPr>
        <w:pStyle w:val="COMParaDecision"/>
        <w:ind w:left="1134" w:hanging="567"/>
      </w:pPr>
      <w:r w:rsidRPr="005D4A7E">
        <w:t>Prend note</w:t>
      </w:r>
      <w:r w:rsidRPr="00F016A0">
        <w:rPr>
          <w:u w:val="none"/>
        </w:rPr>
        <w:t xml:space="preserve"> que la question de la description adéquate des contours de la communauté persiste, en particulier lorsque les </w:t>
      </w:r>
      <w:r w:rsidR="0043700C" w:rsidRPr="00F016A0">
        <w:rPr>
          <w:u w:val="none"/>
        </w:rPr>
        <w:t xml:space="preserve">candidatures </w:t>
      </w:r>
      <w:r w:rsidRPr="00F016A0">
        <w:rPr>
          <w:u w:val="none"/>
        </w:rPr>
        <w:t xml:space="preserve">couvrent à la fois un pays </w:t>
      </w:r>
      <w:r w:rsidR="00EB30AD" w:rsidRPr="00F016A0">
        <w:rPr>
          <w:u w:val="none"/>
        </w:rPr>
        <w:t xml:space="preserve">entier </w:t>
      </w:r>
      <w:r w:rsidRPr="00F016A0">
        <w:rPr>
          <w:u w:val="none"/>
        </w:rPr>
        <w:t xml:space="preserve">ou de nombreux sous-groupes, mais aussi quand </w:t>
      </w:r>
      <w:r w:rsidR="00EB30AD" w:rsidRPr="00F016A0">
        <w:rPr>
          <w:u w:val="none"/>
        </w:rPr>
        <w:t>elles</w:t>
      </w:r>
      <w:r w:rsidRPr="00F016A0">
        <w:rPr>
          <w:u w:val="none"/>
        </w:rPr>
        <w:t xml:space="preserve"> concernent une partie de la communauté, et </w:t>
      </w:r>
      <w:r w:rsidRPr="005D4A7E">
        <w:t>rappelle</w:t>
      </w:r>
      <w:r w:rsidRPr="00F016A0">
        <w:rPr>
          <w:u w:val="none"/>
        </w:rPr>
        <w:t xml:space="preserve"> aux États parties l</w:t>
      </w:r>
      <w:r w:rsidR="00A51409" w:rsidRPr="00F016A0">
        <w:rPr>
          <w:u w:val="none"/>
        </w:rPr>
        <w:t>’</w:t>
      </w:r>
      <w:r w:rsidRPr="00F016A0">
        <w:rPr>
          <w:u w:val="none"/>
        </w:rPr>
        <w:t xml:space="preserve">importance de fournir une description suffisamment détaillée et complète des communautés, groupes ou, le cas échéant, des individus concernés et </w:t>
      </w:r>
      <w:r w:rsidR="00A51409" w:rsidRPr="00F016A0">
        <w:rPr>
          <w:u w:val="none"/>
        </w:rPr>
        <w:t xml:space="preserve">de </w:t>
      </w:r>
      <w:r w:rsidRPr="00F016A0">
        <w:rPr>
          <w:u w:val="none"/>
        </w:rPr>
        <w:t>leur participation à l</w:t>
      </w:r>
      <w:r w:rsidR="008179AC" w:rsidRPr="00F016A0">
        <w:rPr>
          <w:u w:val="none"/>
        </w:rPr>
        <w:t>’</w:t>
      </w:r>
      <w:r w:rsidRPr="00F016A0">
        <w:rPr>
          <w:u w:val="none"/>
        </w:rPr>
        <w:t>élaboration de la candidature</w:t>
      </w:r>
      <w:r w:rsidR="00EB30AD" w:rsidRPr="00F016A0">
        <w:rPr>
          <w:u w:val="none"/>
        </w:rPr>
        <w:t>,</w:t>
      </w:r>
      <w:r w:rsidRPr="00F016A0">
        <w:rPr>
          <w:u w:val="none"/>
        </w:rPr>
        <w:t xml:space="preserve"> et </w:t>
      </w:r>
      <w:r w:rsidR="00EB30AD" w:rsidRPr="00F016A0">
        <w:rPr>
          <w:u w:val="none"/>
        </w:rPr>
        <w:t>d</w:t>
      </w:r>
      <w:r w:rsidR="008179AC" w:rsidRPr="00F016A0">
        <w:rPr>
          <w:u w:val="none"/>
        </w:rPr>
        <w:t>’</w:t>
      </w:r>
      <w:r w:rsidRPr="00F016A0">
        <w:rPr>
          <w:u w:val="none"/>
        </w:rPr>
        <w:t xml:space="preserve">être </w:t>
      </w:r>
      <w:r w:rsidR="00EB30AD" w:rsidRPr="00F016A0">
        <w:rPr>
          <w:u w:val="none"/>
        </w:rPr>
        <w:t>cohérents à cet égard tout au long de la candidature </w:t>
      </w:r>
      <w:r w:rsidRPr="00F016A0">
        <w:rPr>
          <w:u w:val="none"/>
        </w:rPr>
        <w:t>;</w:t>
      </w:r>
    </w:p>
    <w:p w:rsidR="000012FB" w:rsidRPr="005D4A7E" w:rsidRDefault="000012FB" w:rsidP="00F016A0">
      <w:pPr>
        <w:pStyle w:val="COMParaDecision"/>
        <w:ind w:left="1134" w:hanging="567"/>
      </w:pPr>
      <w:r>
        <w:t>Rappelle en outre</w:t>
      </w:r>
      <w:r w:rsidR="00656DE4" w:rsidRPr="00B86CF6">
        <w:rPr>
          <w:u w:val="none"/>
        </w:rPr>
        <w:t xml:space="preserve"> aux </w:t>
      </w:r>
      <w:r w:rsidRPr="00F016A0">
        <w:rPr>
          <w:u w:val="none"/>
        </w:rPr>
        <w:t>États</w:t>
      </w:r>
      <w:r>
        <w:rPr>
          <w:u w:val="none"/>
        </w:rPr>
        <w:t xml:space="preserve"> </w:t>
      </w:r>
      <w:r w:rsidR="00DD5337">
        <w:rPr>
          <w:u w:val="none"/>
        </w:rPr>
        <w:t>parties</w:t>
      </w:r>
      <w:r>
        <w:rPr>
          <w:u w:val="none"/>
        </w:rPr>
        <w:t xml:space="preserve"> que le consentement libre, préalable et éclairé signifie </w:t>
      </w:r>
      <w:r w:rsidR="00DD5337">
        <w:rPr>
          <w:u w:val="none"/>
        </w:rPr>
        <w:t>avant tout</w:t>
      </w:r>
      <w:r>
        <w:rPr>
          <w:u w:val="none"/>
        </w:rPr>
        <w:t xml:space="preserve"> un consentement à la candidature, telle que rédigée dans le formulaire, plutôt qu’un soutien à l’élément lui-même, à ses mérites et/ou sa reconnaissance par la communauté internationale ;</w:t>
      </w:r>
    </w:p>
    <w:p w:rsidR="00944A6D" w:rsidRPr="005D4A7E" w:rsidRDefault="00D51C2B" w:rsidP="00F016A0">
      <w:pPr>
        <w:pStyle w:val="COMParaDecision"/>
        <w:ind w:left="1134" w:hanging="567"/>
      </w:pPr>
      <w:r>
        <w:t>Apprécie</w:t>
      </w:r>
      <w:r w:rsidR="00023EB2">
        <w:t xml:space="preserve"> en outre</w:t>
      </w:r>
      <w:r w:rsidR="00944A6D" w:rsidRPr="00F016A0">
        <w:rPr>
          <w:u w:val="none"/>
        </w:rPr>
        <w:t xml:space="preserve"> </w:t>
      </w:r>
      <w:r>
        <w:rPr>
          <w:u w:val="none"/>
        </w:rPr>
        <w:t>l</w:t>
      </w:r>
      <w:r w:rsidR="00944A6D" w:rsidRPr="00F016A0">
        <w:rPr>
          <w:u w:val="none"/>
        </w:rPr>
        <w:t xml:space="preserve">es efforts déployés par les États soumissionnaires </w:t>
      </w:r>
      <w:r w:rsidR="00364026" w:rsidRPr="00F016A0">
        <w:rPr>
          <w:u w:val="none"/>
        </w:rPr>
        <w:t xml:space="preserve">pour traiter de </w:t>
      </w:r>
      <w:r w:rsidR="00944A6D" w:rsidRPr="00F016A0">
        <w:rPr>
          <w:u w:val="none"/>
        </w:rPr>
        <w:t xml:space="preserve">la contribution de la sauvegarde du patrimoine culturel immatériel au développement durable, notamment en matière de résolution des conflits, </w:t>
      </w:r>
      <w:r w:rsidR="00364026" w:rsidRPr="00F016A0">
        <w:rPr>
          <w:u w:val="none"/>
        </w:rPr>
        <w:t xml:space="preserve">de </w:t>
      </w:r>
      <w:r w:rsidR="00944A6D" w:rsidRPr="00F016A0">
        <w:rPr>
          <w:u w:val="none"/>
        </w:rPr>
        <w:t>consolidation de la paix, de durabilité environnement</w:t>
      </w:r>
      <w:r w:rsidR="00364026" w:rsidRPr="00F016A0">
        <w:rPr>
          <w:u w:val="none"/>
        </w:rPr>
        <w:t>ale</w:t>
      </w:r>
      <w:r w:rsidR="00944A6D" w:rsidRPr="00F016A0">
        <w:rPr>
          <w:u w:val="none"/>
        </w:rPr>
        <w:t xml:space="preserve">, </w:t>
      </w:r>
      <w:r w:rsidR="00364026" w:rsidRPr="00F016A0">
        <w:rPr>
          <w:u w:val="none"/>
        </w:rPr>
        <w:t>d</w:t>
      </w:r>
      <w:r w:rsidR="008179AC" w:rsidRPr="00F016A0">
        <w:rPr>
          <w:u w:val="none"/>
        </w:rPr>
        <w:t>’</w:t>
      </w:r>
      <w:r w:rsidR="00364026" w:rsidRPr="00F016A0">
        <w:rPr>
          <w:u w:val="none"/>
        </w:rPr>
        <w:t xml:space="preserve">égalité </w:t>
      </w:r>
      <w:r w:rsidR="00944A6D" w:rsidRPr="00F016A0">
        <w:rPr>
          <w:u w:val="none"/>
        </w:rPr>
        <w:t xml:space="preserve">des </w:t>
      </w:r>
      <w:r w:rsidR="00364026" w:rsidRPr="00F016A0">
        <w:rPr>
          <w:u w:val="none"/>
        </w:rPr>
        <w:t xml:space="preserve">genres </w:t>
      </w:r>
      <w:r w:rsidR="00944A6D" w:rsidRPr="00F016A0">
        <w:rPr>
          <w:u w:val="none"/>
        </w:rPr>
        <w:t xml:space="preserve">ou </w:t>
      </w:r>
      <w:r w:rsidR="00364026" w:rsidRPr="00F016A0">
        <w:rPr>
          <w:u w:val="none"/>
        </w:rPr>
        <w:t>d</w:t>
      </w:r>
      <w:r w:rsidR="008179AC" w:rsidRPr="00F016A0">
        <w:rPr>
          <w:u w:val="none"/>
        </w:rPr>
        <w:t>’</w:t>
      </w:r>
      <w:r w:rsidR="00944A6D" w:rsidRPr="00F016A0">
        <w:rPr>
          <w:u w:val="none"/>
        </w:rPr>
        <w:t xml:space="preserve">amélioration des économies locales, et </w:t>
      </w:r>
      <w:r w:rsidR="00944A6D" w:rsidRPr="005D4A7E">
        <w:t>encourage</w:t>
      </w:r>
      <w:r w:rsidR="00944A6D" w:rsidRPr="00F016A0">
        <w:rPr>
          <w:u w:val="none"/>
        </w:rPr>
        <w:t xml:space="preserve"> les États parties à continuer </w:t>
      </w:r>
      <w:r w:rsidR="00EA1F92" w:rsidRPr="00F016A0">
        <w:rPr>
          <w:u w:val="none"/>
        </w:rPr>
        <w:t>d</w:t>
      </w:r>
      <w:r w:rsidR="00EA1F92">
        <w:rPr>
          <w:u w:val="none"/>
        </w:rPr>
        <w:t>’</w:t>
      </w:r>
      <w:r w:rsidR="00EA1F92" w:rsidRPr="00F016A0">
        <w:rPr>
          <w:u w:val="none"/>
        </w:rPr>
        <w:t xml:space="preserve">élaborer </w:t>
      </w:r>
      <w:r w:rsidR="00364026" w:rsidRPr="00F016A0">
        <w:rPr>
          <w:u w:val="none"/>
        </w:rPr>
        <w:t xml:space="preserve">des candidatures </w:t>
      </w:r>
      <w:r w:rsidR="00944A6D" w:rsidRPr="00F016A0">
        <w:rPr>
          <w:u w:val="none"/>
        </w:rPr>
        <w:t>qui traitent de ces aspects, contribuant ainsi aux objectifs de la Convention</w:t>
      </w:r>
      <w:r w:rsidR="00364026" w:rsidRPr="00F016A0">
        <w:rPr>
          <w:u w:val="none"/>
        </w:rPr>
        <w:t> </w:t>
      </w:r>
      <w:r w:rsidR="00944A6D" w:rsidRPr="00F016A0">
        <w:rPr>
          <w:u w:val="none"/>
        </w:rPr>
        <w:t>;</w:t>
      </w:r>
    </w:p>
    <w:p w:rsidR="00944A6D" w:rsidRPr="005D4A7E" w:rsidRDefault="008179AC" w:rsidP="00F016A0">
      <w:pPr>
        <w:pStyle w:val="COMParaDecision"/>
        <w:ind w:left="1134" w:hanging="567"/>
      </w:pPr>
      <w:r w:rsidRPr="00F016A0">
        <w:t>Accueille avec satisfaction</w:t>
      </w:r>
      <w:r w:rsidR="00944A6D" w:rsidRPr="00F016A0">
        <w:rPr>
          <w:u w:val="none"/>
        </w:rPr>
        <w:t xml:space="preserve"> la soumission croissante de candidatures multinationales, et</w:t>
      </w:r>
      <w:r w:rsidRPr="00F016A0">
        <w:rPr>
          <w:u w:val="none"/>
        </w:rPr>
        <w:t>,</w:t>
      </w:r>
      <w:r w:rsidR="00944A6D" w:rsidRPr="00F016A0">
        <w:rPr>
          <w:u w:val="none"/>
        </w:rPr>
        <w:t xml:space="preserve"> </w:t>
      </w:r>
      <w:r w:rsidRPr="00F016A0">
        <w:rPr>
          <w:u w:val="none"/>
        </w:rPr>
        <w:t>se référant</w:t>
      </w:r>
      <w:r w:rsidR="00944A6D" w:rsidRPr="00F016A0">
        <w:rPr>
          <w:u w:val="none"/>
        </w:rPr>
        <w:t xml:space="preserve"> la décision 9.</w:t>
      </w:r>
      <w:r w:rsidRPr="00F016A0">
        <w:rPr>
          <w:u w:val="none"/>
        </w:rPr>
        <w:t>COM </w:t>
      </w:r>
      <w:r w:rsidR="00944A6D" w:rsidRPr="00F016A0">
        <w:rPr>
          <w:u w:val="none"/>
        </w:rPr>
        <w:t xml:space="preserve">10, </w:t>
      </w:r>
      <w:r w:rsidR="00944A6D" w:rsidRPr="005D4A7E">
        <w:t>décide</w:t>
      </w:r>
      <w:r w:rsidR="00944A6D" w:rsidRPr="00F016A0">
        <w:rPr>
          <w:u w:val="none"/>
        </w:rPr>
        <w:t xml:space="preserve"> que ces </w:t>
      </w:r>
      <w:r w:rsidRPr="00F016A0">
        <w:rPr>
          <w:u w:val="none"/>
        </w:rPr>
        <w:t xml:space="preserve">candidatures </w:t>
      </w:r>
      <w:r w:rsidR="00944A6D" w:rsidRPr="00F016A0">
        <w:rPr>
          <w:u w:val="none"/>
        </w:rPr>
        <w:t xml:space="preserve">doivent démontrer la prise de conscience de toutes les parties prenantes concernées de la nature partagée de </w:t>
      </w:r>
      <w:r w:rsidRPr="00F016A0">
        <w:rPr>
          <w:u w:val="none"/>
        </w:rPr>
        <w:t xml:space="preserve">l’élément </w:t>
      </w:r>
      <w:r w:rsidR="00944A6D" w:rsidRPr="00F016A0">
        <w:rPr>
          <w:u w:val="none"/>
        </w:rPr>
        <w:t xml:space="preserve">proposé, leur engagement </w:t>
      </w:r>
      <w:r w:rsidR="00EA1F92">
        <w:rPr>
          <w:u w:val="none"/>
        </w:rPr>
        <w:t>vis-à-vis du</w:t>
      </w:r>
      <w:r w:rsidR="00EA1F92" w:rsidRPr="00F016A0">
        <w:rPr>
          <w:u w:val="none"/>
        </w:rPr>
        <w:t xml:space="preserve"> </w:t>
      </w:r>
      <w:r w:rsidR="00944A6D" w:rsidRPr="00F016A0">
        <w:rPr>
          <w:u w:val="none"/>
        </w:rPr>
        <w:t xml:space="preserve">caractère multinational de la </w:t>
      </w:r>
      <w:r w:rsidRPr="00F016A0">
        <w:rPr>
          <w:u w:val="none"/>
        </w:rPr>
        <w:t>candidature</w:t>
      </w:r>
      <w:r w:rsidR="00944A6D" w:rsidRPr="00F016A0">
        <w:rPr>
          <w:u w:val="none"/>
        </w:rPr>
        <w:t xml:space="preserve">, ainsi que leur participation et leur coopération mutuelle dans </w:t>
      </w:r>
      <w:r w:rsidR="004B3BFE" w:rsidRPr="00F016A0">
        <w:rPr>
          <w:u w:val="none"/>
        </w:rPr>
        <w:t xml:space="preserve">l’élaboration et la mise en œuvre des </w:t>
      </w:r>
      <w:r w:rsidR="00944A6D" w:rsidRPr="00F016A0">
        <w:rPr>
          <w:u w:val="none"/>
        </w:rPr>
        <w:t>mesures de sauvegarde</w:t>
      </w:r>
      <w:r w:rsidR="004B3BFE" w:rsidRPr="00F016A0">
        <w:rPr>
          <w:u w:val="none"/>
        </w:rPr>
        <w:t> </w:t>
      </w:r>
      <w:r w:rsidR="00944A6D" w:rsidRPr="00F016A0">
        <w:rPr>
          <w:u w:val="none"/>
        </w:rPr>
        <w:t>;</w:t>
      </w:r>
    </w:p>
    <w:p w:rsidR="00944A6D" w:rsidRPr="005D4A7E" w:rsidRDefault="00944A6D" w:rsidP="00F016A0">
      <w:pPr>
        <w:pStyle w:val="COMParaDecision"/>
        <w:ind w:left="1134" w:hanging="567"/>
      </w:pPr>
      <w:r w:rsidRPr="005D4A7E">
        <w:t>Invite</w:t>
      </w:r>
      <w:r w:rsidR="00023EB2">
        <w:t xml:space="preserve"> en outre</w:t>
      </w:r>
      <w:r w:rsidRPr="00F016A0">
        <w:rPr>
          <w:u w:val="none"/>
        </w:rPr>
        <w:t xml:space="preserve"> les États </w:t>
      </w:r>
      <w:r w:rsidR="004353C2" w:rsidRPr="00F016A0">
        <w:rPr>
          <w:u w:val="none"/>
        </w:rPr>
        <w:t>soumissionnaires</w:t>
      </w:r>
      <w:r w:rsidRPr="00F016A0">
        <w:rPr>
          <w:u w:val="none"/>
        </w:rPr>
        <w:t xml:space="preserve">, lors de </w:t>
      </w:r>
      <w:r w:rsidR="00F47FC9" w:rsidRPr="00F016A0">
        <w:rPr>
          <w:u w:val="none"/>
        </w:rPr>
        <w:t>l</w:t>
      </w:r>
      <w:r w:rsidR="00F47FC9">
        <w:rPr>
          <w:u w:val="none"/>
        </w:rPr>
        <w:t>’</w:t>
      </w:r>
      <w:r w:rsidR="00F47FC9" w:rsidRPr="00F016A0">
        <w:rPr>
          <w:u w:val="none"/>
        </w:rPr>
        <w:t xml:space="preserve">élaboration </w:t>
      </w:r>
      <w:r w:rsidRPr="00F016A0">
        <w:rPr>
          <w:u w:val="none"/>
        </w:rPr>
        <w:t xml:space="preserve">des candidatures multinationales, </w:t>
      </w:r>
      <w:r w:rsidR="004353C2" w:rsidRPr="00F016A0">
        <w:rPr>
          <w:u w:val="none"/>
        </w:rPr>
        <w:t xml:space="preserve">à </w:t>
      </w:r>
      <w:r w:rsidRPr="00F016A0">
        <w:rPr>
          <w:u w:val="none"/>
        </w:rPr>
        <w:t xml:space="preserve">inclure tous les sous-groupes partageant les mêmes pratiques et traditions </w:t>
      </w:r>
      <w:r w:rsidR="004353C2" w:rsidRPr="00F016A0">
        <w:rPr>
          <w:u w:val="none"/>
        </w:rPr>
        <w:t>au-delà d</w:t>
      </w:r>
      <w:r w:rsidRPr="00F016A0">
        <w:rPr>
          <w:u w:val="none"/>
        </w:rPr>
        <w:t xml:space="preserve">es frontières nationales le cas échéant, et </w:t>
      </w:r>
      <w:r w:rsidR="00656DE4" w:rsidRPr="00B86CF6">
        <w:rPr>
          <w:u w:val="none"/>
        </w:rPr>
        <w:t>à</w:t>
      </w:r>
      <w:r w:rsidRPr="00441E23">
        <w:rPr>
          <w:u w:val="none"/>
        </w:rPr>
        <w:t xml:space="preserve"> faire</w:t>
      </w:r>
      <w:r w:rsidRPr="00F016A0">
        <w:rPr>
          <w:u w:val="none"/>
        </w:rPr>
        <w:t xml:space="preserve"> usage de l</w:t>
      </w:r>
      <w:r w:rsidR="004353C2" w:rsidRPr="00F016A0">
        <w:rPr>
          <w:u w:val="none"/>
        </w:rPr>
        <w:t>’</w:t>
      </w:r>
      <w:r w:rsidRPr="00F016A0">
        <w:rPr>
          <w:u w:val="none"/>
        </w:rPr>
        <w:t>outil en ligne mis en place par le Secrétariat pour encourager les candidatures multinationales</w:t>
      </w:r>
      <w:r w:rsidR="004353C2" w:rsidRPr="00F016A0">
        <w:rPr>
          <w:u w:val="none"/>
        </w:rPr>
        <w:t> </w:t>
      </w:r>
      <w:r w:rsidRPr="00F016A0">
        <w:rPr>
          <w:u w:val="none"/>
        </w:rPr>
        <w:t>;</w:t>
      </w:r>
    </w:p>
    <w:p w:rsidR="00944A6D" w:rsidRPr="00B86CF6" w:rsidRDefault="00656DE4" w:rsidP="00F016A0">
      <w:pPr>
        <w:pStyle w:val="COMParaDecision"/>
        <w:ind w:left="1134" w:hanging="567"/>
      </w:pPr>
      <w:r w:rsidRPr="00B86CF6">
        <w:t>Réaffirme</w:t>
      </w:r>
      <w:r w:rsidRPr="00B86CF6">
        <w:rPr>
          <w:u w:val="none"/>
        </w:rPr>
        <w:t>, comme souligné dans la décision 9.COM</w:t>
      </w:r>
      <w:r w:rsidR="00515619" w:rsidRPr="00B86CF6">
        <w:rPr>
          <w:u w:val="none"/>
        </w:rPr>
        <w:t> </w:t>
      </w:r>
      <w:r w:rsidRPr="00B86CF6">
        <w:rPr>
          <w:u w:val="none"/>
        </w:rPr>
        <w:t>10,</w:t>
      </w:r>
      <w:r w:rsidR="00944A6D" w:rsidRPr="00EA1F92">
        <w:rPr>
          <w:u w:val="none"/>
        </w:rPr>
        <w:t xml:space="preserve"> la nécessité </w:t>
      </w:r>
      <w:r w:rsidR="0011743A" w:rsidRPr="00EA1F92">
        <w:rPr>
          <w:u w:val="none"/>
        </w:rPr>
        <w:t xml:space="preserve">d’élaborer </w:t>
      </w:r>
      <w:r w:rsidR="004353C2" w:rsidRPr="00EA1F92">
        <w:rPr>
          <w:u w:val="none"/>
        </w:rPr>
        <w:t>l</w:t>
      </w:r>
      <w:r w:rsidR="00944A6D" w:rsidRPr="00EA1F92">
        <w:rPr>
          <w:u w:val="none"/>
        </w:rPr>
        <w:t xml:space="preserve">es candidatures avec le plus grand soin afin </w:t>
      </w:r>
      <w:r w:rsidR="0011743A" w:rsidRPr="00EA1F92">
        <w:rPr>
          <w:u w:val="none"/>
        </w:rPr>
        <w:t xml:space="preserve">d’éviter </w:t>
      </w:r>
      <w:r w:rsidR="00944A6D" w:rsidRPr="00EA1F92">
        <w:rPr>
          <w:u w:val="none"/>
        </w:rPr>
        <w:t xml:space="preserve">les expressions </w:t>
      </w:r>
      <w:r w:rsidR="00EA1F92" w:rsidRPr="00EA1F92">
        <w:rPr>
          <w:u w:val="none"/>
        </w:rPr>
        <w:t xml:space="preserve">ou un vocabulaire </w:t>
      </w:r>
      <w:r w:rsidR="00944A6D" w:rsidRPr="00EA1F92">
        <w:rPr>
          <w:u w:val="none"/>
        </w:rPr>
        <w:t xml:space="preserve">inappropriés qui ne </w:t>
      </w:r>
      <w:r w:rsidR="00EA1F92" w:rsidRPr="00EA1F92">
        <w:rPr>
          <w:u w:val="none"/>
        </w:rPr>
        <w:t xml:space="preserve">seraient </w:t>
      </w:r>
      <w:r w:rsidR="00944A6D" w:rsidRPr="00EA1F92">
        <w:rPr>
          <w:u w:val="none"/>
        </w:rPr>
        <w:t xml:space="preserve">pas en ligne avec </w:t>
      </w:r>
      <w:r w:rsidR="0011743A" w:rsidRPr="00EA1F92">
        <w:rPr>
          <w:u w:val="none"/>
        </w:rPr>
        <w:t xml:space="preserve">l’esprit </w:t>
      </w:r>
      <w:r w:rsidR="00944A6D" w:rsidRPr="00EA1F92">
        <w:rPr>
          <w:u w:val="none"/>
        </w:rPr>
        <w:t xml:space="preserve">de la Convention ou </w:t>
      </w:r>
      <w:r w:rsidR="004353C2" w:rsidRPr="00EA1F92">
        <w:rPr>
          <w:u w:val="none"/>
        </w:rPr>
        <w:t xml:space="preserve">qui </w:t>
      </w:r>
      <w:r w:rsidR="00EA1F92" w:rsidRPr="00EA1F92">
        <w:rPr>
          <w:u w:val="none"/>
        </w:rPr>
        <w:t xml:space="preserve">pourraient </w:t>
      </w:r>
      <w:r w:rsidR="00944A6D" w:rsidRPr="00EA1F92">
        <w:rPr>
          <w:u w:val="none"/>
        </w:rPr>
        <w:t xml:space="preserve">provoquer </w:t>
      </w:r>
      <w:r w:rsidR="004353C2" w:rsidRPr="00EA1F92">
        <w:rPr>
          <w:u w:val="none"/>
        </w:rPr>
        <w:t xml:space="preserve">une incompréhension </w:t>
      </w:r>
      <w:r w:rsidR="00944A6D" w:rsidRPr="00EA1F92">
        <w:rPr>
          <w:u w:val="none"/>
        </w:rPr>
        <w:t xml:space="preserve">entre communautés et </w:t>
      </w:r>
      <w:r w:rsidR="004353C2" w:rsidRPr="00EA1F92">
        <w:rPr>
          <w:u w:val="none"/>
        </w:rPr>
        <w:t xml:space="preserve">affecter </w:t>
      </w:r>
      <w:r w:rsidR="00944A6D" w:rsidRPr="00EA1F92">
        <w:rPr>
          <w:u w:val="none"/>
        </w:rPr>
        <w:t>le dialogue et le respect mutuel</w:t>
      </w:r>
      <w:r w:rsidR="004353C2" w:rsidRPr="00EA1F92">
        <w:rPr>
          <w:u w:val="none"/>
        </w:rPr>
        <w:t> </w:t>
      </w:r>
      <w:r w:rsidR="00944A6D" w:rsidRPr="00EA1F92">
        <w:rPr>
          <w:u w:val="none"/>
        </w:rPr>
        <w:t>;</w:t>
      </w:r>
      <w:r w:rsidR="001631E7" w:rsidRPr="00EA1F92">
        <w:rPr>
          <w:u w:val="none"/>
        </w:rPr>
        <w:t xml:space="preserve"> </w:t>
      </w:r>
    </w:p>
    <w:p w:rsidR="001631E7" w:rsidRPr="00EA1F92" w:rsidRDefault="001631E7" w:rsidP="00F016A0">
      <w:pPr>
        <w:pStyle w:val="COMParaDecision"/>
        <w:ind w:left="1134" w:hanging="567"/>
        <w:rPr>
          <w:u w:val="none"/>
        </w:rPr>
      </w:pPr>
      <w:r w:rsidRPr="00EA1F92">
        <w:t>Reconnaît</w:t>
      </w:r>
      <w:r w:rsidR="00213954">
        <w:t xml:space="preserve"> </w:t>
      </w:r>
      <w:r w:rsidRPr="00EA1F92">
        <w:rPr>
          <w:u w:val="none"/>
        </w:rPr>
        <w:t xml:space="preserve">l’importance </w:t>
      </w:r>
      <w:r w:rsidR="00656DE4" w:rsidRPr="00B86CF6">
        <w:rPr>
          <w:u w:val="none"/>
        </w:rPr>
        <w:t xml:space="preserve">de l’implication des enfants dans la </w:t>
      </w:r>
      <w:r w:rsidRPr="00EA1F92">
        <w:rPr>
          <w:u w:val="none"/>
        </w:rPr>
        <w:t xml:space="preserve">transmission et la </w:t>
      </w:r>
      <w:r w:rsidR="00656DE4" w:rsidRPr="00B86CF6">
        <w:rPr>
          <w:u w:val="none"/>
        </w:rPr>
        <w:t xml:space="preserve">pratique du patrimoine culturel immatériel et </w:t>
      </w:r>
      <w:r w:rsidR="00213954">
        <w:t xml:space="preserve">appelle </w:t>
      </w:r>
      <w:r w:rsidR="00656DE4" w:rsidRPr="00B86CF6">
        <w:rPr>
          <w:u w:val="none"/>
        </w:rPr>
        <w:t>l</w:t>
      </w:r>
      <w:r w:rsidR="006C40F6" w:rsidRPr="00EA1F92">
        <w:rPr>
          <w:u w:val="none"/>
        </w:rPr>
        <w:t xml:space="preserve">es </w:t>
      </w:r>
      <w:r w:rsidR="00656DE4" w:rsidRPr="00B86CF6">
        <w:rPr>
          <w:u w:val="none"/>
        </w:rPr>
        <w:t>Organe d’évaluation</w:t>
      </w:r>
      <w:r w:rsidR="006C40F6" w:rsidRPr="00EA1F92">
        <w:rPr>
          <w:u w:val="none"/>
        </w:rPr>
        <w:t xml:space="preserve"> futurs</w:t>
      </w:r>
      <w:r w:rsidRPr="00EA1F92">
        <w:rPr>
          <w:u w:val="none"/>
        </w:rPr>
        <w:t xml:space="preserve"> </w:t>
      </w:r>
      <w:r w:rsidR="00656DE4" w:rsidRPr="00B86CF6">
        <w:rPr>
          <w:u w:val="none"/>
        </w:rPr>
        <w:t xml:space="preserve">à continuer à réfléchir </w:t>
      </w:r>
      <w:r w:rsidR="00EA1F92" w:rsidRPr="00EA1F92">
        <w:rPr>
          <w:u w:val="none"/>
        </w:rPr>
        <w:t xml:space="preserve">sur </w:t>
      </w:r>
      <w:r w:rsidRPr="00EA1F92">
        <w:rPr>
          <w:u w:val="none"/>
        </w:rPr>
        <w:t>cette implication</w:t>
      </w:r>
      <w:r w:rsidR="006C40F6" w:rsidRPr="00EA1F92">
        <w:rPr>
          <w:u w:val="none"/>
        </w:rPr>
        <w:t xml:space="preserve">, y compris sur des aspects délicats </w:t>
      </w:r>
      <w:r w:rsidRPr="00EA1F92">
        <w:rPr>
          <w:u w:val="none"/>
        </w:rPr>
        <w:t>tels que la question du travail des enfants ;</w:t>
      </w:r>
    </w:p>
    <w:p w:rsidR="0079657F" w:rsidRPr="00DE5109" w:rsidRDefault="00AC16E2" w:rsidP="00F016A0">
      <w:pPr>
        <w:pStyle w:val="COMParaDecision"/>
        <w:ind w:left="1134" w:hanging="567"/>
      </w:pPr>
      <w:r>
        <w:t>Invite</w:t>
      </w:r>
      <w:r w:rsidR="00213954">
        <w:t xml:space="preserve"> en outre</w:t>
      </w:r>
      <w:r w:rsidR="00656DE4" w:rsidRPr="00B86CF6">
        <w:rPr>
          <w:u w:val="none"/>
        </w:rPr>
        <w:t xml:space="preserve"> </w:t>
      </w:r>
      <w:r>
        <w:rPr>
          <w:u w:val="none"/>
        </w:rPr>
        <w:t>les</w:t>
      </w:r>
      <w:r w:rsidR="00441E23">
        <w:rPr>
          <w:u w:val="none"/>
        </w:rPr>
        <w:t xml:space="preserve"> États soumissionnaires proposant pour inscription </w:t>
      </w:r>
      <w:r w:rsidR="00656DE4" w:rsidRPr="00B86CF6">
        <w:rPr>
          <w:u w:val="none"/>
        </w:rPr>
        <w:t xml:space="preserve">des éléments qui impliquent des traditions orales </w:t>
      </w:r>
      <w:r>
        <w:rPr>
          <w:u w:val="none"/>
        </w:rPr>
        <w:t>à</w:t>
      </w:r>
      <w:r w:rsidR="00441E23">
        <w:rPr>
          <w:u w:val="none"/>
        </w:rPr>
        <w:t xml:space="preserve"> fournir </w:t>
      </w:r>
      <w:r w:rsidR="00656DE4" w:rsidRPr="00B86CF6">
        <w:rPr>
          <w:u w:val="none"/>
        </w:rPr>
        <w:t xml:space="preserve">la traduction des paroles et des couplets pour </w:t>
      </w:r>
      <w:r w:rsidR="00DE5109">
        <w:rPr>
          <w:u w:val="none"/>
        </w:rPr>
        <w:t xml:space="preserve">atteindre </w:t>
      </w:r>
      <w:r w:rsidR="00656DE4" w:rsidRPr="00B86CF6">
        <w:rPr>
          <w:u w:val="none"/>
        </w:rPr>
        <w:t>une meilleure compréhension d</w:t>
      </w:r>
      <w:r w:rsidR="00DE5109">
        <w:rPr>
          <w:u w:val="none"/>
        </w:rPr>
        <w:t>e la part d’</w:t>
      </w:r>
      <w:r w:rsidR="00656DE4" w:rsidRPr="00B86CF6">
        <w:rPr>
          <w:u w:val="none"/>
        </w:rPr>
        <w:t>une audience plus large</w:t>
      </w:r>
      <w:r w:rsidR="00DE5109">
        <w:rPr>
          <w:u w:val="none"/>
        </w:rPr>
        <w:t>,</w:t>
      </w:r>
      <w:r w:rsidR="00656DE4" w:rsidRPr="00B86CF6">
        <w:rPr>
          <w:u w:val="none"/>
        </w:rPr>
        <w:t xml:space="preserve"> encourage</w:t>
      </w:r>
      <w:r w:rsidR="00DE5109">
        <w:rPr>
          <w:u w:val="none"/>
        </w:rPr>
        <w:t>ant ainsi</w:t>
      </w:r>
      <w:r w:rsidR="00656DE4" w:rsidRPr="00B86CF6">
        <w:rPr>
          <w:u w:val="none"/>
        </w:rPr>
        <w:t xml:space="preserve"> le dialogue et le respect mutuel au-delà des frontières nationales et linguistiques ;</w:t>
      </w:r>
    </w:p>
    <w:p w:rsidR="00944A6D" w:rsidRPr="005D4A7E" w:rsidRDefault="00B4585E" w:rsidP="00F016A0">
      <w:pPr>
        <w:pStyle w:val="COMParaDecision"/>
        <w:ind w:left="1134" w:hanging="567"/>
      </w:pPr>
      <w:r w:rsidRPr="005D4A7E">
        <w:t>R</w:t>
      </w:r>
      <w:r w:rsidR="00944A6D" w:rsidRPr="00F016A0">
        <w:t>appelle</w:t>
      </w:r>
      <w:r w:rsidR="00213954">
        <w:t xml:space="preserve"> également</w:t>
      </w:r>
      <w:r w:rsidR="00944A6D" w:rsidRPr="00F016A0">
        <w:rPr>
          <w:u w:val="none"/>
        </w:rPr>
        <w:t xml:space="preserve"> que </w:t>
      </w:r>
      <w:r w:rsidR="00EA1F92" w:rsidRPr="00F016A0">
        <w:rPr>
          <w:u w:val="none"/>
        </w:rPr>
        <w:t>l</w:t>
      </w:r>
      <w:r w:rsidR="00EA1F92">
        <w:rPr>
          <w:u w:val="none"/>
        </w:rPr>
        <w:t>’</w:t>
      </w:r>
      <w:r w:rsidR="00EA1F92" w:rsidRPr="00F016A0">
        <w:rPr>
          <w:u w:val="none"/>
        </w:rPr>
        <w:t xml:space="preserve">identification </w:t>
      </w:r>
      <w:r w:rsidR="00944A6D" w:rsidRPr="00F016A0">
        <w:rPr>
          <w:u w:val="none"/>
        </w:rPr>
        <w:t xml:space="preserve">et la définition des différents éléments du patrimoine culturel immatériel </w:t>
      </w:r>
      <w:r w:rsidR="00980D98">
        <w:rPr>
          <w:u w:val="none"/>
        </w:rPr>
        <w:t>figurent</w:t>
      </w:r>
      <w:r w:rsidR="00980D98" w:rsidRPr="00F016A0">
        <w:rPr>
          <w:u w:val="none"/>
        </w:rPr>
        <w:t xml:space="preserve"> </w:t>
      </w:r>
      <w:r w:rsidR="00980D98">
        <w:rPr>
          <w:u w:val="none"/>
        </w:rPr>
        <w:t>parmi le</w:t>
      </w:r>
      <w:r w:rsidR="00944A6D" w:rsidRPr="00F016A0">
        <w:rPr>
          <w:u w:val="none"/>
        </w:rPr>
        <w:t xml:space="preserve">s </w:t>
      </w:r>
      <w:r w:rsidR="00980D98" w:rsidRPr="00F016A0">
        <w:rPr>
          <w:u w:val="none"/>
        </w:rPr>
        <w:t xml:space="preserve">obligations </w:t>
      </w:r>
      <w:r w:rsidR="00980D98">
        <w:rPr>
          <w:u w:val="none"/>
        </w:rPr>
        <w:t xml:space="preserve">les </w:t>
      </w:r>
      <w:r w:rsidR="00944A6D" w:rsidRPr="00F016A0">
        <w:rPr>
          <w:u w:val="none"/>
        </w:rPr>
        <w:t xml:space="preserve">plus importantes </w:t>
      </w:r>
      <w:r w:rsidR="00547F80" w:rsidRPr="00F016A0">
        <w:rPr>
          <w:u w:val="none"/>
        </w:rPr>
        <w:t>des États parties</w:t>
      </w:r>
      <w:r w:rsidR="00547F80" w:rsidRPr="00F016A0" w:rsidDel="00547F80">
        <w:rPr>
          <w:u w:val="none"/>
        </w:rPr>
        <w:t xml:space="preserve"> </w:t>
      </w:r>
      <w:r w:rsidR="00547F80" w:rsidRPr="00F016A0">
        <w:rPr>
          <w:u w:val="none"/>
        </w:rPr>
        <w:t xml:space="preserve">en matière </w:t>
      </w:r>
      <w:r w:rsidR="00944A6D" w:rsidRPr="00F016A0">
        <w:rPr>
          <w:u w:val="none"/>
        </w:rPr>
        <w:t xml:space="preserve">de sauvegarde et </w:t>
      </w:r>
      <w:r w:rsidR="009F7199">
        <w:rPr>
          <w:u w:val="none"/>
        </w:rPr>
        <w:t xml:space="preserve">constituent </w:t>
      </w:r>
      <w:r w:rsidR="00944A6D" w:rsidRPr="00F016A0">
        <w:rPr>
          <w:u w:val="none"/>
        </w:rPr>
        <w:t xml:space="preserve">une condition préalable à </w:t>
      </w:r>
      <w:r w:rsidR="00ED5DDE">
        <w:rPr>
          <w:u w:val="none"/>
        </w:rPr>
        <w:t>toute</w:t>
      </w:r>
      <w:r w:rsidR="00ED5DDE" w:rsidRPr="00F016A0">
        <w:rPr>
          <w:u w:val="none"/>
        </w:rPr>
        <w:t xml:space="preserve"> </w:t>
      </w:r>
      <w:r w:rsidR="00547F80" w:rsidRPr="00F016A0">
        <w:rPr>
          <w:u w:val="none"/>
        </w:rPr>
        <w:t>candidature</w:t>
      </w:r>
      <w:r w:rsidR="00944A6D" w:rsidRPr="00F016A0">
        <w:rPr>
          <w:u w:val="none"/>
        </w:rPr>
        <w:t xml:space="preserve">, et </w:t>
      </w:r>
      <w:r w:rsidR="00667D41" w:rsidRPr="005D4A7E">
        <w:t>considère</w:t>
      </w:r>
      <w:r w:rsidR="00667D41" w:rsidRPr="00F016A0">
        <w:rPr>
          <w:u w:val="none"/>
        </w:rPr>
        <w:t xml:space="preserve"> </w:t>
      </w:r>
      <w:r w:rsidR="00944A6D" w:rsidRPr="00F016A0">
        <w:rPr>
          <w:u w:val="none"/>
        </w:rPr>
        <w:t>que</w:t>
      </w:r>
      <w:r w:rsidR="00667D41">
        <w:rPr>
          <w:u w:val="none"/>
        </w:rPr>
        <w:t>,</w:t>
      </w:r>
      <w:r w:rsidR="00944A6D" w:rsidRPr="00F016A0">
        <w:rPr>
          <w:u w:val="none"/>
        </w:rPr>
        <w:t xml:space="preserve"> si chaque </w:t>
      </w:r>
      <w:r w:rsidR="00547F80" w:rsidRPr="00F016A0">
        <w:rPr>
          <w:u w:val="none"/>
        </w:rPr>
        <w:t>É</w:t>
      </w:r>
      <w:r w:rsidR="00944A6D" w:rsidRPr="00F016A0">
        <w:rPr>
          <w:u w:val="none"/>
        </w:rPr>
        <w:t>tat partie est libre de dresser un ou plusieurs inventaires de façon adaptée à sa propre situation</w:t>
      </w:r>
      <w:r w:rsidR="00547F80" w:rsidRPr="00F016A0">
        <w:rPr>
          <w:u w:val="none"/>
        </w:rPr>
        <w:t>,</w:t>
      </w:r>
      <w:r w:rsidR="00944A6D" w:rsidRPr="00F016A0">
        <w:rPr>
          <w:u w:val="none"/>
        </w:rPr>
        <w:t xml:space="preserve"> comme stipulé </w:t>
      </w:r>
      <w:r w:rsidR="00547F80" w:rsidRPr="00F016A0">
        <w:rPr>
          <w:u w:val="none"/>
        </w:rPr>
        <w:t>à l’article </w:t>
      </w:r>
      <w:r w:rsidR="00944A6D" w:rsidRPr="00F016A0">
        <w:rPr>
          <w:u w:val="none"/>
        </w:rPr>
        <w:t xml:space="preserve">12 de la Convention, </w:t>
      </w:r>
      <w:r w:rsidR="0011743A" w:rsidRPr="00F016A0">
        <w:rPr>
          <w:u w:val="none"/>
        </w:rPr>
        <w:t>l</w:t>
      </w:r>
      <w:r w:rsidR="0011743A">
        <w:rPr>
          <w:u w:val="none"/>
        </w:rPr>
        <w:t>’</w:t>
      </w:r>
      <w:r w:rsidR="0011743A" w:rsidRPr="00F016A0">
        <w:rPr>
          <w:u w:val="none"/>
        </w:rPr>
        <w:t xml:space="preserve">extrait </w:t>
      </w:r>
      <w:r w:rsidR="00944A6D" w:rsidRPr="00F016A0">
        <w:rPr>
          <w:u w:val="none"/>
        </w:rPr>
        <w:t xml:space="preserve">de </w:t>
      </w:r>
      <w:r w:rsidR="003A4DA1" w:rsidRPr="00F016A0">
        <w:rPr>
          <w:u w:val="none"/>
        </w:rPr>
        <w:t>l</w:t>
      </w:r>
      <w:r w:rsidR="003A4DA1">
        <w:rPr>
          <w:u w:val="none"/>
        </w:rPr>
        <w:t>’</w:t>
      </w:r>
      <w:r w:rsidR="003A4DA1" w:rsidRPr="00F016A0">
        <w:rPr>
          <w:u w:val="none"/>
        </w:rPr>
        <w:t xml:space="preserve">inventaire </w:t>
      </w:r>
      <w:r w:rsidR="00944A6D" w:rsidRPr="00F016A0">
        <w:rPr>
          <w:u w:val="none"/>
        </w:rPr>
        <w:t xml:space="preserve">prévu dans les </w:t>
      </w:r>
      <w:r w:rsidR="00547F80" w:rsidRPr="00F016A0">
        <w:rPr>
          <w:u w:val="none"/>
        </w:rPr>
        <w:t xml:space="preserve">candidatures </w:t>
      </w:r>
      <w:r w:rsidR="00944A6D" w:rsidRPr="00F016A0">
        <w:rPr>
          <w:u w:val="none"/>
        </w:rPr>
        <w:t>et la section correspondante dans le dossier de candidature doi</w:t>
      </w:r>
      <w:r w:rsidR="00667D41">
        <w:rPr>
          <w:u w:val="none"/>
        </w:rPr>
        <w:t>vent</w:t>
      </w:r>
      <w:r w:rsidR="00547F80" w:rsidRPr="00F016A0">
        <w:rPr>
          <w:u w:val="none"/>
        </w:rPr>
        <w:t> </w:t>
      </w:r>
      <w:r w:rsidR="00944A6D" w:rsidRPr="00F016A0">
        <w:rPr>
          <w:u w:val="none"/>
        </w:rPr>
        <w:t>:</w:t>
      </w:r>
    </w:p>
    <w:p w:rsidR="00944A6D" w:rsidRPr="005D4A7E" w:rsidRDefault="00944A6D" w:rsidP="00F016A0">
      <w:pPr>
        <w:pStyle w:val="COMParaDecision"/>
        <w:numPr>
          <w:ilvl w:val="0"/>
          <w:numId w:val="0"/>
        </w:numPr>
        <w:tabs>
          <w:tab w:val="left" w:pos="1418"/>
        </w:tabs>
        <w:ind w:left="1418" w:hanging="284"/>
      </w:pPr>
      <w:r w:rsidRPr="00F016A0">
        <w:rPr>
          <w:u w:val="none"/>
        </w:rPr>
        <w:t>a</w:t>
      </w:r>
      <w:r w:rsidR="00370E65" w:rsidRPr="00F016A0">
        <w:rPr>
          <w:u w:val="none"/>
        </w:rPr>
        <w:t>)</w:t>
      </w:r>
      <w:r w:rsidR="00370E65" w:rsidRPr="00F016A0">
        <w:rPr>
          <w:u w:val="none"/>
        </w:rPr>
        <w:tab/>
      </w:r>
      <w:r w:rsidR="00547F80" w:rsidRPr="00F016A0">
        <w:rPr>
          <w:u w:val="none"/>
        </w:rPr>
        <w:t xml:space="preserve">démontrer </w:t>
      </w:r>
      <w:r w:rsidRPr="00F016A0">
        <w:rPr>
          <w:u w:val="none"/>
        </w:rPr>
        <w:t xml:space="preserve">que </w:t>
      </w:r>
      <w:r w:rsidRPr="00F016A0">
        <w:rPr>
          <w:u w:val="none"/>
          <w:lang w:bidi="en-US"/>
        </w:rPr>
        <w:t>l</w:t>
      </w:r>
      <w:r w:rsidR="00547F80" w:rsidRPr="00F016A0">
        <w:rPr>
          <w:u w:val="none"/>
          <w:lang w:bidi="en-US"/>
        </w:rPr>
        <w:t>’</w:t>
      </w:r>
      <w:r w:rsidRPr="00F016A0">
        <w:rPr>
          <w:u w:val="none"/>
          <w:lang w:bidi="en-US"/>
        </w:rPr>
        <w:t>inventaire</w:t>
      </w:r>
      <w:r w:rsidRPr="00F016A0">
        <w:rPr>
          <w:u w:val="none"/>
        </w:rPr>
        <w:t xml:space="preserve"> en question est clairement lié au patrimoine vivant</w:t>
      </w:r>
      <w:r w:rsidR="00547F80" w:rsidRPr="00F016A0">
        <w:rPr>
          <w:u w:val="none"/>
        </w:rPr>
        <w:t> </w:t>
      </w:r>
      <w:r w:rsidRPr="00F016A0">
        <w:rPr>
          <w:u w:val="none"/>
        </w:rPr>
        <w:t>;</w:t>
      </w:r>
    </w:p>
    <w:p w:rsidR="00944A6D" w:rsidRPr="005D4A7E" w:rsidRDefault="00944A6D" w:rsidP="00F016A0">
      <w:pPr>
        <w:pStyle w:val="COMParaDecision"/>
        <w:numPr>
          <w:ilvl w:val="0"/>
          <w:numId w:val="0"/>
        </w:numPr>
        <w:tabs>
          <w:tab w:val="left" w:pos="1418"/>
        </w:tabs>
        <w:ind w:left="1418" w:hanging="284"/>
      </w:pPr>
      <w:r w:rsidRPr="00F016A0">
        <w:rPr>
          <w:u w:val="none"/>
        </w:rPr>
        <w:t>b</w:t>
      </w:r>
      <w:r w:rsidR="00370E65" w:rsidRPr="00F016A0">
        <w:rPr>
          <w:u w:val="none"/>
        </w:rPr>
        <w:t>)</w:t>
      </w:r>
      <w:r w:rsidR="00370E65" w:rsidRPr="00F016A0">
        <w:rPr>
          <w:u w:val="none"/>
        </w:rPr>
        <w:tab/>
      </w:r>
      <w:r w:rsidR="00547F80" w:rsidRPr="00F016A0">
        <w:rPr>
          <w:u w:val="none"/>
        </w:rPr>
        <w:t xml:space="preserve">démontrer </w:t>
      </w:r>
      <w:r w:rsidRPr="00F016A0">
        <w:rPr>
          <w:u w:val="none"/>
        </w:rPr>
        <w:t>que l</w:t>
      </w:r>
      <w:r w:rsidR="00547F80" w:rsidRPr="00F016A0">
        <w:rPr>
          <w:u w:val="none"/>
        </w:rPr>
        <w:t>’</w:t>
      </w:r>
      <w:r w:rsidRPr="00F016A0">
        <w:rPr>
          <w:u w:val="none"/>
        </w:rPr>
        <w:t>inventaire en question répond aux exigences énoncées à l</w:t>
      </w:r>
      <w:r w:rsidR="00547F80" w:rsidRPr="00F016A0">
        <w:rPr>
          <w:u w:val="none"/>
        </w:rPr>
        <w:t>’</w:t>
      </w:r>
      <w:r w:rsidRPr="00F016A0">
        <w:rPr>
          <w:u w:val="none"/>
        </w:rPr>
        <w:t>article</w:t>
      </w:r>
      <w:r w:rsidR="00547F80" w:rsidRPr="00F016A0">
        <w:rPr>
          <w:u w:val="none"/>
        </w:rPr>
        <w:t> </w:t>
      </w:r>
      <w:r w:rsidRPr="00F016A0">
        <w:rPr>
          <w:u w:val="none"/>
        </w:rPr>
        <w:t xml:space="preserve">11 de la Convention en ce qui concerne la participation des communautés, des groupes et des organisations non gouvernementales </w:t>
      </w:r>
      <w:r w:rsidR="00547F80" w:rsidRPr="00F016A0">
        <w:rPr>
          <w:u w:val="none"/>
        </w:rPr>
        <w:t xml:space="preserve">pertinentes </w:t>
      </w:r>
      <w:r w:rsidRPr="00F016A0">
        <w:rPr>
          <w:u w:val="none"/>
        </w:rPr>
        <w:t>dans l</w:t>
      </w:r>
      <w:r w:rsidR="00547F80" w:rsidRPr="00F016A0">
        <w:rPr>
          <w:u w:val="none"/>
        </w:rPr>
        <w:t>’</w:t>
      </w:r>
      <w:r w:rsidRPr="00F016A0">
        <w:rPr>
          <w:u w:val="none"/>
        </w:rPr>
        <w:t>élaboration et la mise à jour de l</w:t>
      </w:r>
      <w:r w:rsidR="00547F80" w:rsidRPr="00F016A0">
        <w:rPr>
          <w:u w:val="none"/>
        </w:rPr>
        <w:t>’</w:t>
      </w:r>
      <w:r w:rsidRPr="00F016A0">
        <w:rPr>
          <w:u w:val="none"/>
        </w:rPr>
        <w:t xml:space="preserve">inventaire, et </w:t>
      </w:r>
      <w:r w:rsidR="009F7199">
        <w:rPr>
          <w:u w:val="none"/>
        </w:rPr>
        <w:t>inclut</w:t>
      </w:r>
      <w:r w:rsidR="009F7199" w:rsidRPr="00F016A0">
        <w:rPr>
          <w:u w:val="none"/>
        </w:rPr>
        <w:t xml:space="preserve"> </w:t>
      </w:r>
      <w:r w:rsidRPr="00F016A0">
        <w:rPr>
          <w:u w:val="none"/>
        </w:rPr>
        <w:t xml:space="preserve">la démonstration </w:t>
      </w:r>
      <w:r w:rsidR="00547F80" w:rsidRPr="00F016A0">
        <w:rPr>
          <w:u w:val="none"/>
        </w:rPr>
        <w:t xml:space="preserve">d’une </w:t>
      </w:r>
      <w:r w:rsidRPr="00F016A0">
        <w:rPr>
          <w:u w:val="none"/>
        </w:rPr>
        <w:t>telle participation</w:t>
      </w:r>
      <w:r w:rsidR="00547F80" w:rsidRPr="00F016A0">
        <w:rPr>
          <w:u w:val="none"/>
        </w:rPr>
        <w:t> </w:t>
      </w:r>
      <w:r w:rsidRPr="00F016A0">
        <w:rPr>
          <w:u w:val="none"/>
        </w:rPr>
        <w:t>;</w:t>
      </w:r>
    </w:p>
    <w:p w:rsidR="00944A6D" w:rsidRPr="005D4A7E" w:rsidRDefault="00944A6D" w:rsidP="00F016A0">
      <w:pPr>
        <w:pStyle w:val="COMParaDecision"/>
        <w:numPr>
          <w:ilvl w:val="0"/>
          <w:numId w:val="0"/>
        </w:numPr>
        <w:tabs>
          <w:tab w:val="left" w:pos="1418"/>
        </w:tabs>
        <w:ind w:left="1418" w:hanging="284"/>
      </w:pPr>
      <w:r w:rsidRPr="00F016A0">
        <w:rPr>
          <w:u w:val="none"/>
        </w:rPr>
        <w:t>c</w:t>
      </w:r>
      <w:r w:rsidR="00370E65" w:rsidRPr="00F016A0">
        <w:rPr>
          <w:u w:val="none"/>
        </w:rPr>
        <w:t>)</w:t>
      </w:r>
      <w:r w:rsidR="00370E65" w:rsidRPr="00F016A0">
        <w:rPr>
          <w:u w:val="none"/>
        </w:rPr>
        <w:tab/>
      </w:r>
      <w:r w:rsidRPr="00F016A0">
        <w:rPr>
          <w:u w:val="none"/>
        </w:rPr>
        <w:t>démontrer que l</w:t>
      </w:r>
      <w:r w:rsidR="00B05627" w:rsidRPr="00F016A0">
        <w:rPr>
          <w:u w:val="none"/>
        </w:rPr>
        <w:t>’</w:t>
      </w:r>
      <w:r w:rsidRPr="00F016A0">
        <w:rPr>
          <w:u w:val="none"/>
        </w:rPr>
        <w:t>inventaire en question répond aux exigences énoncées à l</w:t>
      </w:r>
      <w:r w:rsidR="00B05627" w:rsidRPr="00F016A0">
        <w:rPr>
          <w:u w:val="none"/>
        </w:rPr>
        <w:t>’</w:t>
      </w:r>
      <w:r w:rsidRPr="00F016A0">
        <w:rPr>
          <w:u w:val="none"/>
        </w:rPr>
        <w:t>article</w:t>
      </w:r>
      <w:r w:rsidR="00B05627" w:rsidRPr="00F016A0">
        <w:rPr>
          <w:u w:val="none"/>
        </w:rPr>
        <w:t> </w:t>
      </w:r>
      <w:r w:rsidRPr="00F016A0">
        <w:rPr>
          <w:u w:val="none"/>
        </w:rPr>
        <w:t xml:space="preserve">12 de la Convention en ce qui concerne la mise à jour régulière, indiquant la périodicité et les modalités de </w:t>
      </w:r>
      <w:r w:rsidR="00B64980" w:rsidRPr="00F016A0">
        <w:rPr>
          <w:u w:val="none"/>
        </w:rPr>
        <w:t xml:space="preserve">la </w:t>
      </w:r>
      <w:r w:rsidRPr="00F016A0">
        <w:rPr>
          <w:u w:val="none"/>
        </w:rPr>
        <w:t>mise à jour, entendu</w:t>
      </w:r>
      <w:r w:rsidR="00B64980" w:rsidRPr="00F016A0">
        <w:rPr>
          <w:u w:val="none"/>
        </w:rPr>
        <w:t>e</w:t>
      </w:r>
      <w:r w:rsidRPr="00F016A0">
        <w:rPr>
          <w:u w:val="none"/>
        </w:rPr>
        <w:t xml:space="preserve"> non seulement comme l</w:t>
      </w:r>
      <w:r w:rsidR="00B64980" w:rsidRPr="00F016A0">
        <w:rPr>
          <w:u w:val="none"/>
        </w:rPr>
        <w:t>’</w:t>
      </w:r>
      <w:r w:rsidRPr="00F016A0">
        <w:rPr>
          <w:u w:val="none"/>
        </w:rPr>
        <w:t xml:space="preserve">ajout de nouveaux éléments, mais aussi </w:t>
      </w:r>
      <w:r w:rsidR="00B64980" w:rsidRPr="00F016A0">
        <w:rPr>
          <w:u w:val="none"/>
        </w:rPr>
        <w:t>comme la révision d</w:t>
      </w:r>
      <w:r w:rsidRPr="00F016A0">
        <w:rPr>
          <w:u w:val="none"/>
        </w:rPr>
        <w:t>es informations existantes sur la nature évolutive des éléments déjà inclus dans celui-ci</w:t>
      </w:r>
      <w:r w:rsidR="00B64980" w:rsidRPr="00F016A0">
        <w:rPr>
          <w:u w:val="none"/>
        </w:rPr>
        <w:t> </w:t>
      </w:r>
      <w:r w:rsidRPr="00F016A0">
        <w:rPr>
          <w:u w:val="none"/>
        </w:rPr>
        <w:t>;</w:t>
      </w:r>
    </w:p>
    <w:p w:rsidR="00944A6D" w:rsidRPr="005D4A7E" w:rsidRDefault="00944A6D" w:rsidP="00F016A0">
      <w:pPr>
        <w:pStyle w:val="COMParaDecision"/>
        <w:numPr>
          <w:ilvl w:val="0"/>
          <w:numId w:val="0"/>
        </w:numPr>
        <w:tabs>
          <w:tab w:val="left" w:pos="1418"/>
        </w:tabs>
        <w:ind w:left="1418" w:hanging="284"/>
      </w:pPr>
      <w:r w:rsidRPr="00F016A0">
        <w:rPr>
          <w:u w:val="none"/>
        </w:rPr>
        <w:t>d</w:t>
      </w:r>
      <w:r w:rsidR="00370E65" w:rsidRPr="00F016A0">
        <w:rPr>
          <w:u w:val="none"/>
        </w:rPr>
        <w:t>)</w:t>
      </w:r>
      <w:r w:rsidR="00370E65" w:rsidRPr="00F016A0">
        <w:rPr>
          <w:u w:val="none"/>
        </w:rPr>
        <w:tab/>
      </w:r>
      <w:r w:rsidRPr="00F016A0">
        <w:rPr>
          <w:u w:val="none"/>
        </w:rPr>
        <w:t>indiquer le nom de l</w:t>
      </w:r>
      <w:r w:rsidR="00E84BEB" w:rsidRPr="00F016A0">
        <w:rPr>
          <w:u w:val="none"/>
        </w:rPr>
        <w:t>’</w:t>
      </w:r>
      <w:r w:rsidRPr="00F016A0">
        <w:rPr>
          <w:u w:val="none"/>
        </w:rPr>
        <w:t>inventaire concerné et l</w:t>
      </w:r>
      <w:r w:rsidR="00E84BEB" w:rsidRPr="00F016A0">
        <w:rPr>
          <w:u w:val="none"/>
        </w:rPr>
        <w:t>’</w:t>
      </w:r>
      <w:r w:rsidRPr="00F016A0">
        <w:rPr>
          <w:u w:val="none"/>
        </w:rPr>
        <w:t>entité responsable (pas nécessaire</w:t>
      </w:r>
      <w:r w:rsidR="003A4DA1">
        <w:rPr>
          <w:u w:val="none"/>
        </w:rPr>
        <w:t>ment</w:t>
      </w:r>
      <w:r w:rsidRPr="00F016A0">
        <w:rPr>
          <w:u w:val="none"/>
        </w:rPr>
        <w:t xml:space="preserve"> au niveau national) </w:t>
      </w:r>
      <w:r w:rsidR="009F7199">
        <w:rPr>
          <w:u w:val="none"/>
        </w:rPr>
        <w:t>de</w:t>
      </w:r>
      <w:r w:rsidR="009F7199" w:rsidRPr="00F016A0">
        <w:rPr>
          <w:u w:val="none"/>
        </w:rPr>
        <w:t xml:space="preserve"> </w:t>
      </w:r>
      <w:r w:rsidR="00E84BEB" w:rsidRPr="00F016A0">
        <w:rPr>
          <w:u w:val="none"/>
        </w:rPr>
        <w:t xml:space="preserve">le </w:t>
      </w:r>
      <w:r w:rsidRPr="00F016A0">
        <w:rPr>
          <w:u w:val="none"/>
        </w:rPr>
        <w:t xml:space="preserve">maintenir et </w:t>
      </w:r>
      <w:r w:rsidR="00E84BEB" w:rsidRPr="00F016A0">
        <w:rPr>
          <w:u w:val="none"/>
        </w:rPr>
        <w:t xml:space="preserve">le </w:t>
      </w:r>
      <w:r w:rsidRPr="00F016A0">
        <w:rPr>
          <w:u w:val="none"/>
        </w:rPr>
        <w:t xml:space="preserve">mettre à jour, la date </w:t>
      </w:r>
      <w:r w:rsidR="00E84BEB" w:rsidRPr="00F016A0">
        <w:rPr>
          <w:u w:val="none"/>
        </w:rPr>
        <w:t xml:space="preserve">d’inscription </w:t>
      </w:r>
      <w:r w:rsidRPr="00F016A0">
        <w:rPr>
          <w:u w:val="none"/>
        </w:rPr>
        <w:t xml:space="preserve">de </w:t>
      </w:r>
      <w:r w:rsidR="00E84BEB" w:rsidRPr="00F016A0">
        <w:rPr>
          <w:u w:val="none"/>
        </w:rPr>
        <w:t xml:space="preserve">l’élément </w:t>
      </w:r>
      <w:r w:rsidRPr="00F016A0">
        <w:rPr>
          <w:u w:val="none"/>
        </w:rPr>
        <w:t xml:space="preserve">dans </w:t>
      </w:r>
      <w:r w:rsidR="00E84BEB" w:rsidRPr="00F016A0">
        <w:rPr>
          <w:u w:val="none"/>
        </w:rPr>
        <w:t xml:space="preserve">cet inventaire </w:t>
      </w:r>
      <w:r w:rsidRPr="00F016A0">
        <w:rPr>
          <w:u w:val="none"/>
        </w:rPr>
        <w:t>et sa référence</w:t>
      </w:r>
      <w:r w:rsidR="00E84BEB" w:rsidRPr="00F016A0">
        <w:rPr>
          <w:u w:val="none"/>
        </w:rPr>
        <w:t> </w:t>
      </w:r>
      <w:r w:rsidRPr="00F016A0">
        <w:rPr>
          <w:u w:val="none"/>
        </w:rPr>
        <w:t>;</w:t>
      </w:r>
    </w:p>
    <w:p w:rsidR="00944A6D" w:rsidRPr="005D4A7E" w:rsidRDefault="00944A6D" w:rsidP="00F016A0">
      <w:pPr>
        <w:pStyle w:val="COMParaDecision"/>
        <w:numPr>
          <w:ilvl w:val="0"/>
          <w:numId w:val="0"/>
        </w:numPr>
        <w:tabs>
          <w:tab w:val="left" w:pos="1418"/>
        </w:tabs>
        <w:ind w:left="1418" w:hanging="284"/>
      </w:pPr>
      <w:r w:rsidRPr="00F016A0">
        <w:rPr>
          <w:u w:val="none"/>
        </w:rPr>
        <w:t>e</w:t>
      </w:r>
      <w:r w:rsidR="00370E65" w:rsidRPr="00F016A0">
        <w:rPr>
          <w:u w:val="none"/>
        </w:rPr>
        <w:t>)</w:t>
      </w:r>
      <w:r w:rsidR="00370E65" w:rsidRPr="00F016A0">
        <w:rPr>
          <w:u w:val="none"/>
        </w:rPr>
        <w:tab/>
      </w:r>
      <w:r w:rsidR="003A4DA1">
        <w:rPr>
          <w:u w:val="none"/>
        </w:rPr>
        <w:t>inclure</w:t>
      </w:r>
      <w:r w:rsidR="003A4DA1" w:rsidRPr="00F016A0">
        <w:rPr>
          <w:u w:val="none"/>
        </w:rPr>
        <w:t xml:space="preserve"> </w:t>
      </w:r>
      <w:r w:rsidRPr="00F016A0">
        <w:rPr>
          <w:u w:val="none"/>
        </w:rPr>
        <w:t xml:space="preserve">plus </w:t>
      </w:r>
      <w:r w:rsidR="00E84BEB" w:rsidRPr="00F016A0">
        <w:rPr>
          <w:u w:val="none"/>
        </w:rPr>
        <w:t xml:space="preserve">d’informations </w:t>
      </w:r>
      <w:r w:rsidRPr="00F016A0">
        <w:rPr>
          <w:u w:val="none"/>
        </w:rPr>
        <w:t>que le nom de l</w:t>
      </w:r>
      <w:r w:rsidR="00E84BEB" w:rsidRPr="00F016A0">
        <w:rPr>
          <w:u w:val="none"/>
        </w:rPr>
        <w:t>’</w:t>
      </w:r>
      <w:r w:rsidRPr="00F016A0">
        <w:rPr>
          <w:u w:val="none"/>
        </w:rPr>
        <w:t>élément dans une liste ou seulement quelques lignes de description</w:t>
      </w:r>
      <w:r w:rsidR="00E84BEB" w:rsidRPr="00F016A0">
        <w:rPr>
          <w:u w:val="none"/>
        </w:rPr>
        <w:t> </w:t>
      </w:r>
      <w:r w:rsidRPr="00F016A0">
        <w:rPr>
          <w:u w:val="none"/>
        </w:rPr>
        <w:t xml:space="preserve">; </w:t>
      </w:r>
      <w:r w:rsidR="003A4DA1">
        <w:rPr>
          <w:u w:val="none"/>
        </w:rPr>
        <w:t xml:space="preserve">en particulier, </w:t>
      </w:r>
      <w:r w:rsidRPr="00F016A0">
        <w:rPr>
          <w:u w:val="none"/>
        </w:rPr>
        <w:t>le nom des communautés, groupes ou, le cas échéant, des individus concernés, leur situation géographique et l</w:t>
      </w:r>
      <w:r w:rsidR="00E84BEB" w:rsidRPr="00F016A0">
        <w:rPr>
          <w:u w:val="none"/>
        </w:rPr>
        <w:t>’</w:t>
      </w:r>
      <w:r w:rsidRPr="00F016A0">
        <w:rPr>
          <w:u w:val="none"/>
        </w:rPr>
        <w:t xml:space="preserve">étendue de </w:t>
      </w:r>
      <w:r w:rsidR="0079657F" w:rsidRPr="00F016A0">
        <w:rPr>
          <w:u w:val="none"/>
        </w:rPr>
        <w:t>l</w:t>
      </w:r>
      <w:r w:rsidR="0079657F">
        <w:rPr>
          <w:u w:val="none"/>
        </w:rPr>
        <w:t>’</w:t>
      </w:r>
      <w:r w:rsidR="0079657F" w:rsidRPr="00F016A0">
        <w:rPr>
          <w:u w:val="none"/>
        </w:rPr>
        <w:t xml:space="preserve">élément </w:t>
      </w:r>
      <w:r w:rsidRPr="00F016A0">
        <w:rPr>
          <w:u w:val="none"/>
        </w:rPr>
        <w:t xml:space="preserve">doivent être </w:t>
      </w:r>
      <w:r w:rsidR="00E84BEB" w:rsidRPr="00F016A0">
        <w:rPr>
          <w:u w:val="none"/>
        </w:rPr>
        <w:t xml:space="preserve">spécifiés et </w:t>
      </w:r>
      <w:r w:rsidR="0079657F">
        <w:rPr>
          <w:u w:val="none"/>
        </w:rPr>
        <w:t>ne pas contredire ce</w:t>
      </w:r>
      <w:r w:rsidR="00E84BEB" w:rsidRPr="00F016A0">
        <w:rPr>
          <w:u w:val="none"/>
        </w:rPr>
        <w:t xml:space="preserve"> qui est </w:t>
      </w:r>
      <w:r w:rsidRPr="00F016A0">
        <w:rPr>
          <w:u w:val="none"/>
        </w:rPr>
        <w:t>décrit dans le formulaire de candidature</w:t>
      </w:r>
      <w:r w:rsidR="00E84BEB" w:rsidRPr="00F016A0">
        <w:rPr>
          <w:u w:val="none"/>
        </w:rPr>
        <w:t> </w:t>
      </w:r>
      <w:r w:rsidRPr="00F016A0">
        <w:rPr>
          <w:u w:val="none"/>
        </w:rPr>
        <w:t>;</w:t>
      </w:r>
    </w:p>
    <w:p w:rsidR="00944A6D" w:rsidRPr="005D4A7E" w:rsidRDefault="00944A6D" w:rsidP="00F016A0">
      <w:pPr>
        <w:pStyle w:val="COMParaDecision"/>
        <w:ind w:left="1134" w:hanging="567"/>
      </w:pPr>
      <w:r w:rsidRPr="00F016A0">
        <w:t>Décide</w:t>
      </w:r>
      <w:r w:rsidRPr="00F016A0">
        <w:rPr>
          <w:u w:val="none"/>
        </w:rPr>
        <w:t xml:space="preserve"> que le critère R.5/U.5 ne </w:t>
      </w:r>
      <w:r w:rsidR="003A4DA1" w:rsidRPr="00F016A0">
        <w:rPr>
          <w:u w:val="none"/>
        </w:rPr>
        <w:t>ser</w:t>
      </w:r>
      <w:r w:rsidR="003A4DA1">
        <w:rPr>
          <w:u w:val="none"/>
        </w:rPr>
        <w:t>a</w:t>
      </w:r>
      <w:r w:rsidR="003A4DA1" w:rsidRPr="00F016A0">
        <w:rPr>
          <w:u w:val="none"/>
        </w:rPr>
        <w:t xml:space="preserve"> </w:t>
      </w:r>
      <w:r w:rsidRPr="00F016A0">
        <w:rPr>
          <w:u w:val="none"/>
        </w:rPr>
        <w:t xml:space="preserve">pas considéré </w:t>
      </w:r>
      <w:r w:rsidR="007F0FC4" w:rsidRPr="00F016A0">
        <w:rPr>
          <w:u w:val="none"/>
        </w:rPr>
        <w:t xml:space="preserve">satisfait </w:t>
      </w:r>
      <w:r w:rsidR="003A4DA1">
        <w:rPr>
          <w:u w:val="none"/>
        </w:rPr>
        <w:t xml:space="preserve">si </w:t>
      </w:r>
      <w:r w:rsidR="003A4DA1" w:rsidRPr="00F016A0">
        <w:rPr>
          <w:u w:val="none"/>
        </w:rPr>
        <w:t xml:space="preserve">les extraits pertinents des inventaires </w:t>
      </w:r>
      <w:r w:rsidRPr="00F016A0">
        <w:rPr>
          <w:u w:val="none"/>
        </w:rPr>
        <w:t xml:space="preserve">ne respectent pas les principes directeurs </w:t>
      </w:r>
      <w:r w:rsidR="007F0FC4" w:rsidRPr="00F016A0">
        <w:rPr>
          <w:u w:val="none"/>
        </w:rPr>
        <w:t xml:space="preserve">mentionnés ci-dessus </w:t>
      </w:r>
      <w:r w:rsidRPr="00F016A0">
        <w:rPr>
          <w:u w:val="none"/>
        </w:rPr>
        <w:t xml:space="preserve">et les décisions pertinentes en vigueur au moment de la </w:t>
      </w:r>
      <w:r w:rsidR="007F0FC4" w:rsidRPr="00F016A0">
        <w:rPr>
          <w:u w:val="none"/>
        </w:rPr>
        <w:t xml:space="preserve">soumission </w:t>
      </w:r>
      <w:r w:rsidRPr="00F016A0">
        <w:rPr>
          <w:u w:val="none"/>
        </w:rPr>
        <w:t xml:space="preserve">des candidatures, y compris </w:t>
      </w:r>
      <w:r w:rsidR="007F0FC4" w:rsidRPr="00F016A0">
        <w:rPr>
          <w:u w:val="none"/>
        </w:rPr>
        <w:t xml:space="preserve">les dossiers </w:t>
      </w:r>
      <w:r w:rsidRPr="00F016A0">
        <w:rPr>
          <w:u w:val="none"/>
        </w:rPr>
        <w:t xml:space="preserve">précédemment </w:t>
      </w:r>
      <w:r w:rsidR="007F0FC4" w:rsidRPr="00F016A0">
        <w:rPr>
          <w:u w:val="none"/>
        </w:rPr>
        <w:t>renvoyés </w:t>
      </w:r>
      <w:r w:rsidRPr="00F016A0">
        <w:rPr>
          <w:u w:val="none"/>
        </w:rPr>
        <w:t>;</w:t>
      </w:r>
    </w:p>
    <w:p w:rsidR="00944A6D" w:rsidRPr="005D4A7E" w:rsidRDefault="00944A6D" w:rsidP="00F016A0">
      <w:pPr>
        <w:pStyle w:val="COMParaDecision"/>
        <w:ind w:left="1134" w:hanging="567"/>
      </w:pPr>
      <w:r w:rsidRPr="00F016A0">
        <w:t>Prie</w:t>
      </w:r>
      <w:r w:rsidRPr="00F016A0">
        <w:rPr>
          <w:u w:val="none"/>
        </w:rPr>
        <w:t xml:space="preserve"> le Secrétariat de préparer un</w:t>
      </w:r>
      <w:r w:rsidR="002D1742" w:rsidRPr="00F016A0">
        <w:rPr>
          <w:u w:val="none"/>
        </w:rPr>
        <w:t xml:space="preserve"> ensemble d’</w:t>
      </w:r>
      <w:r w:rsidR="007F0FC4" w:rsidRPr="00F016A0">
        <w:rPr>
          <w:u w:val="none"/>
        </w:rPr>
        <w:t>orientation</w:t>
      </w:r>
      <w:r w:rsidR="002D1742" w:rsidRPr="00F016A0">
        <w:rPr>
          <w:u w:val="none"/>
        </w:rPr>
        <w:t>s</w:t>
      </w:r>
      <w:r w:rsidR="007F0FC4" w:rsidRPr="00F016A0">
        <w:rPr>
          <w:u w:val="none"/>
        </w:rPr>
        <w:t xml:space="preserve"> </w:t>
      </w:r>
      <w:r w:rsidRPr="00F016A0">
        <w:rPr>
          <w:u w:val="none"/>
        </w:rPr>
        <w:t xml:space="preserve">sur les </w:t>
      </w:r>
      <w:r w:rsidR="007F0FC4" w:rsidRPr="00F016A0">
        <w:rPr>
          <w:u w:val="none"/>
        </w:rPr>
        <w:t xml:space="preserve">inventaires </w:t>
      </w:r>
      <w:r w:rsidR="002D1742" w:rsidRPr="00F016A0">
        <w:rPr>
          <w:u w:val="none"/>
        </w:rPr>
        <w:t>à l’intention des</w:t>
      </w:r>
      <w:r w:rsidRPr="00F016A0">
        <w:rPr>
          <w:u w:val="none"/>
        </w:rPr>
        <w:t xml:space="preserve"> États parties, </w:t>
      </w:r>
      <w:r w:rsidR="007F0FC4" w:rsidRPr="00F016A0">
        <w:rPr>
          <w:u w:val="none"/>
        </w:rPr>
        <w:t>comprenant</w:t>
      </w:r>
      <w:r w:rsidRPr="00F016A0">
        <w:rPr>
          <w:u w:val="none"/>
        </w:rPr>
        <w:t xml:space="preserve"> </w:t>
      </w:r>
      <w:r w:rsidR="007F0FC4" w:rsidRPr="00F016A0">
        <w:rPr>
          <w:u w:val="none"/>
        </w:rPr>
        <w:t xml:space="preserve">les </w:t>
      </w:r>
      <w:r w:rsidRPr="00F016A0">
        <w:rPr>
          <w:u w:val="none"/>
        </w:rPr>
        <w:t>norme</w:t>
      </w:r>
      <w:r w:rsidR="007F0FC4" w:rsidRPr="00F016A0">
        <w:rPr>
          <w:u w:val="none"/>
        </w:rPr>
        <w:t>s</w:t>
      </w:r>
      <w:r w:rsidRPr="00F016A0">
        <w:rPr>
          <w:u w:val="none"/>
        </w:rPr>
        <w:t xml:space="preserve"> minimale</w:t>
      </w:r>
      <w:r w:rsidR="007F0FC4" w:rsidRPr="00F016A0">
        <w:rPr>
          <w:u w:val="none"/>
        </w:rPr>
        <w:t>s</w:t>
      </w:r>
      <w:r w:rsidRPr="00F016A0">
        <w:rPr>
          <w:u w:val="none"/>
        </w:rPr>
        <w:t xml:space="preserve"> mentionnée</w:t>
      </w:r>
      <w:r w:rsidR="007F0FC4" w:rsidRPr="00F016A0">
        <w:rPr>
          <w:u w:val="none"/>
        </w:rPr>
        <w:t>s</w:t>
      </w:r>
      <w:r w:rsidRPr="00F016A0">
        <w:rPr>
          <w:u w:val="none"/>
        </w:rPr>
        <w:t xml:space="preserve"> ci-dessus</w:t>
      </w:r>
      <w:r w:rsidR="002D1742" w:rsidRPr="00F016A0">
        <w:rPr>
          <w:u w:val="none"/>
        </w:rPr>
        <w:t xml:space="preserve"> et te</w:t>
      </w:r>
      <w:r w:rsidR="007F0FC4" w:rsidRPr="00F016A0">
        <w:rPr>
          <w:u w:val="none"/>
        </w:rPr>
        <w:t xml:space="preserve">nant </w:t>
      </w:r>
      <w:r w:rsidRPr="00F016A0">
        <w:rPr>
          <w:u w:val="none"/>
        </w:rPr>
        <w:t xml:space="preserve">compte des décisions antérieures du Comité et </w:t>
      </w:r>
      <w:r w:rsidR="007F0FC4" w:rsidRPr="00F016A0">
        <w:rPr>
          <w:u w:val="none"/>
        </w:rPr>
        <w:t>d</w:t>
      </w:r>
      <w:r w:rsidRPr="00F016A0">
        <w:rPr>
          <w:u w:val="none"/>
        </w:rPr>
        <w:t xml:space="preserve">es recommandations des organes, </w:t>
      </w:r>
      <w:r w:rsidR="00ED5DDE">
        <w:rPr>
          <w:u w:val="none"/>
        </w:rPr>
        <w:t xml:space="preserve">et </w:t>
      </w:r>
      <w:r w:rsidRPr="00F016A0">
        <w:rPr>
          <w:u w:val="none"/>
        </w:rPr>
        <w:t>d</w:t>
      </w:r>
      <w:r w:rsidR="007F0FC4" w:rsidRPr="00F016A0">
        <w:rPr>
          <w:u w:val="none"/>
        </w:rPr>
        <w:t>’aligner</w:t>
      </w:r>
      <w:r w:rsidRPr="00F016A0">
        <w:rPr>
          <w:u w:val="none"/>
        </w:rPr>
        <w:t xml:space="preserve"> les formulaires de candidature en conséquence</w:t>
      </w:r>
      <w:r w:rsidR="007F0FC4" w:rsidRPr="00F016A0">
        <w:rPr>
          <w:u w:val="none"/>
        </w:rPr>
        <w:t> </w:t>
      </w:r>
      <w:r w:rsidRPr="00F016A0">
        <w:rPr>
          <w:u w:val="none"/>
        </w:rPr>
        <w:t>;</w:t>
      </w:r>
    </w:p>
    <w:p w:rsidR="00944A6D" w:rsidRPr="009F7199" w:rsidRDefault="00944A6D" w:rsidP="00F016A0">
      <w:pPr>
        <w:pStyle w:val="COMParaDecision"/>
        <w:ind w:left="1134" w:hanging="567"/>
      </w:pPr>
      <w:r w:rsidRPr="009F7199">
        <w:t>Encourage</w:t>
      </w:r>
      <w:r w:rsidR="00213954">
        <w:t xml:space="preserve"> en outre</w:t>
      </w:r>
      <w:r w:rsidRPr="009F7199">
        <w:rPr>
          <w:u w:val="none"/>
        </w:rPr>
        <w:t xml:space="preserve"> les États parties à </w:t>
      </w:r>
      <w:r w:rsidR="00656DE4" w:rsidRPr="00B86CF6">
        <w:rPr>
          <w:u w:val="none"/>
        </w:rPr>
        <w:t>profiter</w:t>
      </w:r>
      <w:r w:rsidR="00BB16BD" w:rsidRPr="009F7199">
        <w:rPr>
          <w:u w:val="none"/>
        </w:rPr>
        <w:t xml:space="preserve"> </w:t>
      </w:r>
      <w:r w:rsidRPr="009F7199">
        <w:rPr>
          <w:u w:val="none"/>
        </w:rPr>
        <w:t>du formulaire ICH-01bis combiné qui permet la soumission d</w:t>
      </w:r>
      <w:r w:rsidR="00F90FB9" w:rsidRPr="009F7199">
        <w:rPr>
          <w:u w:val="none"/>
        </w:rPr>
        <w:t>’une</w:t>
      </w:r>
      <w:r w:rsidRPr="009F7199">
        <w:rPr>
          <w:u w:val="none"/>
        </w:rPr>
        <w:t xml:space="preserve"> candidature pour inscription sur la Liste de sauvegarde urgente et, simultanément, d</w:t>
      </w:r>
      <w:r w:rsidR="00F90FB9" w:rsidRPr="009F7199">
        <w:rPr>
          <w:u w:val="none"/>
        </w:rPr>
        <w:t>’</w:t>
      </w:r>
      <w:r w:rsidRPr="009F7199">
        <w:rPr>
          <w:u w:val="none"/>
        </w:rPr>
        <w:t>une demande d</w:t>
      </w:r>
      <w:r w:rsidR="00F90FB9" w:rsidRPr="009F7199">
        <w:rPr>
          <w:u w:val="none"/>
        </w:rPr>
        <w:t>’</w:t>
      </w:r>
      <w:r w:rsidRPr="009F7199">
        <w:rPr>
          <w:u w:val="none"/>
        </w:rPr>
        <w:t xml:space="preserve">assistance internationale du Fonds du patrimoine culturel immatériel pour financer </w:t>
      </w:r>
      <w:r w:rsidR="00F90FB9" w:rsidRPr="009F7199">
        <w:rPr>
          <w:u w:val="none"/>
        </w:rPr>
        <w:t xml:space="preserve">le plan de </w:t>
      </w:r>
      <w:r w:rsidRPr="009F7199">
        <w:rPr>
          <w:u w:val="none"/>
        </w:rPr>
        <w:t xml:space="preserve">sauvegarde proposé associé à cette </w:t>
      </w:r>
      <w:r w:rsidR="00B31688" w:rsidRPr="009F7199">
        <w:rPr>
          <w:u w:val="none"/>
        </w:rPr>
        <w:t>candidature </w:t>
      </w:r>
      <w:r w:rsidRPr="009F7199">
        <w:rPr>
          <w:u w:val="none"/>
        </w:rPr>
        <w:t>;</w:t>
      </w:r>
    </w:p>
    <w:p w:rsidR="00210355" w:rsidRPr="001631E7" w:rsidRDefault="00944A6D">
      <w:pPr>
        <w:pStyle w:val="COMParaDecision"/>
        <w:ind w:left="1134" w:hanging="567"/>
      </w:pPr>
      <w:r w:rsidRPr="00F016A0">
        <w:t>Encourage</w:t>
      </w:r>
      <w:r w:rsidR="00BB16BD">
        <w:t xml:space="preserve"> également</w:t>
      </w:r>
      <w:r w:rsidRPr="00F016A0">
        <w:rPr>
          <w:u w:val="none"/>
        </w:rPr>
        <w:t xml:space="preserve"> le Secrétariat à continuer à offrir une assistance technique </w:t>
      </w:r>
      <w:r w:rsidR="001631E7">
        <w:rPr>
          <w:u w:val="none"/>
        </w:rPr>
        <w:t xml:space="preserve">et d’autres formes de soutien </w:t>
      </w:r>
      <w:r w:rsidRPr="00F016A0">
        <w:rPr>
          <w:u w:val="none"/>
        </w:rPr>
        <w:t xml:space="preserve">aux États parties souhaitant demander </w:t>
      </w:r>
      <w:r w:rsidR="00F90FB9" w:rsidRPr="00F016A0">
        <w:rPr>
          <w:u w:val="none"/>
        </w:rPr>
        <w:t xml:space="preserve">une assistance </w:t>
      </w:r>
      <w:r w:rsidRPr="00F016A0">
        <w:rPr>
          <w:u w:val="none"/>
        </w:rPr>
        <w:t xml:space="preserve">internationale et </w:t>
      </w:r>
      <w:r w:rsidRPr="005D4A7E">
        <w:t>invite</w:t>
      </w:r>
      <w:r w:rsidRPr="00F016A0">
        <w:rPr>
          <w:u w:val="none"/>
        </w:rPr>
        <w:t xml:space="preserve"> les États parties à profiter de </w:t>
      </w:r>
      <w:r w:rsidR="00A723C9">
        <w:rPr>
          <w:u w:val="none"/>
        </w:rPr>
        <w:t>ces</w:t>
      </w:r>
      <w:r w:rsidR="00A723C9" w:rsidRPr="00F016A0">
        <w:rPr>
          <w:u w:val="none"/>
        </w:rPr>
        <w:t xml:space="preserve"> </w:t>
      </w:r>
      <w:r w:rsidRPr="00F016A0">
        <w:rPr>
          <w:u w:val="none"/>
        </w:rPr>
        <w:t>possibilité</w:t>
      </w:r>
      <w:r w:rsidR="00A723C9">
        <w:rPr>
          <w:u w:val="none"/>
        </w:rPr>
        <w:t>s</w:t>
      </w:r>
      <w:r w:rsidR="00F90FB9" w:rsidRPr="00F016A0">
        <w:rPr>
          <w:u w:val="none"/>
        </w:rPr>
        <w:t>.</w:t>
      </w:r>
    </w:p>
    <w:sectPr w:rsidR="00210355" w:rsidRPr="001631E7" w:rsidSect="00655736">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E53" w:rsidRDefault="00A20E53" w:rsidP="00655736">
      <w:r>
        <w:separator/>
      </w:r>
    </w:p>
    <w:p w:rsidR="00A20E53" w:rsidRDefault="00A20E53"/>
    <w:p w:rsidR="00A20E53" w:rsidRDefault="00A20E53" w:rsidP="002E58D4"/>
    <w:p w:rsidR="00A20E53" w:rsidRDefault="00A20E53" w:rsidP="002E58D4"/>
    <w:p w:rsidR="00A20E53" w:rsidRDefault="00A20E53" w:rsidP="002E58D4"/>
  </w:endnote>
  <w:endnote w:type="continuationSeparator" w:id="0">
    <w:p w:rsidR="00A20E53" w:rsidRDefault="00A20E53" w:rsidP="00655736">
      <w:r>
        <w:continuationSeparator/>
      </w:r>
    </w:p>
    <w:p w:rsidR="00A20E53" w:rsidRDefault="00A20E53"/>
    <w:p w:rsidR="00A20E53" w:rsidRDefault="00A20E53" w:rsidP="002E58D4"/>
    <w:p w:rsidR="00A20E53" w:rsidRDefault="00A20E53" w:rsidP="002E58D4"/>
    <w:p w:rsidR="00A20E53" w:rsidRDefault="00A20E53"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明朝 ProN W3">
    <w:altName w:val="MS Mincho"/>
    <w:charset w:val="80"/>
    <w:family w:val="auto"/>
    <w:pitch w:val="variable"/>
    <w:sig w:usb0="00000000" w:usb1="00000000" w:usb2="01000407"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F7F" w:rsidRDefault="00626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F7F" w:rsidRDefault="00626F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F7F" w:rsidRDefault="00626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E53" w:rsidRDefault="00A20E53" w:rsidP="00655736">
      <w:r>
        <w:separator/>
      </w:r>
    </w:p>
    <w:p w:rsidR="00A20E53" w:rsidRDefault="00A20E53"/>
    <w:p w:rsidR="00A20E53" w:rsidRDefault="00A20E53" w:rsidP="002E58D4"/>
    <w:p w:rsidR="00A20E53" w:rsidRDefault="00A20E53" w:rsidP="002E58D4"/>
    <w:p w:rsidR="00A20E53" w:rsidRDefault="00A20E53" w:rsidP="002E58D4"/>
  </w:footnote>
  <w:footnote w:type="continuationSeparator" w:id="0">
    <w:p w:rsidR="00A20E53" w:rsidRDefault="00A20E53" w:rsidP="00655736">
      <w:r>
        <w:continuationSeparator/>
      </w:r>
    </w:p>
    <w:p w:rsidR="00A20E53" w:rsidRDefault="00A20E53"/>
    <w:p w:rsidR="00A20E53" w:rsidRDefault="00A20E53" w:rsidP="002E58D4"/>
    <w:p w:rsidR="00A20E53" w:rsidRDefault="00A20E53" w:rsidP="002E58D4"/>
    <w:p w:rsidR="00A20E53" w:rsidRDefault="00A20E53" w:rsidP="002E58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53" w:rsidRPr="002E58D4" w:rsidRDefault="00A20E53" w:rsidP="002E58D4">
    <w:pPr>
      <w:pStyle w:val="Header"/>
      <w:rPr>
        <w:rFonts w:ascii="Arial" w:hAnsi="Arial" w:cs="Arial"/>
        <w:lang w:val="en-US"/>
      </w:rPr>
    </w:pPr>
    <w:r>
      <w:rPr>
        <w:rFonts w:ascii="Arial" w:hAnsi="Arial" w:cs="Arial"/>
        <w:sz w:val="20"/>
        <w:szCs w:val="20"/>
        <w:lang w:val="en-US"/>
      </w:rPr>
      <w:t>ITH/15/10.COM/10</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D1E75">
      <w:rPr>
        <w:rStyle w:val="PageNumber"/>
        <w:rFonts w:ascii="Arial" w:hAnsi="Arial" w:cs="Arial"/>
        <w:noProof/>
        <w:sz w:val="20"/>
        <w:szCs w:val="20"/>
        <w:lang w:val="en-US"/>
      </w:rPr>
      <w:t>22</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53" w:rsidRPr="00BC3420" w:rsidRDefault="00A20E53" w:rsidP="00BC3420">
    <w:pPr>
      <w:pStyle w:val="Header"/>
      <w:jc w:val="right"/>
      <w:rPr>
        <w:rFonts w:ascii="Arial" w:hAnsi="Arial" w:cs="Arial"/>
        <w:lang w:val="en-US"/>
      </w:rPr>
    </w:pPr>
    <w:r>
      <w:rPr>
        <w:rFonts w:ascii="Arial" w:hAnsi="Arial" w:cs="Arial"/>
        <w:sz w:val="20"/>
        <w:szCs w:val="20"/>
        <w:lang w:val="en-US"/>
      </w:rPr>
      <w:t>ITH/15/10.COM/10</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CD1E75">
      <w:rPr>
        <w:rStyle w:val="PageNumber"/>
        <w:rFonts w:ascii="Arial" w:hAnsi="Arial" w:cs="Arial"/>
        <w:noProof/>
        <w:sz w:val="20"/>
        <w:szCs w:val="20"/>
        <w:lang w:val="en-US"/>
      </w:rPr>
      <w:t>23</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53" w:rsidRPr="008724E5" w:rsidRDefault="00A20E53">
    <w:pPr>
      <w:pStyle w:val="Header"/>
    </w:pPr>
    <w:r>
      <w:rPr>
        <w:noProof/>
        <w:lang w:eastAsia="zh-CN" w:bidi="ar-SA"/>
      </w:rPr>
      <w:drawing>
        <wp:anchor distT="0" distB="0" distL="114300" distR="114300" simplePos="0" relativeHeight="251657728" behindDoc="0" locked="0" layoutInCell="1" allowOverlap="1">
          <wp:simplePos x="0" y="0"/>
          <wp:positionH relativeFrom="column">
            <wp:posOffset>-377190</wp:posOffset>
          </wp:positionH>
          <wp:positionV relativeFrom="paragraph">
            <wp:posOffset>5080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anchor>
      </w:drawing>
    </w:r>
  </w:p>
  <w:p w:rsidR="00A20E53" w:rsidRPr="006D5B5F" w:rsidRDefault="00A20E53" w:rsidP="00655736">
    <w:pPr>
      <w:pStyle w:val="Header"/>
      <w:spacing w:after="520"/>
      <w:jc w:val="right"/>
      <w:rPr>
        <w:rFonts w:ascii="Arial" w:hAnsi="Arial" w:cs="Arial"/>
        <w:b/>
        <w:sz w:val="44"/>
        <w:szCs w:val="44"/>
      </w:rPr>
    </w:pPr>
    <w:r w:rsidRPr="006D5B5F">
      <w:rPr>
        <w:rFonts w:ascii="Arial" w:hAnsi="Arial" w:cs="Arial"/>
        <w:b/>
        <w:sz w:val="44"/>
        <w:szCs w:val="44"/>
      </w:rPr>
      <w:t>10 COM</w:t>
    </w:r>
  </w:p>
  <w:p w:rsidR="00A20E53" w:rsidRPr="006D5B5F" w:rsidRDefault="00A20E53" w:rsidP="00655736">
    <w:pPr>
      <w:jc w:val="right"/>
      <w:rPr>
        <w:rFonts w:ascii="Arial" w:hAnsi="Arial" w:cs="Arial"/>
        <w:b/>
        <w:sz w:val="22"/>
        <w:szCs w:val="22"/>
      </w:rPr>
    </w:pPr>
    <w:r w:rsidRPr="006D5B5F">
      <w:rPr>
        <w:rFonts w:ascii="Arial" w:hAnsi="Arial" w:cs="Arial"/>
        <w:b/>
        <w:sz w:val="22"/>
        <w:szCs w:val="22"/>
      </w:rPr>
      <w:t>ITH/15/10.COM/</w:t>
    </w:r>
    <w:r w:rsidR="00B86CF6" w:rsidRPr="006D5B5F">
      <w:rPr>
        <w:rFonts w:ascii="Arial" w:hAnsi="Arial" w:cs="Arial"/>
        <w:b/>
        <w:sz w:val="22"/>
        <w:szCs w:val="22"/>
      </w:rPr>
      <w:t>10</w:t>
    </w:r>
  </w:p>
  <w:p w:rsidR="00A20E53" w:rsidRPr="006D5B5F" w:rsidRDefault="00A20E53" w:rsidP="00655736">
    <w:pPr>
      <w:jc w:val="right"/>
      <w:rPr>
        <w:rFonts w:ascii="Arial" w:hAnsi="Arial" w:cs="Arial"/>
        <w:b/>
        <w:sz w:val="22"/>
        <w:szCs w:val="22"/>
      </w:rPr>
    </w:pPr>
    <w:r w:rsidRPr="006D5B5F">
      <w:rPr>
        <w:rFonts w:ascii="Arial" w:hAnsi="Arial" w:cs="Arial"/>
        <w:b/>
        <w:sz w:val="22"/>
        <w:szCs w:val="22"/>
      </w:rPr>
      <w:t xml:space="preserve">Paris, le </w:t>
    </w:r>
    <w:r w:rsidR="00397004">
      <w:rPr>
        <w:rFonts w:ascii="Arial" w:hAnsi="Arial" w:cs="Arial"/>
        <w:b/>
        <w:sz w:val="22"/>
        <w:szCs w:val="22"/>
      </w:rPr>
      <w:t>2 novembre</w:t>
    </w:r>
    <w:r w:rsidRPr="006D5B5F">
      <w:rPr>
        <w:rFonts w:ascii="Arial" w:hAnsi="Arial" w:cs="Arial"/>
        <w:b/>
        <w:sz w:val="22"/>
        <w:szCs w:val="22"/>
      </w:rPr>
      <w:t xml:space="preserve"> 2015</w:t>
    </w:r>
  </w:p>
  <w:p w:rsidR="00A20E53" w:rsidRPr="006D5B5F" w:rsidRDefault="00A20E53" w:rsidP="003E2A08">
    <w:pPr>
      <w:jc w:val="right"/>
      <w:rPr>
        <w:rFonts w:ascii="Arial" w:hAnsi="Arial" w:cs="Arial"/>
        <w:b/>
        <w:sz w:val="22"/>
        <w:szCs w:val="22"/>
      </w:rPr>
    </w:pPr>
    <w:r w:rsidRPr="006D5B5F">
      <w:rPr>
        <w:rFonts w:ascii="Arial" w:hAnsi="Arial" w:cs="Arial"/>
        <w:b/>
        <w:sz w:val="22"/>
        <w:szCs w:val="22"/>
      </w:rPr>
      <w:t>Original : anglais</w:t>
    </w:r>
  </w:p>
  <w:p w:rsidR="00A20E53" w:rsidRPr="0057439C" w:rsidRDefault="00A20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F07BFE"/>
    <w:multiLevelType w:val="hybridMultilevel"/>
    <w:tmpl w:val="1B4CBCFE"/>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B1"/>
    <w:rsid w:val="000012FB"/>
    <w:rsid w:val="00004364"/>
    <w:rsid w:val="0001488C"/>
    <w:rsid w:val="000205CB"/>
    <w:rsid w:val="00020BFC"/>
    <w:rsid w:val="00022428"/>
    <w:rsid w:val="00023EB2"/>
    <w:rsid w:val="000263BA"/>
    <w:rsid w:val="00030147"/>
    <w:rsid w:val="000348D7"/>
    <w:rsid w:val="0003530D"/>
    <w:rsid w:val="00040586"/>
    <w:rsid w:val="00045226"/>
    <w:rsid w:val="0005176E"/>
    <w:rsid w:val="00051BE9"/>
    <w:rsid w:val="0007343B"/>
    <w:rsid w:val="00074B22"/>
    <w:rsid w:val="00077AB7"/>
    <w:rsid w:val="00080205"/>
    <w:rsid w:val="00081023"/>
    <w:rsid w:val="000819FE"/>
    <w:rsid w:val="00081CD8"/>
    <w:rsid w:val="0008329C"/>
    <w:rsid w:val="000861DE"/>
    <w:rsid w:val="0008768B"/>
    <w:rsid w:val="00093E9E"/>
    <w:rsid w:val="000A2E07"/>
    <w:rsid w:val="000A5076"/>
    <w:rsid w:val="000A7F0E"/>
    <w:rsid w:val="000B0CA6"/>
    <w:rsid w:val="000E2EBF"/>
    <w:rsid w:val="000E538D"/>
    <w:rsid w:val="000E6CD7"/>
    <w:rsid w:val="000F28C7"/>
    <w:rsid w:val="000F2D64"/>
    <w:rsid w:val="000F3A3F"/>
    <w:rsid w:val="0010605C"/>
    <w:rsid w:val="0011743A"/>
    <w:rsid w:val="00126457"/>
    <w:rsid w:val="00150D93"/>
    <w:rsid w:val="001621D5"/>
    <w:rsid w:val="001631E7"/>
    <w:rsid w:val="00164D56"/>
    <w:rsid w:val="00165170"/>
    <w:rsid w:val="00166FEA"/>
    <w:rsid w:val="00167B10"/>
    <w:rsid w:val="00174AC7"/>
    <w:rsid w:val="00181459"/>
    <w:rsid w:val="00184BE3"/>
    <w:rsid w:val="00185F57"/>
    <w:rsid w:val="0019264E"/>
    <w:rsid w:val="00195697"/>
    <w:rsid w:val="0019638D"/>
    <w:rsid w:val="00196C1B"/>
    <w:rsid w:val="001A272E"/>
    <w:rsid w:val="001A6990"/>
    <w:rsid w:val="001A766C"/>
    <w:rsid w:val="001B0F73"/>
    <w:rsid w:val="001B6FD7"/>
    <w:rsid w:val="001C151C"/>
    <w:rsid w:val="001C186A"/>
    <w:rsid w:val="001D0420"/>
    <w:rsid w:val="001D7029"/>
    <w:rsid w:val="001E5284"/>
    <w:rsid w:val="001F606E"/>
    <w:rsid w:val="0020150F"/>
    <w:rsid w:val="00210355"/>
    <w:rsid w:val="00213954"/>
    <w:rsid w:val="00214877"/>
    <w:rsid w:val="00216B7C"/>
    <w:rsid w:val="00222A2D"/>
    <w:rsid w:val="0022471B"/>
    <w:rsid w:val="0022739A"/>
    <w:rsid w:val="00233155"/>
    <w:rsid w:val="00234DBB"/>
    <w:rsid w:val="0023538C"/>
    <w:rsid w:val="002407AF"/>
    <w:rsid w:val="00245B43"/>
    <w:rsid w:val="002524AF"/>
    <w:rsid w:val="00271A22"/>
    <w:rsid w:val="00277683"/>
    <w:rsid w:val="00280D62"/>
    <w:rsid w:val="00282CAA"/>
    <w:rsid w:val="00287966"/>
    <w:rsid w:val="002A0F59"/>
    <w:rsid w:val="002A18B4"/>
    <w:rsid w:val="002A6C11"/>
    <w:rsid w:val="002A6F73"/>
    <w:rsid w:val="002B3ADC"/>
    <w:rsid w:val="002B54E9"/>
    <w:rsid w:val="002B6B03"/>
    <w:rsid w:val="002C0718"/>
    <w:rsid w:val="002C0D14"/>
    <w:rsid w:val="002D101B"/>
    <w:rsid w:val="002D1742"/>
    <w:rsid w:val="002D2A07"/>
    <w:rsid w:val="002D4B0E"/>
    <w:rsid w:val="002D4CFD"/>
    <w:rsid w:val="002E01E7"/>
    <w:rsid w:val="002E3A76"/>
    <w:rsid w:val="002E3D25"/>
    <w:rsid w:val="002E3D26"/>
    <w:rsid w:val="002E58D4"/>
    <w:rsid w:val="002E7575"/>
    <w:rsid w:val="002E7ADE"/>
    <w:rsid w:val="003057E8"/>
    <w:rsid w:val="00306D94"/>
    <w:rsid w:val="00311809"/>
    <w:rsid w:val="00314F6E"/>
    <w:rsid w:val="003404E9"/>
    <w:rsid w:val="00340AB9"/>
    <w:rsid w:val="00345111"/>
    <w:rsid w:val="00346E14"/>
    <w:rsid w:val="00364026"/>
    <w:rsid w:val="00370E65"/>
    <w:rsid w:val="00372A1F"/>
    <w:rsid w:val="00374BAC"/>
    <w:rsid w:val="0037544C"/>
    <w:rsid w:val="003773B0"/>
    <w:rsid w:val="003845BE"/>
    <w:rsid w:val="00384F99"/>
    <w:rsid w:val="00397004"/>
    <w:rsid w:val="003A4DA1"/>
    <w:rsid w:val="003B3593"/>
    <w:rsid w:val="003B6E44"/>
    <w:rsid w:val="003C1678"/>
    <w:rsid w:val="003D069C"/>
    <w:rsid w:val="003E07D8"/>
    <w:rsid w:val="003E0E8B"/>
    <w:rsid w:val="003E2A08"/>
    <w:rsid w:val="003E7E21"/>
    <w:rsid w:val="003F113A"/>
    <w:rsid w:val="003F7BE4"/>
    <w:rsid w:val="0040313C"/>
    <w:rsid w:val="00406005"/>
    <w:rsid w:val="00411535"/>
    <w:rsid w:val="004239C7"/>
    <w:rsid w:val="00432763"/>
    <w:rsid w:val="004353C2"/>
    <w:rsid w:val="0043700C"/>
    <w:rsid w:val="00440F9B"/>
    <w:rsid w:val="00441E23"/>
    <w:rsid w:val="004421E5"/>
    <w:rsid w:val="00443880"/>
    <w:rsid w:val="0045190B"/>
    <w:rsid w:val="00452284"/>
    <w:rsid w:val="0046103F"/>
    <w:rsid w:val="00467C1C"/>
    <w:rsid w:val="00473D8B"/>
    <w:rsid w:val="00486948"/>
    <w:rsid w:val="0048742C"/>
    <w:rsid w:val="00490E97"/>
    <w:rsid w:val="00494316"/>
    <w:rsid w:val="0049705E"/>
    <w:rsid w:val="004B3BFE"/>
    <w:rsid w:val="004B47F5"/>
    <w:rsid w:val="004B6392"/>
    <w:rsid w:val="004C62E9"/>
    <w:rsid w:val="004E6ACB"/>
    <w:rsid w:val="004E7025"/>
    <w:rsid w:val="00502AC8"/>
    <w:rsid w:val="00505A6C"/>
    <w:rsid w:val="00511099"/>
    <w:rsid w:val="00511AC0"/>
    <w:rsid w:val="00513DFA"/>
    <w:rsid w:val="00515619"/>
    <w:rsid w:val="005162A1"/>
    <w:rsid w:val="00526B7B"/>
    <w:rsid w:val="005308CE"/>
    <w:rsid w:val="00542FA2"/>
    <w:rsid w:val="00547F80"/>
    <w:rsid w:val="00567AE8"/>
    <w:rsid w:val="0057439C"/>
    <w:rsid w:val="00574C8C"/>
    <w:rsid w:val="0058025D"/>
    <w:rsid w:val="00593507"/>
    <w:rsid w:val="005940FF"/>
    <w:rsid w:val="00594646"/>
    <w:rsid w:val="005961C5"/>
    <w:rsid w:val="005B0127"/>
    <w:rsid w:val="005B6D81"/>
    <w:rsid w:val="005C094D"/>
    <w:rsid w:val="005C127C"/>
    <w:rsid w:val="005C4B73"/>
    <w:rsid w:val="005C5BBC"/>
    <w:rsid w:val="005C5E84"/>
    <w:rsid w:val="005D4A7E"/>
    <w:rsid w:val="005E2041"/>
    <w:rsid w:val="005E5002"/>
    <w:rsid w:val="005E5857"/>
    <w:rsid w:val="005F0836"/>
    <w:rsid w:val="005F3F40"/>
    <w:rsid w:val="00600D93"/>
    <w:rsid w:val="006060B7"/>
    <w:rsid w:val="006135F4"/>
    <w:rsid w:val="00626F7F"/>
    <w:rsid w:val="00627C5C"/>
    <w:rsid w:val="0063367A"/>
    <w:rsid w:val="00635803"/>
    <w:rsid w:val="00635D72"/>
    <w:rsid w:val="00645BE5"/>
    <w:rsid w:val="00655736"/>
    <w:rsid w:val="00656DE4"/>
    <w:rsid w:val="00663B8D"/>
    <w:rsid w:val="00667D41"/>
    <w:rsid w:val="00674027"/>
    <w:rsid w:val="006914AF"/>
    <w:rsid w:val="006923BD"/>
    <w:rsid w:val="00696C8D"/>
    <w:rsid w:val="006A2AC2"/>
    <w:rsid w:val="006A3617"/>
    <w:rsid w:val="006B5001"/>
    <w:rsid w:val="006C40F6"/>
    <w:rsid w:val="006D21D9"/>
    <w:rsid w:val="006D2536"/>
    <w:rsid w:val="006D5B5F"/>
    <w:rsid w:val="006D673B"/>
    <w:rsid w:val="006E4168"/>
    <w:rsid w:val="006E46E4"/>
    <w:rsid w:val="006E58C9"/>
    <w:rsid w:val="007004C9"/>
    <w:rsid w:val="00704238"/>
    <w:rsid w:val="00716F68"/>
    <w:rsid w:val="00717DBD"/>
    <w:rsid w:val="0072118E"/>
    <w:rsid w:val="007218F0"/>
    <w:rsid w:val="007314D4"/>
    <w:rsid w:val="00740183"/>
    <w:rsid w:val="0075009E"/>
    <w:rsid w:val="00764CF9"/>
    <w:rsid w:val="007750D3"/>
    <w:rsid w:val="00783AA6"/>
    <w:rsid w:val="00784B8C"/>
    <w:rsid w:val="007877D6"/>
    <w:rsid w:val="00790031"/>
    <w:rsid w:val="00791AD2"/>
    <w:rsid w:val="007921BE"/>
    <w:rsid w:val="00793FD1"/>
    <w:rsid w:val="00794BF9"/>
    <w:rsid w:val="0079657F"/>
    <w:rsid w:val="00796BE6"/>
    <w:rsid w:val="00797655"/>
    <w:rsid w:val="007A4062"/>
    <w:rsid w:val="007C143F"/>
    <w:rsid w:val="007C2120"/>
    <w:rsid w:val="007E06F1"/>
    <w:rsid w:val="007F0FC4"/>
    <w:rsid w:val="00804AC7"/>
    <w:rsid w:val="008064F0"/>
    <w:rsid w:val="008179AC"/>
    <w:rsid w:val="008216DF"/>
    <w:rsid w:val="00823A11"/>
    <w:rsid w:val="00824EF7"/>
    <w:rsid w:val="0083524D"/>
    <w:rsid w:val="008453DD"/>
    <w:rsid w:val="00853F53"/>
    <w:rsid w:val="0085414A"/>
    <w:rsid w:val="00860A13"/>
    <w:rsid w:val="0086269D"/>
    <w:rsid w:val="00863302"/>
    <w:rsid w:val="00863E40"/>
    <w:rsid w:val="00867E93"/>
    <w:rsid w:val="008712A2"/>
    <w:rsid w:val="00871C8F"/>
    <w:rsid w:val="008724E5"/>
    <w:rsid w:val="008760A5"/>
    <w:rsid w:val="00883D2A"/>
    <w:rsid w:val="00884089"/>
    <w:rsid w:val="00884A9D"/>
    <w:rsid w:val="008919FA"/>
    <w:rsid w:val="008938B1"/>
    <w:rsid w:val="00896A41"/>
    <w:rsid w:val="008A4923"/>
    <w:rsid w:val="008A4E1E"/>
    <w:rsid w:val="008A69BA"/>
    <w:rsid w:val="008B60B2"/>
    <w:rsid w:val="008C296C"/>
    <w:rsid w:val="008C3845"/>
    <w:rsid w:val="008D1526"/>
    <w:rsid w:val="008D1610"/>
    <w:rsid w:val="008D356B"/>
    <w:rsid w:val="008D35A0"/>
    <w:rsid w:val="008D4305"/>
    <w:rsid w:val="008D58FA"/>
    <w:rsid w:val="008F5627"/>
    <w:rsid w:val="00904441"/>
    <w:rsid w:val="009113A7"/>
    <w:rsid w:val="0091280B"/>
    <w:rsid w:val="00913D86"/>
    <w:rsid w:val="0091427C"/>
    <w:rsid w:val="0091512F"/>
    <w:rsid w:val="009163A7"/>
    <w:rsid w:val="00922E3E"/>
    <w:rsid w:val="00927120"/>
    <w:rsid w:val="00933C6B"/>
    <w:rsid w:val="00935A25"/>
    <w:rsid w:val="00942ABB"/>
    <w:rsid w:val="00944A6D"/>
    <w:rsid w:val="00950A2E"/>
    <w:rsid w:val="00950F68"/>
    <w:rsid w:val="00962119"/>
    <w:rsid w:val="00974249"/>
    <w:rsid w:val="00975FC0"/>
    <w:rsid w:val="009760A5"/>
    <w:rsid w:val="00980D98"/>
    <w:rsid w:val="009825AE"/>
    <w:rsid w:val="00983588"/>
    <w:rsid w:val="0099104E"/>
    <w:rsid w:val="009955DF"/>
    <w:rsid w:val="009972AA"/>
    <w:rsid w:val="009A18CD"/>
    <w:rsid w:val="009A30FD"/>
    <w:rsid w:val="009B53E2"/>
    <w:rsid w:val="009C7FD7"/>
    <w:rsid w:val="009D0A7B"/>
    <w:rsid w:val="009D1C79"/>
    <w:rsid w:val="009D5B60"/>
    <w:rsid w:val="009E0371"/>
    <w:rsid w:val="009E1B50"/>
    <w:rsid w:val="009F3A9A"/>
    <w:rsid w:val="009F3CEF"/>
    <w:rsid w:val="009F5773"/>
    <w:rsid w:val="009F7199"/>
    <w:rsid w:val="00A077F7"/>
    <w:rsid w:val="00A12558"/>
    <w:rsid w:val="00A13903"/>
    <w:rsid w:val="00A159C1"/>
    <w:rsid w:val="00A20D38"/>
    <w:rsid w:val="00A20E53"/>
    <w:rsid w:val="00A26BFA"/>
    <w:rsid w:val="00A3376D"/>
    <w:rsid w:val="00A34ED5"/>
    <w:rsid w:val="00A4190F"/>
    <w:rsid w:val="00A45DBF"/>
    <w:rsid w:val="00A51409"/>
    <w:rsid w:val="00A5693C"/>
    <w:rsid w:val="00A61C6E"/>
    <w:rsid w:val="00A61F47"/>
    <w:rsid w:val="00A723C9"/>
    <w:rsid w:val="00A747F8"/>
    <w:rsid w:val="00A755A2"/>
    <w:rsid w:val="00A904A8"/>
    <w:rsid w:val="00A90761"/>
    <w:rsid w:val="00A958EF"/>
    <w:rsid w:val="00AA608B"/>
    <w:rsid w:val="00AB19F2"/>
    <w:rsid w:val="00AB2C36"/>
    <w:rsid w:val="00AC16E2"/>
    <w:rsid w:val="00AD127E"/>
    <w:rsid w:val="00AD1A86"/>
    <w:rsid w:val="00AE014A"/>
    <w:rsid w:val="00AE103E"/>
    <w:rsid w:val="00AE332B"/>
    <w:rsid w:val="00AF0A07"/>
    <w:rsid w:val="00AF5AE5"/>
    <w:rsid w:val="00AF625E"/>
    <w:rsid w:val="00AF721B"/>
    <w:rsid w:val="00B00068"/>
    <w:rsid w:val="00B00B72"/>
    <w:rsid w:val="00B01AD1"/>
    <w:rsid w:val="00B05627"/>
    <w:rsid w:val="00B102D6"/>
    <w:rsid w:val="00B152B1"/>
    <w:rsid w:val="00B152F8"/>
    <w:rsid w:val="00B15D43"/>
    <w:rsid w:val="00B1676C"/>
    <w:rsid w:val="00B31688"/>
    <w:rsid w:val="00B43974"/>
    <w:rsid w:val="00B4585E"/>
    <w:rsid w:val="00B46158"/>
    <w:rsid w:val="00B570D2"/>
    <w:rsid w:val="00B631C6"/>
    <w:rsid w:val="00B64980"/>
    <w:rsid w:val="00B67A6D"/>
    <w:rsid w:val="00B71F85"/>
    <w:rsid w:val="00B7227D"/>
    <w:rsid w:val="00B76B7C"/>
    <w:rsid w:val="00B86CF6"/>
    <w:rsid w:val="00B90701"/>
    <w:rsid w:val="00B91311"/>
    <w:rsid w:val="00B9699F"/>
    <w:rsid w:val="00B97B6E"/>
    <w:rsid w:val="00BA08E1"/>
    <w:rsid w:val="00BB16BD"/>
    <w:rsid w:val="00BC1F49"/>
    <w:rsid w:val="00BC3420"/>
    <w:rsid w:val="00BD52C9"/>
    <w:rsid w:val="00BD72E8"/>
    <w:rsid w:val="00BE5A98"/>
    <w:rsid w:val="00BE6354"/>
    <w:rsid w:val="00BF4A8D"/>
    <w:rsid w:val="00C06130"/>
    <w:rsid w:val="00C21C1B"/>
    <w:rsid w:val="00C249C5"/>
    <w:rsid w:val="00C27F02"/>
    <w:rsid w:val="00C30ACE"/>
    <w:rsid w:val="00C342ED"/>
    <w:rsid w:val="00C358C4"/>
    <w:rsid w:val="00C377F5"/>
    <w:rsid w:val="00C4131D"/>
    <w:rsid w:val="00C46AEC"/>
    <w:rsid w:val="00C514F6"/>
    <w:rsid w:val="00C52A84"/>
    <w:rsid w:val="00C54594"/>
    <w:rsid w:val="00C571CA"/>
    <w:rsid w:val="00C623EC"/>
    <w:rsid w:val="00C70EA7"/>
    <w:rsid w:val="00C7268F"/>
    <w:rsid w:val="00C72A48"/>
    <w:rsid w:val="00C749D5"/>
    <w:rsid w:val="00C7516E"/>
    <w:rsid w:val="00C9205A"/>
    <w:rsid w:val="00C92AA8"/>
    <w:rsid w:val="00CA03C5"/>
    <w:rsid w:val="00CB33EF"/>
    <w:rsid w:val="00CB6BCA"/>
    <w:rsid w:val="00CC48D5"/>
    <w:rsid w:val="00CC5518"/>
    <w:rsid w:val="00CD1E75"/>
    <w:rsid w:val="00CD45E5"/>
    <w:rsid w:val="00CE3440"/>
    <w:rsid w:val="00CE5945"/>
    <w:rsid w:val="00CE712C"/>
    <w:rsid w:val="00D06E43"/>
    <w:rsid w:val="00D24877"/>
    <w:rsid w:val="00D30682"/>
    <w:rsid w:val="00D33E86"/>
    <w:rsid w:val="00D451FC"/>
    <w:rsid w:val="00D51C2B"/>
    <w:rsid w:val="00D54ECF"/>
    <w:rsid w:val="00D55245"/>
    <w:rsid w:val="00D56858"/>
    <w:rsid w:val="00D56874"/>
    <w:rsid w:val="00D63F4A"/>
    <w:rsid w:val="00D72660"/>
    <w:rsid w:val="00D75D42"/>
    <w:rsid w:val="00D76F17"/>
    <w:rsid w:val="00DA2F00"/>
    <w:rsid w:val="00DA36ED"/>
    <w:rsid w:val="00DB4A84"/>
    <w:rsid w:val="00DD5337"/>
    <w:rsid w:val="00DE34F1"/>
    <w:rsid w:val="00DE5109"/>
    <w:rsid w:val="00DF4942"/>
    <w:rsid w:val="00DF7990"/>
    <w:rsid w:val="00E03092"/>
    <w:rsid w:val="00E05702"/>
    <w:rsid w:val="00E05722"/>
    <w:rsid w:val="00E12B23"/>
    <w:rsid w:val="00E22288"/>
    <w:rsid w:val="00E2274C"/>
    <w:rsid w:val="00E257FF"/>
    <w:rsid w:val="00E261A7"/>
    <w:rsid w:val="00E40B55"/>
    <w:rsid w:val="00E42054"/>
    <w:rsid w:val="00E554DF"/>
    <w:rsid w:val="00E564D7"/>
    <w:rsid w:val="00E627B1"/>
    <w:rsid w:val="00E62B4C"/>
    <w:rsid w:val="00E67E3A"/>
    <w:rsid w:val="00E726BD"/>
    <w:rsid w:val="00E84BEB"/>
    <w:rsid w:val="00E909FD"/>
    <w:rsid w:val="00E9376C"/>
    <w:rsid w:val="00EA1F92"/>
    <w:rsid w:val="00EA2A0C"/>
    <w:rsid w:val="00EB30AD"/>
    <w:rsid w:val="00EB4E87"/>
    <w:rsid w:val="00EB5E47"/>
    <w:rsid w:val="00ED021F"/>
    <w:rsid w:val="00ED303D"/>
    <w:rsid w:val="00ED5DDE"/>
    <w:rsid w:val="00ED715B"/>
    <w:rsid w:val="00EE4BA8"/>
    <w:rsid w:val="00EF5E2A"/>
    <w:rsid w:val="00F0001C"/>
    <w:rsid w:val="00F016A0"/>
    <w:rsid w:val="00F0334E"/>
    <w:rsid w:val="00F134B7"/>
    <w:rsid w:val="00F141C9"/>
    <w:rsid w:val="00F160AD"/>
    <w:rsid w:val="00F21573"/>
    <w:rsid w:val="00F23A52"/>
    <w:rsid w:val="00F400FA"/>
    <w:rsid w:val="00F47FC9"/>
    <w:rsid w:val="00F5379B"/>
    <w:rsid w:val="00F55696"/>
    <w:rsid w:val="00F576CB"/>
    <w:rsid w:val="00F81293"/>
    <w:rsid w:val="00F87C93"/>
    <w:rsid w:val="00F90FB9"/>
    <w:rsid w:val="00F92EB2"/>
    <w:rsid w:val="00F93A54"/>
    <w:rsid w:val="00F941B3"/>
    <w:rsid w:val="00F9571C"/>
    <w:rsid w:val="00F96310"/>
    <w:rsid w:val="00FB26F5"/>
    <w:rsid w:val="00FB522B"/>
    <w:rsid w:val="00FB7DDD"/>
    <w:rsid w:val="00FC0BDA"/>
    <w:rsid w:val="00FC2940"/>
    <w:rsid w:val="00FC4715"/>
    <w:rsid w:val="00FC676E"/>
    <w:rsid w:val="00FD1226"/>
    <w:rsid w:val="00FD5452"/>
    <w:rsid w:val="00FD7719"/>
    <w:rsid w:val="00FE3304"/>
    <w:rsid w:val="00FF273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7268F"/>
    <w:rPr>
      <w:rFonts w:ascii="Times New Roman" w:hAnsi="Times New Roman"/>
      <w:lang w:bidi="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4"/>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qFormat/>
    <w:rsid w:val="006C3FFC"/>
    <w:rPr>
      <w:rFonts w:ascii="Times New Roman" w:eastAsia="Times New Roman" w:hAnsi="Times New Roman"/>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hAnsi="Arial" w:cs="Arial"/>
      <w:b/>
      <w:sz w:val="22"/>
      <w:szCs w:val="22"/>
      <w:lang w:bidi="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qFormat/>
    <w:rsid w:val="0057439C"/>
    <w:rPr>
      <w:rFonts w:ascii="Times New Roman" w:eastAsia="Times New Roman" w:hAnsi="Times New Roman"/>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cs="Arial"/>
      <w:b/>
      <w:caps/>
      <w:szCs w:val="22"/>
    </w:rPr>
  </w:style>
  <w:style w:type="paragraph" w:customStyle="1" w:styleId="COMPreambulaDecision">
    <w:name w:val="COM Preambula Decision"/>
    <w:basedOn w:val="Marge"/>
    <w:qFormat/>
    <w:rsid w:val="001A766C"/>
    <w:pPr>
      <w:keepNext/>
      <w:spacing w:after="120"/>
      <w:ind w:left="567"/>
    </w:pPr>
    <w:rPr>
      <w:rFonts w:cs="Arial"/>
      <w:szCs w:val="22"/>
    </w:rPr>
  </w:style>
  <w:style w:type="paragraph" w:customStyle="1" w:styleId="COMParaDecision">
    <w:name w:val="COM Para Decision"/>
    <w:basedOn w:val="Normal"/>
    <w:qFormat/>
    <w:rsid w:val="001A766C"/>
    <w:pPr>
      <w:numPr>
        <w:numId w:val="3"/>
      </w:numPr>
      <w:autoSpaceDE w:val="0"/>
      <w:autoSpaceDN w:val="0"/>
      <w:adjustRightInd w:val="0"/>
      <w:spacing w:after="120"/>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rPr>
  </w:style>
  <w:style w:type="paragraph" w:styleId="CommentText">
    <w:name w:val="annotation text"/>
    <w:basedOn w:val="Normal"/>
    <w:link w:val="CommentTextChar"/>
    <w:uiPriority w:val="99"/>
    <w:semiHidden/>
    <w:unhideWhenUsed/>
    <w:rsid w:val="00C7268F"/>
    <w:rPr>
      <w:sz w:val="20"/>
      <w:szCs w:val="20"/>
    </w:rPr>
  </w:style>
  <w:style w:type="character" w:customStyle="1" w:styleId="CommentTextChar">
    <w:name w:val="Comment Text Char"/>
    <w:basedOn w:val="DefaultParagraphFont"/>
    <w:link w:val="CommentText"/>
    <w:uiPriority w:val="99"/>
    <w:semiHidden/>
    <w:rsid w:val="00C7268F"/>
    <w:rPr>
      <w:rFonts w:ascii="Times New Roman" w:hAnsi="Times New Roman"/>
      <w:lang w:bidi="fr-FR"/>
    </w:rPr>
  </w:style>
  <w:style w:type="paragraph" w:customStyle="1" w:styleId="COMPara">
    <w:name w:val="COM Para"/>
    <w:rsid w:val="00C7268F"/>
    <w:pPr>
      <w:spacing w:after="120"/>
      <w:ind w:left="720" w:hanging="360"/>
    </w:pPr>
    <w:rPr>
      <w:rFonts w:ascii="Arial" w:hAnsi="Arial" w:cs="Arial"/>
      <w:sz w:val="22"/>
      <w:szCs w:val="22"/>
      <w:lang w:bidi="fr-FR"/>
    </w:rPr>
  </w:style>
  <w:style w:type="paragraph" w:customStyle="1" w:styleId="COMTitleDecision">
    <w:name w:val="COM Title Decision"/>
    <w:basedOn w:val="Normal"/>
    <w:rsid w:val="00C7268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rsid w:val="00C7268F"/>
    <w:pPr>
      <w:keepNext/>
      <w:spacing w:after="120"/>
      <w:ind w:left="567"/>
      <w:jc w:val="both"/>
    </w:pPr>
    <w:rPr>
      <w:rFonts w:ascii="Arial" w:hAnsi="Arial" w:cs="Arial"/>
      <w:sz w:val="22"/>
      <w:szCs w:val="22"/>
    </w:rPr>
  </w:style>
  <w:style w:type="paragraph" w:customStyle="1" w:styleId="DocMain">
    <w:name w:val="Doc_Main"/>
    <w:basedOn w:val="NoSpacing"/>
    <w:uiPriority w:val="99"/>
    <w:qFormat/>
    <w:rsid w:val="00C7268F"/>
    <w:pPr>
      <w:spacing w:before="240" w:after="240"/>
      <w:ind w:left="720" w:hanging="360"/>
      <w:jc w:val="both"/>
    </w:pPr>
    <w:rPr>
      <w:rFonts w:ascii="Arial" w:eastAsia="SimSun" w:hAnsi="Arial" w:cs="Arial"/>
      <w:sz w:val="22"/>
      <w:szCs w:val="22"/>
      <w:lang w:bidi="fr-FR"/>
    </w:rPr>
  </w:style>
  <w:style w:type="character" w:styleId="CommentReference">
    <w:name w:val="annotation reference"/>
    <w:basedOn w:val="DefaultParagraphFont"/>
    <w:uiPriority w:val="99"/>
    <w:semiHidden/>
    <w:unhideWhenUsed/>
    <w:rsid w:val="00C7268F"/>
    <w:rPr>
      <w:sz w:val="16"/>
      <w:szCs w:val="16"/>
    </w:rPr>
  </w:style>
  <w:style w:type="character" w:customStyle="1" w:styleId="listnormtitle">
    <w:name w:val="listnormtitle"/>
    <w:rsid w:val="00C7268F"/>
    <w:rPr>
      <w:rFonts w:ascii="Times New Roman" w:hAnsi="Times New Roman" w:cs="Times New Roman" w:hint="default"/>
    </w:rPr>
  </w:style>
  <w:style w:type="character" w:customStyle="1" w:styleId="hps">
    <w:name w:val="hps"/>
    <w:rsid w:val="00C7268F"/>
  </w:style>
  <w:style w:type="character" w:styleId="Hyperlink">
    <w:name w:val="Hyperlink"/>
    <w:rsid w:val="0037544C"/>
    <w:rPr>
      <w:color w:val="0563C1"/>
      <w:u w:val="single"/>
    </w:rPr>
  </w:style>
  <w:style w:type="character" w:styleId="FollowedHyperlink">
    <w:name w:val="FollowedHyperlink"/>
    <w:basedOn w:val="DefaultParagraphFont"/>
    <w:uiPriority w:val="99"/>
    <w:semiHidden/>
    <w:unhideWhenUsed/>
    <w:rsid w:val="0037544C"/>
    <w:rPr>
      <w:color w:val="800080" w:themeColor="followedHyperlink"/>
      <w:u w:val="single"/>
    </w:rPr>
  </w:style>
  <w:style w:type="paragraph" w:styleId="ListParagraph">
    <w:name w:val="List Paragraph"/>
    <w:basedOn w:val="Normal"/>
    <w:uiPriority w:val="34"/>
    <w:rsid w:val="00896A41"/>
    <w:pPr>
      <w:ind w:left="720"/>
      <w:contextualSpacing/>
    </w:pPr>
  </w:style>
  <w:style w:type="paragraph" w:styleId="CommentSubject">
    <w:name w:val="annotation subject"/>
    <w:basedOn w:val="CommentText"/>
    <w:next w:val="CommentText"/>
    <w:link w:val="CommentSubjectChar"/>
    <w:uiPriority w:val="99"/>
    <w:semiHidden/>
    <w:unhideWhenUsed/>
    <w:rsid w:val="009D0A7B"/>
    <w:rPr>
      <w:b/>
      <w:bCs/>
    </w:rPr>
  </w:style>
  <w:style w:type="character" w:customStyle="1" w:styleId="CommentSubjectChar">
    <w:name w:val="Comment Subject Char"/>
    <w:basedOn w:val="CommentTextChar"/>
    <w:link w:val="CommentSubject"/>
    <w:uiPriority w:val="99"/>
    <w:semiHidden/>
    <w:rsid w:val="009D0A7B"/>
    <w:rPr>
      <w:rFonts w:ascii="Times New Roman" w:hAnsi="Times New Roman"/>
      <w:b/>
      <w:bCs/>
      <w:lang w:bidi="fr-FR"/>
    </w:rPr>
  </w:style>
  <w:style w:type="character" w:customStyle="1" w:styleId="hpsatn">
    <w:name w:val="hps atn"/>
    <w:basedOn w:val="DefaultParagraphFont"/>
    <w:rsid w:val="00B91311"/>
  </w:style>
  <w:style w:type="character" w:customStyle="1" w:styleId="atn">
    <w:name w:val="atn"/>
    <w:basedOn w:val="DefaultParagraphFont"/>
    <w:rsid w:val="00FF2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7268F"/>
    <w:rPr>
      <w:rFonts w:ascii="Times New Roman" w:hAnsi="Times New Roman"/>
      <w:lang w:bidi="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4"/>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qFormat/>
    <w:rsid w:val="006C3FFC"/>
    <w:rPr>
      <w:rFonts w:ascii="Times New Roman" w:eastAsia="Times New Roman" w:hAnsi="Times New Roman"/>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hAnsi="Arial" w:cs="Arial"/>
      <w:b/>
      <w:sz w:val="22"/>
      <w:szCs w:val="22"/>
      <w:lang w:bidi="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qFormat/>
    <w:rsid w:val="0057439C"/>
    <w:rPr>
      <w:rFonts w:ascii="Times New Roman" w:eastAsia="Times New Roman" w:hAnsi="Times New Roman"/>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cs="Arial"/>
      <w:b/>
      <w:caps/>
      <w:szCs w:val="22"/>
    </w:rPr>
  </w:style>
  <w:style w:type="paragraph" w:customStyle="1" w:styleId="COMPreambulaDecision">
    <w:name w:val="COM Preambula Decision"/>
    <w:basedOn w:val="Marge"/>
    <w:qFormat/>
    <w:rsid w:val="001A766C"/>
    <w:pPr>
      <w:keepNext/>
      <w:spacing w:after="120"/>
      <w:ind w:left="567"/>
    </w:pPr>
    <w:rPr>
      <w:rFonts w:cs="Arial"/>
      <w:szCs w:val="22"/>
    </w:rPr>
  </w:style>
  <w:style w:type="paragraph" w:customStyle="1" w:styleId="COMParaDecision">
    <w:name w:val="COM Para Decision"/>
    <w:basedOn w:val="Normal"/>
    <w:qFormat/>
    <w:rsid w:val="001A766C"/>
    <w:pPr>
      <w:numPr>
        <w:numId w:val="3"/>
      </w:numPr>
      <w:autoSpaceDE w:val="0"/>
      <w:autoSpaceDN w:val="0"/>
      <w:adjustRightInd w:val="0"/>
      <w:spacing w:after="120"/>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rPr>
  </w:style>
  <w:style w:type="paragraph" w:styleId="CommentText">
    <w:name w:val="annotation text"/>
    <w:basedOn w:val="Normal"/>
    <w:link w:val="CommentTextChar"/>
    <w:uiPriority w:val="99"/>
    <w:semiHidden/>
    <w:unhideWhenUsed/>
    <w:rsid w:val="00C7268F"/>
    <w:rPr>
      <w:sz w:val="20"/>
      <w:szCs w:val="20"/>
    </w:rPr>
  </w:style>
  <w:style w:type="character" w:customStyle="1" w:styleId="CommentTextChar">
    <w:name w:val="Comment Text Char"/>
    <w:basedOn w:val="DefaultParagraphFont"/>
    <w:link w:val="CommentText"/>
    <w:uiPriority w:val="99"/>
    <w:semiHidden/>
    <w:rsid w:val="00C7268F"/>
    <w:rPr>
      <w:rFonts w:ascii="Times New Roman" w:hAnsi="Times New Roman"/>
      <w:lang w:bidi="fr-FR"/>
    </w:rPr>
  </w:style>
  <w:style w:type="paragraph" w:customStyle="1" w:styleId="COMPara">
    <w:name w:val="COM Para"/>
    <w:rsid w:val="00C7268F"/>
    <w:pPr>
      <w:spacing w:after="120"/>
      <w:ind w:left="720" w:hanging="360"/>
    </w:pPr>
    <w:rPr>
      <w:rFonts w:ascii="Arial" w:hAnsi="Arial" w:cs="Arial"/>
      <w:sz w:val="22"/>
      <w:szCs w:val="22"/>
      <w:lang w:bidi="fr-FR"/>
    </w:rPr>
  </w:style>
  <w:style w:type="paragraph" w:customStyle="1" w:styleId="COMTitleDecision">
    <w:name w:val="COM Title Decision"/>
    <w:basedOn w:val="Normal"/>
    <w:rsid w:val="00C7268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rsid w:val="00C7268F"/>
    <w:pPr>
      <w:keepNext/>
      <w:spacing w:after="120"/>
      <w:ind w:left="567"/>
      <w:jc w:val="both"/>
    </w:pPr>
    <w:rPr>
      <w:rFonts w:ascii="Arial" w:hAnsi="Arial" w:cs="Arial"/>
      <w:sz w:val="22"/>
      <w:szCs w:val="22"/>
    </w:rPr>
  </w:style>
  <w:style w:type="paragraph" w:customStyle="1" w:styleId="DocMain">
    <w:name w:val="Doc_Main"/>
    <w:basedOn w:val="NoSpacing"/>
    <w:uiPriority w:val="99"/>
    <w:qFormat/>
    <w:rsid w:val="00C7268F"/>
    <w:pPr>
      <w:spacing w:before="240" w:after="240"/>
      <w:ind w:left="720" w:hanging="360"/>
      <w:jc w:val="both"/>
    </w:pPr>
    <w:rPr>
      <w:rFonts w:ascii="Arial" w:eastAsia="SimSun" w:hAnsi="Arial" w:cs="Arial"/>
      <w:sz w:val="22"/>
      <w:szCs w:val="22"/>
      <w:lang w:bidi="fr-FR"/>
    </w:rPr>
  </w:style>
  <w:style w:type="character" w:styleId="CommentReference">
    <w:name w:val="annotation reference"/>
    <w:basedOn w:val="DefaultParagraphFont"/>
    <w:uiPriority w:val="99"/>
    <w:semiHidden/>
    <w:unhideWhenUsed/>
    <w:rsid w:val="00C7268F"/>
    <w:rPr>
      <w:sz w:val="16"/>
      <w:szCs w:val="16"/>
    </w:rPr>
  </w:style>
  <w:style w:type="character" w:customStyle="1" w:styleId="listnormtitle">
    <w:name w:val="listnormtitle"/>
    <w:rsid w:val="00C7268F"/>
    <w:rPr>
      <w:rFonts w:ascii="Times New Roman" w:hAnsi="Times New Roman" w:cs="Times New Roman" w:hint="default"/>
    </w:rPr>
  </w:style>
  <w:style w:type="character" w:customStyle="1" w:styleId="hps">
    <w:name w:val="hps"/>
    <w:rsid w:val="00C7268F"/>
  </w:style>
  <w:style w:type="character" w:styleId="Hyperlink">
    <w:name w:val="Hyperlink"/>
    <w:rsid w:val="0037544C"/>
    <w:rPr>
      <w:color w:val="0563C1"/>
      <w:u w:val="single"/>
    </w:rPr>
  </w:style>
  <w:style w:type="character" w:styleId="FollowedHyperlink">
    <w:name w:val="FollowedHyperlink"/>
    <w:basedOn w:val="DefaultParagraphFont"/>
    <w:uiPriority w:val="99"/>
    <w:semiHidden/>
    <w:unhideWhenUsed/>
    <w:rsid w:val="0037544C"/>
    <w:rPr>
      <w:color w:val="800080" w:themeColor="followedHyperlink"/>
      <w:u w:val="single"/>
    </w:rPr>
  </w:style>
  <w:style w:type="paragraph" w:styleId="ListParagraph">
    <w:name w:val="List Paragraph"/>
    <w:basedOn w:val="Normal"/>
    <w:uiPriority w:val="34"/>
    <w:rsid w:val="00896A41"/>
    <w:pPr>
      <w:ind w:left="720"/>
      <w:contextualSpacing/>
    </w:pPr>
  </w:style>
  <w:style w:type="paragraph" w:styleId="CommentSubject">
    <w:name w:val="annotation subject"/>
    <w:basedOn w:val="CommentText"/>
    <w:next w:val="CommentText"/>
    <w:link w:val="CommentSubjectChar"/>
    <w:uiPriority w:val="99"/>
    <w:semiHidden/>
    <w:unhideWhenUsed/>
    <w:rsid w:val="009D0A7B"/>
    <w:rPr>
      <w:b/>
      <w:bCs/>
    </w:rPr>
  </w:style>
  <w:style w:type="character" w:customStyle="1" w:styleId="CommentSubjectChar">
    <w:name w:val="Comment Subject Char"/>
    <w:basedOn w:val="CommentTextChar"/>
    <w:link w:val="CommentSubject"/>
    <w:uiPriority w:val="99"/>
    <w:semiHidden/>
    <w:rsid w:val="009D0A7B"/>
    <w:rPr>
      <w:rFonts w:ascii="Times New Roman" w:hAnsi="Times New Roman"/>
      <w:b/>
      <w:bCs/>
      <w:lang w:bidi="fr-FR"/>
    </w:rPr>
  </w:style>
  <w:style w:type="character" w:customStyle="1" w:styleId="hpsatn">
    <w:name w:val="hps atn"/>
    <w:basedOn w:val="DefaultParagraphFont"/>
    <w:rsid w:val="00B91311"/>
  </w:style>
  <w:style w:type="character" w:customStyle="1" w:styleId="atn">
    <w:name w:val="atn"/>
    <w:basedOn w:val="DefaultParagraphFont"/>
    <w:rsid w:val="00FF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133">
      <w:bodyDiv w:val="1"/>
      <w:marLeft w:val="0"/>
      <w:marRight w:val="0"/>
      <w:marTop w:val="0"/>
      <w:marBottom w:val="0"/>
      <w:divBdr>
        <w:top w:val="none" w:sz="0" w:space="0" w:color="auto"/>
        <w:left w:val="none" w:sz="0" w:space="0" w:color="auto"/>
        <w:bottom w:val="none" w:sz="0" w:space="0" w:color="auto"/>
        <w:right w:val="none" w:sz="0" w:space="0" w:color="auto"/>
      </w:divBdr>
    </w:div>
    <w:div w:id="21630953">
      <w:bodyDiv w:val="1"/>
      <w:marLeft w:val="0"/>
      <w:marRight w:val="0"/>
      <w:marTop w:val="0"/>
      <w:marBottom w:val="0"/>
      <w:divBdr>
        <w:top w:val="none" w:sz="0" w:space="0" w:color="auto"/>
        <w:left w:val="none" w:sz="0" w:space="0" w:color="auto"/>
        <w:bottom w:val="none" w:sz="0" w:space="0" w:color="auto"/>
        <w:right w:val="none" w:sz="0" w:space="0" w:color="auto"/>
      </w:divBdr>
      <w:divsChild>
        <w:div w:id="100809879">
          <w:marLeft w:val="0"/>
          <w:marRight w:val="0"/>
          <w:marTop w:val="0"/>
          <w:marBottom w:val="0"/>
          <w:divBdr>
            <w:top w:val="none" w:sz="0" w:space="0" w:color="auto"/>
            <w:left w:val="none" w:sz="0" w:space="0" w:color="auto"/>
            <w:bottom w:val="none" w:sz="0" w:space="0" w:color="auto"/>
            <w:right w:val="none" w:sz="0" w:space="0" w:color="auto"/>
          </w:divBdr>
          <w:divsChild>
            <w:div w:id="939994302">
              <w:marLeft w:val="0"/>
              <w:marRight w:val="0"/>
              <w:marTop w:val="0"/>
              <w:marBottom w:val="0"/>
              <w:divBdr>
                <w:top w:val="none" w:sz="0" w:space="0" w:color="auto"/>
                <w:left w:val="none" w:sz="0" w:space="0" w:color="auto"/>
                <w:bottom w:val="none" w:sz="0" w:space="0" w:color="auto"/>
                <w:right w:val="none" w:sz="0" w:space="0" w:color="auto"/>
              </w:divBdr>
              <w:divsChild>
                <w:div w:id="2105765460">
                  <w:marLeft w:val="0"/>
                  <w:marRight w:val="0"/>
                  <w:marTop w:val="0"/>
                  <w:marBottom w:val="0"/>
                  <w:divBdr>
                    <w:top w:val="none" w:sz="0" w:space="0" w:color="auto"/>
                    <w:left w:val="none" w:sz="0" w:space="0" w:color="auto"/>
                    <w:bottom w:val="none" w:sz="0" w:space="0" w:color="auto"/>
                    <w:right w:val="none" w:sz="0" w:space="0" w:color="auto"/>
                  </w:divBdr>
                  <w:divsChild>
                    <w:div w:id="1449663096">
                      <w:marLeft w:val="0"/>
                      <w:marRight w:val="0"/>
                      <w:marTop w:val="0"/>
                      <w:marBottom w:val="0"/>
                      <w:divBdr>
                        <w:top w:val="none" w:sz="0" w:space="0" w:color="auto"/>
                        <w:left w:val="none" w:sz="0" w:space="0" w:color="auto"/>
                        <w:bottom w:val="none" w:sz="0" w:space="0" w:color="auto"/>
                        <w:right w:val="none" w:sz="0" w:space="0" w:color="auto"/>
                      </w:divBdr>
                      <w:divsChild>
                        <w:div w:id="2727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45105">
          <w:marLeft w:val="0"/>
          <w:marRight w:val="0"/>
          <w:marTop w:val="0"/>
          <w:marBottom w:val="0"/>
          <w:divBdr>
            <w:top w:val="none" w:sz="0" w:space="0" w:color="auto"/>
            <w:left w:val="none" w:sz="0" w:space="0" w:color="auto"/>
            <w:bottom w:val="none" w:sz="0" w:space="0" w:color="auto"/>
            <w:right w:val="none" w:sz="0" w:space="0" w:color="auto"/>
          </w:divBdr>
          <w:divsChild>
            <w:div w:id="1271475788">
              <w:marLeft w:val="0"/>
              <w:marRight w:val="0"/>
              <w:marTop w:val="0"/>
              <w:marBottom w:val="0"/>
              <w:divBdr>
                <w:top w:val="none" w:sz="0" w:space="0" w:color="auto"/>
                <w:left w:val="none" w:sz="0" w:space="0" w:color="auto"/>
                <w:bottom w:val="none" w:sz="0" w:space="0" w:color="auto"/>
                <w:right w:val="none" w:sz="0" w:space="0" w:color="auto"/>
              </w:divBdr>
              <w:divsChild>
                <w:div w:id="1211922753">
                  <w:marLeft w:val="0"/>
                  <w:marRight w:val="0"/>
                  <w:marTop w:val="0"/>
                  <w:marBottom w:val="0"/>
                  <w:divBdr>
                    <w:top w:val="none" w:sz="0" w:space="0" w:color="auto"/>
                    <w:left w:val="none" w:sz="0" w:space="0" w:color="auto"/>
                    <w:bottom w:val="none" w:sz="0" w:space="0" w:color="auto"/>
                    <w:right w:val="none" w:sz="0" w:space="0" w:color="auto"/>
                  </w:divBdr>
                  <w:divsChild>
                    <w:div w:id="11803285">
                      <w:marLeft w:val="0"/>
                      <w:marRight w:val="0"/>
                      <w:marTop w:val="0"/>
                      <w:marBottom w:val="0"/>
                      <w:divBdr>
                        <w:top w:val="none" w:sz="0" w:space="0" w:color="auto"/>
                        <w:left w:val="none" w:sz="0" w:space="0" w:color="auto"/>
                        <w:bottom w:val="none" w:sz="0" w:space="0" w:color="auto"/>
                        <w:right w:val="none" w:sz="0" w:space="0" w:color="auto"/>
                      </w:divBdr>
                      <w:divsChild>
                        <w:div w:id="1835761416">
                          <w:marLeft w:val="0"/>
                          <w:marRight w:val="0"/>
                          <w:marTop w:val="0"/>
                          <w:marBottom w:val="0"/>
                          <w:divBdr>
                            <w:top w:val="none" w:sz="0" w:space="0" w:color="auto"/>
                            <w:left w:val="none" w:sz="0" w:space="0" w:color="auto"/>
                            <w:bottom w:val="none" w:sz="0" w:space="0" w:color="auto"/>
                            <w:right w:val="none" w:sz="0" w:space="0" w:color="auto"/>
                          </w:divBdr>
                          <w:divsChild>
                            <w:div w:id="3782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5837">
      <w:bodyDiv w:val="1"/>
      <w:marLeft w:val="0"/>
      <w:marRight w:val="0"/>
      <w:marTop w:val="0"/>
      <w:marBottom w:val="0"/>
      <w:divBdr>
        <w:top w:val="none" w:sz="0" w:space="0" w:color="auto"/>
        <w:left w:val="none" w:sz="0" w:space="0" w:color="auto"/>
        <w:bottom w:val="none" w:sz="0" w:space="0" w:color="auto"/>
        <w:right w:val="none" w:sz="0" w:space="0" w:color="auto"/>
      </w:divBdr>
      <w:divsChild>
        <w:div w:id="1076589176">
          <w:marLeft w:val="0"/>
          <w:marRight w:val="0"/>
          <w:marTop w:val="0"/>
          <w:marBottom w:val="0"/>
          <w:divBdr>
            <w:top w:val="none" w:sz="0" w:space="0" w:color="auto"/>
            <w:left w:val="none" w:sz="0" w:space="0" w:color="auto"/>
            <w:bottom w:val="none" w:sz="0" w:space="0" w:color="auto"/>
            <w:right w:val="none" w:sz="0" w:space="0" w:color="auto"/>
          </w:divBdr>
          <w:divsChild>
            <w:div w:id="20980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754">
      <w:bodyDiv w:val="1"/>
      <w:marLeft w:val="0"/>
      <w:marRight w:val="0"/>
      <w:marTop w:val="0"/>
      <w:marBottom w:val="0"/>
      <w:divBdr>
        <w:top w:val="none" w:sz="0" w:space="0" w:color="auto"/>
        <w:left w:val="none" w:sz="0" w:space="0" w:color="auto"/>
        <w:bottom w:val="none" w:sz="0" w:space="0" w:color="auto"/>
        <w:right w:val="none" w:sz="0" w:space="0" w:color="auto"/>
      </w:divBdr>
      <w:divsChild>
        <w:div w:id="1892493922">
          <w:marLeft w:val="0"/>
          <w:marRight w:val="0"/>
          <w:marTop w:val="0"/>
          <w:marBottom w:val="0"/>
          <w:divBdr>
            <w:top w:val="none" w:sz="0" w:space="0" w:color="auto"/>
            <w:left w:val="none" w:sz="0" w:space="0" w:color="auto"/>
            <w:bottom w:val="none" w:sz="0" w:space="0" w:color="auto"/>
            <w:right w:val="none" w:sz="0" w:space="0" w:color="auto"/>
          </w:divBdr>
          <w:divsChild>
            <w:div w:id="2082438129">
              <w:marLeft w:val="0"/>
              <w:marRight w:val="0"/>
              <w:marTop w:val="0"/>
              <w:marBottom w:val="0"/>
              <w:divBdr>
                <w:top w:val="none" w:sz="0" w:space="0" w:color="auto"/>
                <w:left w:val="none" w:sz="0" w:space="0" w:color="auto"/>
                <w:bottom w:val="none" w:sz="0" w:space="0" w:color="auto"/>
                <w:right w:val="none" w:sz="0" w:space="0" w:color="auto"/>
              </w:divBdr>
              <w:divsChild>
                <w:div w:id="1142622759">
                  <w:marLeft w:val="0"/>
                  <w:marRight w:val="0"/>
                  <w:marTop w:val="0"/>
                  <w:marBottom w:val="0"/>
                  <w:divBdr>
                    <w:top w:val="none" w:sz="0" w:space="0" w:color="auto"/>
                    <w:left w:val="none" w:sz="0" w:space="0" w:color="auto"/>
                    <w:bottom w:val="none" w:sz="0" w:space="0" w:color="auto"/>
                    <w:right w:val="none" w:sz="0" w:space="0" w:color="auto"/>
                  </w:divBdr>
                  <w:divsChild>
                    <w:div w:id="1871455583">
                      <w:marLeft w:val="0"/>
                      <w:marRight w:val="0"/>
                      <w:marTop w:val="0"/>
                      <w:marBottom w:val="0"/>
                      <w:divBdr>
                        <w:top w:val="none" w:sz="0" w:space="0" w:color="auto"/>
                        <w:left w:val="none" w:sz="0" w:space="0" w:color="auto"/>
                        <w:bottom w:val="none" w:sz="0" w:space="0" w:color="auto"/>
                        <w:right w:val="none" w:sz="0" w:space="0" w:color="auto"/>
                      </w:divBdr>
                      <w:divsChild>
                        <w:div w:id="913052599">
                          <w:marLeft w:val="0"/>
                          <w:marRight w:val="0"/>
                          <w:marTop w:val="0"/>
                          <w:marBottom w:val="0"/>
                          <w:divBdr>
                            <w:top w:val="none" w:sz="0" w:space="0" w:color="auto"/>
                            <w:left w:val="none" w:sz="0" w:space="0" w:color="auto"/>
                            <w:bottom w:val="none" w:sz="0" w:space="0" w:color="auto"/>
                            <w:right w:val="none" w:sz="0" w:space="0" w:color="auto"/>
                          </w:divBdr>
                          <w:divsChild>
                            <w:div w:id="1694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64060">
      <w:bodyDiv w:val="1"/>
      <w:marLeft w:val="0"/>
      <w:marRight w:val="0"/>
      <w:marTop w:val="0"/>
      <w:marBottom w:val="0"/>
      <w:divBdr>
        <w:top w:val="none" w:sz="0" w:space="0" w:color="auto"/>
        <w:left w:val="none" w:sz="0" w:space="0" w:color="auto"/>
        <w:bottom w:val="none" w:sz="0" w:space="0" w:color="auto"/>
        <w:right w:val="none" w:sz="0" w:space="0" w:color="auto"/>
      </w:divBdr>
      <w:divsChild>
        <w:div w:id="295644107">
          <w:marLeft w:val="0"/>
          <w:marRight w:val="0"/>
          <w:marTop w:val="0"/>
          <w:marBottom w:val="0"/>
          <w:divBdr>
            <w:top w:val="none" w:sz="0" w:space="0" w:color="auto"/>
            <w:left w:val="none" w:sz="0" w:space="0" w:color="auto"/>
            <w:bottom w:val="none" w:sz="0" w:space="0" w:color="auto"/>
            <w:right w:val="none" w:sz="0" w:space="0" w:color="auto"/>
          </w:divBdr>
          <w:divsChild>
            <w:div w:id="141890919">
              <w:marLeft w:val="0"/>
              <w:marRight w:val="0"/>
              <w:marTop w:val="0"/>
              <w:marBottom w:val="0"/>
              <w:divBdr>
                <w:top w:val="none" w:sz="0" w:space="0" w:color="auto"/>
                <w:left w:val="none" w:sz="0" w:space="0" w:color="auto"/>
                <w:bottom w:val="none" w:sz="0" w:space="0" w:color="auto"/>
                <w:right w:val="none" w:sz="0" w:space="0" w:color="auto"/>
              </w:divBdr>
              <w:divsChild>
                <w:div w:id="92677103">
                  <w:marLeft w:val="0"/>
                  <w:marRight w:val="0"/>
                  <w:marTop w:val="0"/>
                  <w:marBottom w:val="0"/>
                  <w:divBdr>
                    <w:top w:val="none" w:sz="0" w:space="0" w:color="auto"/>
                    <w:left w:val="none" w:sz="0" w:space="0" w:color="auto"/>
                    <w:bottom w:val="none" w:sz="0" w:space="0" w:color="auto"/>
                    <w:right w:val="none" w:sz="0" w:space="0" w:color="auto"/>
                  </w:divBdr>
                  <w:divsChild>
                    <w:div w:id="1238327439">
                      <w:marLeft w:val="0"/>
                      <w:marRight w:val="0"/>
                      <w:marTop w:val="0"/>
                      <w:marBottom w:val="0"/>
                      <w:divBdr>
                        <w:top w:val="none" w:sz="0" w:space="0" w:color="auto"/>
                        <w:left w:val="none" w:sz="0" w:space="0" w:color="auto"/>
                        <w:bottom w:val="none" w:sz="0" w:space="0" w:color="auto"/>
                        <w:right w:val="none" w:sz="0" w:space="0" w:color="auto"/>
                      </w:divBdr>
                      <w:divsChild>
                        <w:div w:id="1791969183">
                          <w:marLeft w:val="0"/>
                          <w:marRight w:val="0"/>
                          <w:marTop w:val="0"/>
                          <w:marBottom w:val="0"/>
                          <w:divBdr>
                            <w:top w:val="none" w:sz="0" w:space="0" w:color="auto"/>
                            <w:left w:val="none" w:sz="0" w:space="0" w:color="auto"/>
                            <w:bottom w:val="none" w:sz="0" w:space="0" w:color="auto"/>
                            <w:right w:val="none" w:sz="0" w:space="0" w:color="auto"/>
                          </w:divBdr>
                          <w:divsChild>
                            <w:div w:id="12861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347566">
      <w:bodyDiv w:val="1"/>
      <w:marLeft w:val="0"/>
      <w:marRight w:val="0"/>
      <w:marTop w:val="0"/>
      <w:marBottom w:val="0"/>
      <w:divBdr>
        <w:top w:val="none" w:sz="0" w:space="0" w:color="auto"/>
        <w:left w:val="none" w:sz="0" w:space="0" w:color="auto"/>
        <w:bottom w:val="none" w:sz="0" w:space="0" w:color="auto"/>
        <w:right w:val="none" w:sz="0" w:space="0" w:color="auto"/>
      </w:divBdr>
      <w:divsChild>
        <w:div w:id="1349526204">
          <w:marLeft w:val="0"/>
          <w:marRight w:val="0"/>
          <w:marTop w:val="0"/>
          <w:marBottom w:val="0"/>
          <w:divBdr>
            <w:top w:val="none" w:sz="0" w:space="0" w:color="auto"/>
            <w:left w:val="none" w:sz="0" w:space="0" w:color="auto"/>
            <w:bottom w:val="none" w:sz="0" w:space="0" w:color="auto"/>
            <w:right w:val="none" w:sz="0" w:space="0" w:color="auto"/>
          </w:divBdr>
          <w:divsChild>
            <w:div w:id="81874211">
              <w:marLeft w:val="0"/>
              <w:marRight w:val="0"/>
              <w:marTop w:val="0"/>
              <w:marBottom w:val="0"/>
              <w:divBdr>
                <w:top w:val="none" w:sz="0" w:space="0" w:color="auto"/>
                <w:left w:val="none" w:sz="0" w:space="0" w:color="auto"/>
                <w:bottom w:val="none" w:sz="0" w:space="0" w:color="auto"/>
                <w:right w:val="none" w:sz="0" w:space="0" w:color="auto"/>
              </w:divBdr>
              <w:divsChild>
                <w:div w:id="1331104008">
                  <w:marLeft w:val="0"/>
                  <w:marRight w:val="0"/>
                  <w:marTop w:val="0"/>
                  <w:marBottom w:val="0"/>
                  <w:divBdr>
                    <w:top w:val="none" w:sz="0" w:space="0" w:color="auto"/>
                    <w:left w:val="none" w:sz="0" w:space="0" w:color="auto"/>
                    <w:bottom w:val="none" w:sz="0" w:space="0" w:color="auto"/>
                    <w:right w:val="none" w:sz="0" w:space="0" w:color="auto"/>
                  </w:divBdr>
                  <w:divsChild>
                    <w:div w:id="144393356">
                      <w:marLeft w:val="0"/>
                      <w:marRight w:val="0"/>
                      <w:marTop w:val="0"/>
                      <w:marBottom w:val="0"/>
                      <w:divBdr>
                        <w:top w:val="none" w:sz="0" w:space="0" w:color="auto"/>
                        <w:left w:val="none" w:sz="0" w:space="0" w:color="auto"/>
                        <w:bottom w:val="none" w:sz="0" w:space="0" w:color="auto"/>
                        <w:right w:val="none" w:sz="0" w:space="0" w:color="auto"/>
                      </w:divBdr>
                      <w:divsChild>
                        <w:div w:id="271322009">
                          <w:marLeft w:val="0"/>
                          <w:marRight w:val="0"/>
                          <w:marTop w:val="0"/>
                          <w:marBottom w:val="0"/>
                          <w:divBdr>
                            <w:top w:val="none" w:sz="0" w:space="0" w:color="auto"/>
                            <w:left w:val="none" w:sz="0" w:space="0" w:color="auto"/>
                            <w:bottom w:val="none" w:sz="0" w:space="0" w:color="auto"/>
                            <w:right w:val="none" w:sz="0" w:space="0" w:color="auto"/>
                          </w:divBdr>
                          <w:divsChild>
                            <w:div w:id="6353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237569">
      <w:bodyDiv w:val="1"/>
      <w:marLeft w:val="0"/>
      <w:marRight w:val="0"/>
      <w:marTop w:val="0"/>
      <w:marBottom w:val="0"/>
      <w:divBdr>
        <w:top w:val="none" w:sz="0" w:space="0" w:color="auto"/>
        <w:left w:val="none" w:sz="0" w:space="0" w:color="auto"/>
        <w:bottom w:val="none" w:sz="0" w:space="0" w:color="auto"/>
        <w:right w:val="none" w:sz="0" w:space="0" w:color="auto"/>
      </w:divBdr>
      <w:divsChild>
        <w:div w:id="1988581753">
          <w:marLeft w:val="0"/>
          <w:marRight w:val="0"/>
          <w:marTop w:val="0"/>
          <w:marBottom w:val="0"/>
          <w:divBdr>
            <w:top w:val="none" w:sz="0" w:space="0" w:color="auto"/>
            <w:left w:val="none" w:sz="0" w:space="0" w:color="auto"/>
            <w:bottom w:val="none" w:sz="0" w:space="0" w:color="auto"/>
            <w:right w:val="none" w:sz="0" w:space="0" w:color="auto"/>
          </w:divBdr>
          <w:divsChild>
            <w:div w:id="904876211">
              <w:marLeft w:val="0"/>
              <w:marRight w:val="0"/>
              <w:marTop w:val="0"/>
              <w:marBottom w:val="0"/>
              <w:divBdr>
                <w:top w:val="none" w:sz="0" w:space="0" w:color="auto"/>
                <w:left w:val="none" w:sz="0" w:space="0" w:color="auto"/>
                <w:bottom w:val="none" w:sz="0" w:space="0" w:color="auto"/>
                <w:right w:val="none" w:sz="0" w:space="0" w:color="auto"/>
              </w:divBdr>
              <w:divsChild>
                <w:div w:id="2054380982">
                  <w:marLeft w:val="0"/>
                  <w:marRight w:val="0"/>
                  <w:marTop w:val="0"/>
                  <w:marBottom w:val="0"/>
                  <w:divBdr>
                    <w:top w:val="none" w:sz="0" w:space="0" w:color="auto"/>
                    <w:left w:val="none" w:sz="0" w:space="0" w:color="auto"/>
                    <w:bottom w:val="none" w:sz="0" w:space="0" w:color="auto"/>
                    <w:right w:val="none" w:sz="0" w:space="0" w:color="auto"/>
                  </w:divBdr>
                  <w:divsChild>
                    <w:div w:id="757606002">
                      <w:marLeft w:val="0"/>
                      <w:marRight w:val="0"/>
                      <w:marTop w:val="0"/>
                      <w:marBottom w:val="0"/>
                      <w:divBdr>
                        <w:top w:val="none" w:sz="0" w:space="0" w:color="auto"/>
                        <w:left w:val="none" w:sz="0" w:space="0" w:color="auto"/>
                        <w:bottom w:val="none" w:sz="0" w:space="0" w:color="auto"/>
                        <w:right w:val="none" w:sz="0" w:space="0" w:color="auto"/>
                      </w:divBdr>
                      <w:divsChild>
                        <w:div w:id="1953899403">
                          <w:marLeft w:val="0"/>
                          <w:marRight w:val="0"/>
                          <w:marTop w:val="0"/>
                          <w:marBottom w:val="0"/>
                          <w:divBdr>
                            <w:top w:val="none" w:sz="0" w:space="0" w:color="auto"/>
                            <w:left w:val="none" w:sz="0" w:space="0" w:color="auto"/>
                            <w:bottom w:val="none" w:sz="0" w:space="0" w:color="auto"/>
                            <w:right w:val="none" w:sz="0" w:space="0" w:color="auto"/>
                          </w:divBdr>
                          <w:divsChild>
                            <w:div w:id="7269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621110">
      <w:bodyDiv w:val="1"/>
      <w:marLeft w:val="0"/>
      <w:marRight w:val="0"/>
      <w:marTop w:val="0"/>
      <w:marBottom w:val="0"/>
      <w:divBdr>
        <w:top w:val="none" w:sz="0" w:space="0" w:color="auto"/>
        <w:left w:val="none" w:sz="0" w:space="0" w:color="auto"/>
        <w:bottom w:val="none" w:sz="0" w:space="0" w:color="auto"/>
        <w:right w:val="none" w:sz="0" w:space="0" w:color="auto"/>
      </w:divBdr>
      <w:divsChild>
        <w:div w:id="4600133">
          <w:marLeft w:val="0"/>
          <w:marRight w:val="0"/>
          <w:marTop w:val="0"/>
          <w:marBottom w:val="0"/>
          <w:divBdr>
            <w:top w:val="none" w:sz="0" w:space="0" w:color="auto"/>
            <w:left w:val="none" w:sz="0" w:space="0" w:color="auto"/>
            <w:bottom w:val="none" w:sz="0" w:space="0" w:color="auto"/>
            <w:right w:val="none" w:sz="0" w:space="0" w:color="auto"/>
          </w:divBdr>
          <w:divsChild>
            <w:div w:id="250086360">
              <w:marLeft w:val="0"/>
              <w:marRight w:val="0"/>
              <w:marTop w:val="0"/>
              <w:marBottom w:val="0"/>
              <w:divBdr>
                <w:top w:val="none" w:sz="0" w:space="0" w:color="auto"/>
                <w:left w:val="none" w:sz="0" w:space="0" w:color="auto"/>
                <w:bottom w:val="none" w:sz="0" w:space="0" w:color="auto"/>
                <w:right w:val="none" w:sz="0" w:space="0" w:color="auto"/>
              </w:divBdr>
              <w:divsChild>
                <w:div w:id="2036274491">
                  <w:marLeft w:val="0"/>
                  <w:marRight w:val="0"/>
                  <w:marTop w:val="0"/>
                  <w:marBottom w:val="0"/>
                  <w:divBdr>
                    <w:top w:val="none" w:sz="0" w:space="0" w:color="auto"/>
                    <w:left w:val="none" w:sz="0" w:space="0" w:color="auto"/>
                    <w:bottom w:val="none" w:sz="0" w:space="0" w:color="auto"/>
                    <w:right w:val="none" w:sz="0" w:space="0" w:color="auto"/>
                  </w:divBdr>
                  <w:divsChild>
                    <w:div w:id="762455870">
                      <w:marLeft w:val="0"/>
                      <w:marRight w:val="0"/>
                      <w:marTop w:val="0"/>
                      <w:marBottom w:val="0"/>
                      <w:divBdr>
                        <w:top w:val="none" w:sz="0" w:space="0" w:color="auto"/>
                        <w:left w:val="none" w:sz="0" w:space="0" w:color="auto"/>
                        <w:bottom w:val="none" w:sz="0" w:space="0" w:color="auto"/>
                        <w:right w:val="none" w:sz="0" w:space="0" w:color="auto"/>
                      </w:divBdr>
                      <w:divsChild>
                        <w:div w:id="144012187">
                          <w:marLeft w:val="0"/>
                          <w:marRight w:val="0"/>
                          <w:marTop w:val="0"/>
                          <w:marBottom w:val="0"/>
                          <w:divBdr>
                            <w:top w:val="none" w:sz="0" w:space="0" w:color="auto"/>
                            <w:left w:val="none" w:sz="0" w:space="0" w:color="auto"/>
                            <w:bottom w:val="none" w:sz="0" w:space="0" w:color="auto"/>
                            <w:right w:val="none" w:sz="0" w:space="0" w:color="auto"/>
                          </w:divBdr>
                          <w:divsChild>
                            <w:div w:id="6583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09093">
      <w:bodyDiv w:val="1"/>
      <w:marLeft w:val="0"/>
      <w:marRight w:val="0"/>
      <w:marTop w:val="0"/>
      <w:marBottom w:val="0"/>
      <w:divBdr>
        <w:top w:val="none" w:sz="0" w:space="0" w:color="auto"/>
        <w:left w:val="none" w:sz="0" w:space="0" w:color="auto"/>
        <w:bottom w:val="none" w:sz="0" w:space="0" w:color="auto"/>
        <w:right w:val="none" w:sz="0" w:space="0" w:color="auto"/>
      </w:divBdr>
      <w:divsChild>
        <w:div w:id="214393827">
          <w:marLeft w:val="0"/>
          <w:marRight w:val="0"/>
          <w:marTop w:val="0"/>
          <w:marBottom w:val="0"/>
          <w:divBdr>
            <w:top w:val="none" w:sz="0" w:space="0" w:color="auto"/>
            <w:left w:val="none" w:sz="0" w:space="0" w:color="auto"/>
            <w:bottom w:val="none" w:sz="0" w:space="0" w:color="auto"/>
            <w:right w:val="none" w:sz="0" w:space="0" w:color="auto"/>
          </w:divBdr>
          <w:divsChild>
            <w:div w:id="15887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6710">
      <w:bodyDiv w:val="1"/>
      <w:marLeft w:val="0"/>
      <w:marRight w:val="0"/>
      <w:marTop w:val="0"/>
      <w:marBottom w:val="0"/>
      <w:divBdr>
        <w:top w:val="none" w:sz="0" w:space="0" w:color="auto"/>
        <w:left w:val="none" w:sz="0" w:space="0" w:color="auto"/>
        <w:bottom w:val="none" w:sz="0" w:space="0" w:color="auto"/>
        <w:right w:val="none" w:sz="0" w:space="0" w:color="auto"/>
      </w:divBdr>
      <w:divsChild>
        <w:div w:id="1654988921">
          <w:marLeft w:val="0"/>
          <w:marRight w:val="0"/>
          <w:marTop w:val="0"/>
          <w:marBottom w:val="0"/>
          <w:divBdr>
            <w:top w:val="none" w:sz="0" w:space="0" w:color="auto"/>
            <w:left w:val="none" w:sz="0" w:space="0" w:color="auto"/>
            <w:bottom w:val="none" w:sz="0" w:space="0" w:color="auto"/>
            <w:right w:val="none" w:sz="0" w:space="0" w:color="auto"/>
          </w:divBdr>
          <w:divsChild>
            <w:div w:id="1364357300">
              <w:marLeft w:val="0"/>
              <w:marRight w:val="0"/>
              <w:marTop w:val="0"/>
              <w:marBottom w:val="0"/>
              <w:divBdr>
                <w:top w:val="none" w:sz="0" w:space="0" w:color="auto"/>
                <w:left w:val="none" w:sz="0" w:space="0" w:color="auto"/>
                <w:bottom w:val="none" w:sz="0" w:space="0" w:color="auto"/>
                <w:right w:val="none" w:sz="0" w:space="0" w:color="auto"/>
              </w:divBdr>
              <w:divsChild>
                <w:div w:id="1094129194">
                  <w:marLeft w:val="0"/>
                  <w:marRight w:val="0"/>
                  <w:marTop w:val="0"/>
                  <w:marBottom w:val="0"/>
                  <w:divBdr>
                    <w:top w:val="none" w:sz="0" w:space="0" w:color="auto"/>
                    <w:left w:val="none" w:sz="0" w:space="0" w:color="auto"/>
                    <w:bottom w:val="none" w:sz="0" w:space="0" w:color="auto"/>
                    <w:right w:val="none" w:sz="0" w:space="0" w:color="auto"/>
                  </w:divBdr>
                  <w:divsChild>
                    <w:div w:id="674039930">
                      <w:marLeft w:val="0"/>
                      <w:marRight w:val="0"/>
                      <w:marTop w:val="0"/>
                      <w:marBottom w:val="0"/>
                      <w:divBdr>
                        <w:top w:val="none" w:sz="0" w:space="0" w:color="auto"/>
                        <w:left w:val="none" w:sz="0" w:space="0" w:color="auto"/>
                        <w:bottom w:val="none" w:sz="0" w:space="0" w:color="auto"/>
                        <w:right w:val="none" w:sz="0" w:space="0" w:color="auto"/>
                      </w:divBdr>
                      <w:divsChild>
                        <w:div w:id="1798184760">
                          <w:marLeft w:val="0"/>
                          <w:marRight w:val="0"/>
                          <w:marTop w:val="0"/>
                          <w:marBottom w:val="0"/>
                          <w:divBdr>
                            <w:top w:val="none" w:sz="0" w:space="0" w:color="auto"/>
                            <w:left w:val="none" w:sz="0" w:space="0" w:color="auto"/>
                            <w:bottom w:val="none" w:sz="0" w:space="0" w:color="auto"/>
                            <w:right w:val="none" w:sz="0" w:space="0" w:color="auto"/>
                          </w:divBdr>
                          <w:divsChild>
                            <w:div w:id="1550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9801999">
      <w:bodyDiv w:val="1"/>
      <w:marLeft w:val="0"/>
      <w:marRight w:val="0"/>
      <w:marTop w:val="0"/>
      <w:marBottom w:val="0"/>
      <w:divBdr>
        <w:top w:val="none" w:sz="0" w:space="0" w:color="auto"/>
        <w:left w:val="none" w:sz="0" w:space="0" w:color="auto"/>
        <w:bottom w:val="none" w:sz="0" w:space="0" w:color="auto"/>
        <w:right w:val="none" w:sz="0" w:space="0" w:color="auto"/>
      </w:divBdr>
      <w:divsChild>
        <w:div w:id="12348029">
          <w:marLeft w:val="0"/>
          <w:marRight w:val="0"/>
          <w:marTop w:val="0"/>
          <w:marBottom w:val="0"/>
          <w:divBdr>
            <w:top w:val="none" w:sz="0" w:space="0" w:color="auto"/>
            <w:left w:val="none" w:sz="0" w:space="0" w:color="auto"/>
            <w:bottom w:val="none" w:sz="0" w:space="0" w:color="auto"/>
            <w:right w:val="none" w:sz="0" w:space="0" w:color="auto"/>
          </w:divBdr>
          <w:divsChild>
            <w:div w:id="4739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440">
      <w:bodyDiv w:val="1"/>
      <w:marLeft w:val="0"/>
      <w:marRight w:val="0"/>
      <w:marTop w:val="0"/>
      <w:marBottom w:val="0"/>
      <w:divBdr>
        <w:top w:val="none" w:sz="0" w:space="0" w:color="auto"/>
        <w:left w:val="none" w:sz="0" w:space="0" w:color="auto"/>
        <w:bottom w:val="none" w:sz="0" w:space="0" w:color="auto"/>
        <w:right w:val="none" w:sz="0" w:space="0" w:color="auto"/>
      </w:divBdr>
      <w:divsChild>
        <w:div w:id="1546138417">
          <w:marLeft w:val="0"/>
          <w:marRight w:val="0"/>
          <w:marTop w:val="0"/>
          <w:marBottom w:val="0"/>
          <w:divBdr>
            <w:top w:val="none" w:sz="0" w:space="0" w:color="auto"/>
            <w:left w:val="none" w:sz="0" w:space="0" w:color="auto"/>
            <w:bottom w:val="none" w:sz="0" w:space="0" w:color="auto"/>
            <w:right w:val="none" w:sz="0" w:space="0" w:color="auto"/>
          </w:divBdr>
          <w:divsChild>
            <w:div w:id="1966236037">
              <w:marLeft w:val="0"/>
              <w:marRight w:val="0"/>
              <w:marTop w:val="0"/>
              <w:marBottom w:val="0"/>
              <w:divBdr>
                <w:top w:val="none" w:sz="0" w:space="0" w:color="auto"/>
                <w:left w:val="none" w:sz="0" w:space="0" w:color="auto"/>
                <w:bottom w:val="none" w:sz="0" w:space="0" w:color="auto"/>
                <w:right w:val="none" w:sz="0" w:space="0" w:color="auto"/>
              </w:divBdr>
              <w:divsChild>
                <w:div w:id="55710901">
                  <w:marLeft w:val="0"/>
                  <w:marRight w:val="0"/>
                  <w:marTop w:val="0"/>
                  <w:marBottom w:val="0"/>
                  <w:divBdr>
                    <w:top w:val="none" w:sz="0" w:space="0" w:color="auto"/>
                    <w:left w:val="none" w:sz="0" w:space="0" w:color="auto"/>
                    <w:bottom w:val="none" w:sz="0" w:space="0" w:color="auto"/>
                    <w:right w:val="none" w:sz="0" w:space="0" w:color="auto"/>
                  </w:divBdr>
                  <w:divsChild>
                    <w:div w:id="1421289788">
                      <w:marLeft w:val="0"/>
                      <w:marRight w:val="0"/>
                      <w:marTop w:val="0"/>
                      <w:marBottom w:val="0"/>
                      <w:divBdr>
                        <w:top w:val="none" w:sz="0" w:space="0" w:color="auto"/>
                        <w:left w:val="none" w:sz="0" w:space="0" w:color="auto"/>
                        <w:bottom w:val="none" w:sz="0" w:space="0" w:color="auto"/>
                        <w:right w:val="none" w:sz="0" w:space="0" w:color="auto"/>
                      </w:divBdr>
                      <w:divsChild>
                        <w:div w:id="969894154">
                          <w:marLeft w:val="0"/>
                          <w:marRight w:val="0"/>
                          <w:marTop w:val="0"/>
                          <w:marBottom w:val="0"/>
                          <w:divBdr>
                            <w:top w:val="none" w:sz="0" w:space="0" w:color="auto"/>
                            <w:left w:val="none" w:sz="0" w:space="0" w:color="auto"/>
                            <w:bottom w:val="none" w:sz="0" w:space="0" w:color="auto"/>
                            <w:right w:val="none" w:sz="0" w:space="0" w:color="auto"/>
                          </w:divBdr>
                          <w:divsChild>
                            <w:div w:id="4206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esco.org/culture/ich/index.php?lg=fr&amp;pg=0070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A1948-A2EE-4B1F-9C65-08A38A07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14760</Words>
  <Characters>81182</Characters>
  <Application>Microsoft Office Word</Application>
  <DocSecurity>0</DocSecurity>
  <Lines>676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2015-11-02T18:17:00Z</dcterms:created>
  <dcterms:modified xsi:type="dcterms:W3CDTF">2015-11-02T18:17:00Z</dcterms:modified>
</cp:coreProperties>
</file>