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D02D50" w14:textId="77777777" w:rsidR="006375F5" w:rsidRDefault="006375F5" w:rsidP="006375F5">
      <w:pPr>
        <w:widowControl w:val="0"/>
        <w:autoSpaceDE w:val="0"/>
        <w:autoSpaceDN w:val="0"/>
        <w:adjustRightInd w:val="0"/>
        <w:spacing w:before="480" w:after="480"/>
        <w:jc w:val="both"/>
        <w:rPr>
          <w:lang w:val="es-ES"/>
        </w:rPr>
      </w:pPr>
      <w:bookmarkStart w:id="0" w:name="_Hlk193978874"/>
      <w:bookmarkStart w:id="1" w:name="_Toc154220417"/>
      <w:bookmarkStart w:id="2" w:name="_Toc302374671"/>
      <w:bookmarkStart w:id="3" w:name="_Toc241644684"/>
    </w:p>
    <w:p w14:paraId="14D2829D" w14:textId="77777777" w:rsidR="00E60756" w:rsidRPr="001165F6" w:rsidRDefault="00E60756" w:rsidP="00E60756">
      <w:pPr>
        <w:tabs>
          <w:tab w:val="left" w:pos="567"/>
        </w:tabs>
        <w:snapToGrid w:val="0"/>
        <w:spacing w:before="840" w:after="240"/>
        <w:contextualSpacing/>
        <w:jc w:val="center"/>
        <w:rPr>
          <w:rFonts w:ascii="Arial" w:eastAsia="SimSun" w:hAnsi="Arial" w:cs="Arial"/>
          <w:b/>
          <w:snapToGrid w:val="0"/>
          <w:sz w:val="22"/>
          <w:szCs w:val="22"/>
          <w:lang w:val="es-ES" w:eastAsia="zh-CN"/>
        </w:rPr>
      </w:pPr>
      <w:r w:rsidRPr="001165F6">
        <w:rPr>
          <w:rFonts w:ascii="Arial" w:eastAsia="SimSun" w:hAnsi="Arial" w:cs="Arial"/>
          <w:b/>
          <w:snapToGrid w:val="0"/>
          <w:sz w:val="22"/>
          <w:szCs w:val="22"/>
          <w:lang w:val="es-ES" w:eastAsia="zh-CN"/>
        </w:rPr>
        <w:t>CONVENCIÓN PA</w:t>
      </w:r>
      <w:r>
        <w:rPr>
          <w:rFonts w:ascii="Arial" w:eastAsia="SimSun" w:hAnsi="Arial" w:cs="Arial"/>
          <w:b/>
          <w:snapToGrid w:val="0"/>
          <w:sz w:val="22"/>
          <w:szCs w:val="22"/>
          <w:lang w:val="es-ES" w:eastAsia="zh-CN"/>
        </w:rPr>
        <w:t>R</w:t>
      </w:r>
      <w:r w:rsidRPr="001165F6">
        <w:rPr>
          <w:rFonts w:ascii="Arial" w:eastAsia="SimSun" w:hAnsi="Arial" w:cs="Arial"/>
          <w:b/>
          <w:snapToGrid w:val="0"/>
          <w:sz w:val="22"/>
          <w:szCs w:val="22"/>
          <w:lang w:val="es-ES" w:eastAsia="zh-CN"/>
        </w:rPr>
        <w:t>A LA SALVAGUARDIA DEL</w:t>
      </w:r>
      <w:r w:rsidRPr="001165F6">
        <w:rPr>
          <w:rFonts w:ascii="Arial" w:eastAsia="SimSun" w:hAnsi="Arial" w:cs="Arial"/>
          <w:b/>
          <w:snapToGrid w:val="0"/>
          <w:sz w:val="22"/>
          <w:szCs w:val="22"/>
          <w:lang w:val="es-ES" w:eastAsia="zh-CN"/>
        </w:rPr>
        <w:br/>
        <w:t>PATRIMONIO CULTURAL INMATERIAL</w:t>
      </w:r>
    </w:p>
    <w:p w14:paraId="6AE98CB6" w14:textId="77777777" w:rsidR="00E60756" w:rsidRPr="001165F6" w:rsidRDefault="00E60756" w:rsidP="00E60756">
      <w:pPr>
        <w:tabs>
          <w:tab w:val="left" w:pos="567"/>
        </w:tabs>
        <w:snapToGrid w:val="0"/>
        <w:spacing w:before="1200" w:after="120"/>
        <w:ind w:right="-1"/>
        <w:jc w:val="center"/>
        <w:rPr>
          <w:rFonts w:ascii="Arial" w:eastAsia="Calibri" w:hAnsi="Arial" w:cs="Arial"/>
          <w:b/>
          <w:bCs/>
          <w:caps/>
          <w:snapToGrid w:val="0"/>
          <w:sz w:val="22"/>
          <w:szCs w:val="22"/>
          <w:lang w:val="es-ES" w:eastAsia="zh-CN"/>
        </w:rPr>
      </w:pPr>
      <w:bookmarkStart w:id="4" w:name="_Hlk70514086"/>
      <w:r w:rsidRPr="001165F6">
        <w:rPr>
          <w:rFonts w:ascii="Arial" w:eastAsia="Calibri" w:hAnsi="Arial" w:cs="Arial"/>
          <w:b/>
          <w:bCs/>
          <w:caps/>
          <w:snapToGrid w:val="0"/>
          <w:sz w:val="22"/>
          <w:szCs w:val="22"/>
          <w:lang w:val="es-ES" w:eastAsia="zh-CN"/>
        </w:rPr>
        <w:t>Formación de formadores sobre patrimonio vivo y desarrollo urbano sostenible</w:t>
      </w:r>
    </w:p>
    <w:p w14:paraId="1CC80D7E" w14:textId="77777777" w:rsidR="00E60756" w:rsidRPr="001165F6" w:rsidRDefault="00E60756" w:rsidP="00E60756">
      <w:pPr>
        <w:tabs>
          <w:tab w:val="left" w:pos="567"/>
        </w:tabs>
        <w:snapToGrid w:val="0"/>
        <w:spacing w:before="1200" w:after="120"/>
        <w:ind w:right="-1"/>
        <w:jc w:val="center"/>
        <w:rPr>
          <w:rFonts w:ascii="Arial" w:eastAsia="Calibri" w:hAnsi="Arial" w:cs="Arial"/>
          <w:b/>
          <w:bCs/>
          <w:caps/>
          <w:snapToGrid w:val="0"/>
          <w:sz w:val="22"/>
          <w:szCs w:val="22"/>
          <w:lang w:val="es-ES" w:eastAsia="zh-CN"/>
        </w:rPr>
      </w:pPr>
      <w:r w:rsidRPr="001165F6">
        <w:rPr>
          <w:rFonts w:ascii="Arial" w:eastAsia="Calibri" w:hAnsi="Arial" w:cs="Arial"/>
          <w:b/>
          <w:bCs/>
          <w:caps/>
          <w:snapToGrid w:val="0"/>
          <w:sz w:val="22"/>
          <w:szCs w:val="22"/>
          <w:lang w:val="es-ES" w:eastAsia="zh-CN"/>
        </w:rPr>
        <w:t>Fortalecimiento de capacidades para comunidades resilientes a través turismo sostenible y la salvaguardia del patrimonio en América Latina y el Caribe</w:t>
      </w:r>
    </w:p>
    <w:bookmarkEnd w:id="4"/>
    <w:p w14:paraId="41BA597D" w14:textId="77777777" w:rsidR="00E60756" w:rsidRPr="001165F6" w:rsidRDefault="00E60756" w:rsidP="00E60756">
      <w:pPr>
        <w:tabs>
          <w:tab w:val="left" w:pos="567"/>
        </w:tabs>
        <w:snapToGrid w:val="0"/>
        <w:spacing w:before="840" w:after="120"/>
        <w:jc w:val="center"/>
        <w:rPr>
          <w:rFonts w:ascii="Arial" w:eastAsia="Calibri" w:hAnsi="Arial" w:cs="Arial"/>
          <w:b/>
          <w:bCs/>
          <w:snapToGrid w:val="0"/>
          <w:sz w:val="22"/>
          <w:szCs w:val="22"/>
          <w:lang w:val="es-ES" w:eastAsia="zh-CN"/>
        </w:rPr>
      </w:pPr>
      <w:r w:rsidRPr="001165F6">
        <w:rPr>
          <w:rFonts w:ascii="Arial" w:eastAsia="Calibri" w:hAnsi="Arial" w:cs="Arial"/>
          <w:b/>
          <w:bCs/>
          <w:snapToGrid w:val="0"/>
          <w:sz w:val="22"/>
          <w:szCs w:val="22"/>
          <w:lang w:val="es-ES" w:eastAsia="zh-CN"/>
        </w:rPr>
        <w:t>5, 7, 19, 27, 28 de marzo y 1 de abril de 2025</w:t>
      </w:r>
      <w:r w:rsidRPr="001165F6">
        <w:rPr>
          <w:rFonts w:ascii="Arial" w:eastAsia="Calibri" w:hAnsi="Arial" w:cs="Arial"/>
          <w:b/>
          <w:bCs/>
          <w:snapToGrid w:val="0"/>
          <w:sz w:val="22"/>
          <w:szCs w:val="22"/>
          <w:lang w:val="es-ES" w:eastAsia="zh-CN"/>
        </w:rPr>
        <w:br/>
        <w:t>En línea</w:t>
      </w:r>
    </w:p>
    <w:p w14:paraId="2507EB86" w14:textId="77777777" w:rsidR="00E60756" w:rsidRDefault="00E60756" w:rsidP="00E60756">
      <w:pPr>
        <w:tabs>
          <w:tab w:val="left" w:pos="567"/>
        </w:tabs>
        <w:snapToGrid w:val="0"/>
        <w:spacing w:before="840" w:after="120"/>
        <w:jc w:val="center"/>
        <w:rPr>
          <w:rFonts w:ascii="Arial" w:eastAsia="Calibri" w:hAnsi="Arial" w:cs="Arial"/>
          <w:b/>
          <w:bCs/>
          <w:snapToGrid w:val="0"/>
          <w:sz w:val="22"/>
          <w:szCs w:val="22"/>
          <w:lang w:val="es-ES" w:eastAsia="zh-CN"/>
        </w:rPr>
      </w:pPr>
      <w:r w:rsidRPr="00F605B7">
        <w:rPr>
          <w:rFonts w:ascii="Arial" w:eastAsia="Calibri" w:hAnsi="Arial" w:cs="Arial"/>
          <w:b/>
          <w:bCs/>
          <w:snapToGrid w:val="0"/>
          <w:sz w:val="22"/>
          <w:szCs w:val="22"/>
          <w:lang w:val="es-ES" w:eastAsia="zh-CN"/>
        </w:rPr>
        <w:t xml:space="preserve">Unidad 3: Abordaje práctico para la salvaguardia del patrimonio vivo en contextos urbanos          </w:t>
      </w:r>
    </w:p>
    <w:p w14:paraId="3BE348B9" w14:textId="1AE851FB" w:rsidR="00E60756" w:rsidRDefault="00E60756" w:rsidP="00E60756">
      <w:pPr>
        <w:tabs>
          <w:tab w:val="left" w:pos="567"/>
        </w:tabs>
        <w:snapToGrid w:val="0"/>
        <w:spacing w:before="840" w:after="120"/>
        <w:jc w:val="center"/>
        <w:rPr>
          <w:rFonts w:ascii="Arial" w:eastAsia="Calibri" w:hAnsi="Arial" w:cs="Arial"/>
          <w:b/>
          <w:bCs/>
          <w:snapToGrid w:val="0"/>
          <w:sz w:val="22"/>
          <w:szCs w:val="22"/>
          <w:lang w:val="es-ES" w:eastAsia="zh-CN"/>
        </w:rPr>
      </w:pPr>
      <w:r>
        <w:rPr>
          <w:rFonts w:ascii="Arial" w:eastAsia="Calibri" w:hAnsi="Arial" w:cs="Arial"/>
          <w:b/>
          <w:bCs/>
          <w:snapToGrid w:val="0"/>
          <w:sz w:val="22"/>
          <w:szCs w:val="22"/>
          <w:lang w:val="es-ES" w:eastAsia="zh-CN"/>
        </w:rPr>
        <w:t xml:space="preserve">Caso de estudio </w:t>
      </w:r>
      <w:r>
        <w:rPr>
          <w:rFonts w:ascii="Arial" w:eastAsia="Calibri" w:hAnsi="Arial" w:cs="Arial"/>
          <w:b/>
          <w:bCs/>
          <w:snapToGrid w:val="0"/>
          <w:sz w:val="22"/>
          <w:szCs w:val="22"/>
          <w:lang w:val="es-ES" w:eastAsia="zh-CN"/>
        </w:rPr>
        <w:t>4</w:t>
      </w:r>
    </w:p>
    <w:p w14:paraId="0AD1C7EB" w14:textId="77777777" w:rsidR="00E60756" w:rsidRDefault="00E60756" w:rsidP="006375F5">
      <w:pPr>
        <w:widowControl w:val="0"/>
        <w:autoSpaceDE w:val="0"/>
        <w:autoSpaceDN w:val="0"/>
        <w:adjustRightInd w:val="0"/>
        <w:spacing w:before="480" w:after="480"/>
        <w:jc w:val="both"/>
        <w:rPr>
          <w:lang w:val="es-ES"/>
        </w:rPr>
      </w:pPr>
    </w:p>
    <w:p w14:paraId="39BE5950" w14:textId="7698DE48" w:rsidR="006375F5" w:rsidRDefault="006375F5" w:rsidP="006375F5">
      <w:pPr>
        <w:widowControl w:val="0"/>
        <w:autoSpaceDE w:val="0"/>
        <w:autoSpaceDN w:val="0"/>
        <w:adjustRightInd w:val="0"/>
        <w:spacing w:before="480" w:after="480"/>
        <w:jc w:val="both"/>
        <w:rPr>
          <w:rFonts w:asciiTheme="minorBidi" w:hAnsiTheme="minorBidi"/>
          <w:sz w:val="22"/>
          <w:szCs w:val="22"/>
          <w:lang w:val="es-ES"/>
        </w:rPr>
      </w:pPr>
      <w:r w:rsidRPr="001165F6">
        <w:rPr>
          <w:rFonts w:asciiTheme="minorBidi" w:hAnsiTheme="minorBidi"/>
          <w:sz w:val="22"/>
          <w:szCs w:val="22"/>
          <w:lang w:val="es-ES"/>
        </w:rPr>
        <w:lastRenderedPageBreak/>
        <w:t>© UNESCO 2025</w:t>
      </w:r>
    </w:p>
    <w:p w14:paraId="567514E6" w14:textId="77777777" w:rsidR="006375F5" w:rsidRPr="001165F6" w:rsidRDefault="006375F5" w:rsidP="006375F5">
      <w:pPr>
        <w:spacing w:after="100" w:afterAutospacing="1"/>
        <w:jc w:val="both"/>
        <w:rPr>
          <w:rFonts w:asciiTheme="minorBidi" w:hAnsiTheme="minorBidi"/>
          <w:sz w:val="22"/>
          <w:szCs w:val="22"/>
          <w:lang w:val="es-ES"/>
        </w:rPr>
      </w:pPr>
      <w:r w:rsidRPr="001165F6">
        <w:rPr>
          <w:rFonts w:asciiTheme="minorBidi" w:hAnsiTheme="minorBidi"/>
          <w:sz w:val="22"/>
          <w:szCs w:val="22"/>
          <w:lang w:val="es-ES"/>
        </w:rPr>
        <w:t>Las imágenes de este documento de trabajo no están sujetas a la licencia CC-BY-SA y no pueden utilizarse, reproducirse ni comercializarse sin el permiso previo de los titulares de los derechos de autor.</w:t>
      </w:r>
    </w:p>
    <w:p w14:paraId="64AF964A" w14:textId="77777777" w:rsidR="006375F5" w:rsidRPr="001165F6" w:rsidRDefault="006375F5" w:rsidP="006375F5">
      <w:pPr>
        <w:spacing w:before="100" w:beforeAutospacing="1" w:after="100" w:afterAutospacing="1"/>
        <w:jc w:val="both"/>
        <w:rPr>
          <w:rFonts w:asciiTheme="minorBidi" w:hAnsiTheme="minorBidi"/>
          <w:sz w:val="22"/>
          <w:szCs w:val="22"/>
          <w:lang w:val="es-ES"/>
        </w:rPr>
      </w:pPr>
      <w:r w:rsidRPr="001165F6">
        <w:rPr>
          <w:rFonts w:asciiTheme="minorBidi" w:hAnsiTheme="minorBidi"/>
          <w:sz w:val="22"/>
          <w:szCs w:val="22"/>
          <w:lang w:val="es-ES"/>
        </w:rPr>
        <w:t>Las denominaciones empleadas y la presentación del material en este documento de trabajo no implican la expresión de ninguna opinión por parte de la UNESCO sobre la condición jurídica de ningún país, territorio, ciudad o zona, ni de sus autoridades, ni sobre la delimitación de sus fronteras o límites.</w:t>
      </w:r>
    </w:p>
    <w:p w14:paraId="3F2593D0" w14:textId="77777777" w:rsidR="006375F5" w:rsidRDefault="006375F5" w:rsidP="006375F5">
      <w:pPr>
        <w:spacing w:before="100" w:beforeAutospacing="1" w:after="100" w:afterAutospacing="1"/>
        <w:jc w:val="both"/>
        <w:rPr>
          <w:rFonts w:asciiTheme="minorBidi" w:hAnsiTheme="minorBidi"/>
          <w:sz w:val="22"/>
          <w:szCs w:val="22"/>
          <w:lang w:val="es-ES"/>
        </w:rPr>
      </w:pPr>
      <w:r w:rsidRPr="001165F6">
        <w:rPr>
          <w:rFonts w:asciiTheme="minorBidi" w:hAnsiTheme="minorBidi"/>
          <w:sz w:val="22"/>
          <w:szCs w:val="22"/>
          <w:lang w:val="es-ES"/>
        </w:rPr>
        <w:t>Las ideas y opiniones expresadas en esta publicación son las de los autores; no son necesariamente las de la UNESCO y no comprometen a la Organización.</w:t>
      </w:r>
    </w:p>
    <w:bookmarkEnd w:id="0"/>
    <w:p w14:paraId="705FA1C4" w14:textId="1FA460DD" w:rsidR="006375F5" w:rsidRDefault="006375F5" w:rsidP="006375F5">
      <w:pPr>
        <w:pStyle w:val="Chapitre"/>
        <w:keepNext w:val="0"/>
        <w:keepLines w:val="0"/>
        <w:widowControl w:val="0"/>
        <w:pBdr>
          <w:bottom w:val="single" w:sz="4" w:space="6" w:color="3366FF"/>
        </w:pBdr>
        <w:tabs>
          <w:tab w:val="clear" w:pos="567"/>
          <w:tab w:val="left" w:pos="2483"/>
        </w:tabs>
        <w:spacing w:line="240" w:lineRule="auto"/>
        <w:rPr>
          <w:lang w:val="es-ES"/>
        </w:rPr>
      </w:pPr>
    </w:p>
    <w:p w14:paraId="35F245F3" w14:textId="77777777" w:rsidR="006375F5" w:rsidRDefault="006375F5" w:rsidP="0040630D">
      <w:pPr>
        <w:pStyle w:val="Chapitre"/>
        <w:keepNext w:val="0"/>
        <w:keepLines w:val="0"/>
        <w:widowControl w:val="0"/>
        <w:pBdr>
          <w:bottom w:val="single" w:sz="4" w:space="6" w:color="3366FF"/>
        </w:pBdr>
        <w:spacing w:line="240" w:lineRule="auto"/>
        <w:rPr>
          <w:lang w:val="es-ES"/>
        </w:rPr>
      </w:pPr>
    </w:p>
    <w:p w14:paraId="6E17D8C4" w14:textId="77777777" w:rsidR="006375F5" w:rsidRDefault="006375F5" w:rsidP="0040630D">
      <w:pPr>
        <w:pStyle w:val="Chapitre"/>
        <w:keepNext w:val="0"/>
        <w:keepLines w:val="0"/>
        <w:widowControl w:val="0"/>
        <w:pBdr>
          <w:bottom w:val="single" w:sz="4" w:space="6" w:color="3366FF"/>
        </w:pBdr>
        <w:spacing w:line="240" w:lineRule="auto"/>
        <w:rPr>
          <w:lang w:val="es-ES"/>
        </w:rPr>
      </w:pPr>
    </w:p>
    <w:p w14:paraId="72BDD149" w14:textId="77777777" w:rsidR="006375F5" w:rsidRDefault="006375F5" w:rsidP="0040630D">
      <w:pPr>
        <w:pStyle w:val="Chapitre"/>
        <w:keepNext w:val="0"/>
        <w:keepLines w:val="0"/>
        <w:widowControl w:val="0"/>
        <w:pBdr>
          <w:bottom w:val="single" w:sz="4" w:space="6" w:color="3366FF"/>
        </w:pBdr>
        <w:spacing w:line="240" w:lineRule="auto"/>
        <w:rPr>
          <w:lang w:val="es-ES"/>
        </w:rPr>
      </w:pPr>
    </w:p>
    <w:p w14:paraId="4D62B17E" w14:textId="77777777" w:rsidR="006375F5" w:rsidRDefault="006375F5" w:rsidP="0040630D">
      <w:pPr>
        <w:pStyle w:val="Chapitre"/>
        <w:keepNext w:val="0"/>
        <w:keepLines w:val="0"/>
        <w:widowControl w:val="0"/>
        <w:pBdr>
          <w:bottom w:val="single" w:sz="4" w:space="6" w:color="3366FF"/>
        </w:pBdr>
        <w:spacing w:line="240" w:lineRule="auto"/>
        <w:rPr>
          <w:lang w:val="es-ES"/>
        </w:rPr>
      </w:pPr>
    </w:p>
    <w:p w14:paraId="2457A606" w14:textId="77777777" w:rsidR="006375F5" w:rsidRDefault="006375F5" w:rsidP="0040630D">
      <w:pPr>
        <w:pStyle w:val="Chapitre"/>
        <w:keepNext w:val="0"/>
        <w:keepLines w:val="0"/>
        <w:widowControl w:val="0"/>
        <w:pBdr>
          <w:bottom w:val="single" w:sz="4" w:space="6" w:color="3366FF"/>
        </w:pBdr>
        <w:spacing w:line="240" w:lineRule="auto"/>
        <w:rPr>
          <w:lang w:val="es-ES"/>
        </w:rPr>
      </w:pPr>
    </w:p>
    <w:p w14:paraId="75F8B4FE" w14:textId="77777777" w:rsidR="006375F5" w:rsidRDefault="006375F5" w:rsidP="0040630D">
      <w:pPr>
        <w:pStyle w:val="Chapitre"/>
        <w:keepNext w:val="0"/>
        <w:keepLines w:val="0"/>
        <w:widowControl w:val="0"/>
        <w:pBdr>
          <w:bottom w:val="single" w:sz="4" w:space="6" w:color="3366FF"/>
        </w:pBdr>
        <w:spacing w:line="240" w:lineRule="auto"/>
        <w:rPr>
          <w:lang w:val="es-ES"/>
        </w:rPr>
      </w:pPr>
    </w:p>
    <w:p w14:paraId="1392C702" w14:textId="23E3BC5C" w:rsidR="0040630D" w:rsidRPr="0040630D" w:rsidRDefault="006375F5" w:rsidP="0040630D">
      <w:pPr>
        <w:pStyle w:val="Chapitre"/>
        <w:keepNext w:val="0"/>
        <w:keepLines w:val="0"/>
        <w:widowControl w:val="0"/>
        <w:pBdr>
          <w:bottom w:val="single" w:sz="4" w:space="6" w:color="3366FF"/>
        </w:pBdr>
        <w:spacing w:line="240" w:lineRule="auto"/>
        <w:rPr>
          <w:lang w:val="es-ES"/>
        </w:rPr>
      </w:pPr>
      <w:r>
        <w:rPr>
          <w:lang w:val="es-ES"/>
        </w:rPr>
        <w:lastRenderedPageBreak/>
        <w:t>UN</w:t>
      </w:r>
      <w:r w:rsidR="0040630D" w:rsidRPr="0040630D">
        <w:rPr>
          <w:lang w:val="es-ES"/>
        </w:rPr>
        <w:t>idad 3</w:t>
      </w:r>
      <w:bookmarkEnd w:id="1"/>
      <w:bookmarkEnd w:id="2"/>
      <w:bookmarkEnd w:id="3"/>
    </w:p>
    <w:p w14:paraId="00E95639" w14:textId="4C5C5306" w:rsidR="0040630D" w:rsidRPr="0040630D" w:rsidRDefault="0040630D" w:rsidP="0040630D">
      <w:pPr>
        <w:jc w:val="both"/>
        <w:rPr>
          <w:rFonts w:ascii="Arial" w:eastAsia="Times New Roman" w:hAnsi="Arial" w:cs="Arial"/>
          <w:b/>
          <w:bCs/>
          <w:caps/>
          <w:noProof/>
          <w:snapToGrid w:val="0"/>
          <w:color w:val="3366FF"/>
          <w:kern w:val="28"/>
          <w:sz w:val="32"/>
          <w:szCs w:val="32"/>
          <w:lang w:val="es-ES" w:eastAsia="zh-CN"/>
        </w:rPr>
      </w:pPr>
      <w:r w:rsidRPr="0040630D">
        <w:rPr>
          <w:rFonts w:ascii="Arial" w:eastAsia="Times New Roman" w:hAnsi="Arial" w:cs="Arial"/>
          <w:b/>
          <w:bCs/>
          <w:caps/>
          <w:noProof/>
          <w:snapToGrid w:val="0"/>
          <w:color w:val="3366FF"/>
          <w:kern w:val="28"/>
          <w:sz w:val="32"/>
          <w:szCs w:val="32"/>
          <w:lang w:val="es-ES" w:eastAsia="zh-CN"/>
        </w:rPr>
        <w:t xml:space="preserve">caso de estudio 4. As-Salt, jordania – plan de </w:t>
      </w:r>
      <w:r>
        <w:rPr>
          <w:rFonts w:ascii="Arial" w:eastAsia="Times New Roman" w:hAnsi="Arial" w:cs="Arial"/>
          <w:b/>
          <w:bCs/>
          <w:caps/>
          <w:noProof/>
          <w:snapToGrid w:val="0"/>
          <w:color w:val="3366FF"/>
          <w:kern w:val="28"/>
          <w:sz w:val="32"/>
          <w:szCs w:val="32"/>
          <w:lang w:val="es-ES" w:eastAsia="zh-CN"/>
        </w:rPr>
        <w:t>gesti</w:t>
      </w:r>
      <w:r w:rsidRPr="0040630D">
        <w:rPr>
          <w:rFonts w:ascii="Arial" w:eastAsia="Times New Roman" w:hAnsi="Arial" w:cs="Arial"/>
          <w:b/>
          <w:bCs/>
          <w:caps/>
          <w:noProof/>
          <w:snapToGrid w:val="0"/>
          <w:color w:val="3366FF"/>
          <w:kern w:val="28"/>
          <w:sz w:val="32"/>
          <w:szCs w:val="32"/>
          <w:lang w:val="es-ES" w:eastAsia="zh-CN"/>
        </w:rPr>
        <w:t>ó</w:t>
      </w:r>
      <w:r>
        <w:rPr>
          <w:rFonts w:ascii="Arial" w:eastAsia="Times New Roman" w:hAnsi="Arial" w:cs="Arial"/>
          <w:b/>
          <w:bCs/>
          <w:caps/>
          <w:noProof/>
          <w:snapToGrid w:val="0"/>
          <w:color w:val="3366FF"/>
          <w:kern w:val="28"/>
          <w:sz w:val="32"/>
          <w:szCs w:val="32"/>
          <w:lang w:val="es-ES" w:eastAsia="zh-CN"/>
        </w:rPr>
        <w:t>n de la conservaci</w:t>
      </w:r>
      <w:r w:rsidRPr="0040630D">
        <w:rPr>
          <w:rFonts w:ascii="Arial" w:eastAsia="Times New Roman" w:hAnsi="Arial" w:cs="Arial"/>
          <w:b/>
          <w:bCs/>
          <w:caps/>
          <w:noProof/>
          <w:snapToGrid w:val="0"/>
          <w:color w:val="3366FF"/>
          <w:kern w:val="28"/>
          <w:sz w:val="32"/>
          <w:szCs w:val="32"/>
          <w:lang w:val="es-ES" w:eastAsia="zh-CN"/>
        </w:rPr>
        <w:t>ó</w:t>
      </w:r>
      <w:r>
        <w:rPr>
          <w:rFonts w:ascii="Arial" w:eastAsia="Times New Roman" w:hAnsi="Arial" w:cs="Arial"/>
          <w:b/>
          <w:bCs/>
          <w:caps/>
          <w:noProof/>
          <w:snapToGrid w:val="0"/>
          <w:color w:val="3366FF"/>
          <w:kern w:val="28"/>
          <w:sz w:val="32"/>
          <w:szCs w:val="32"/>
          <w:lang w:val="es-ES" w:eastAsia="zh-CN"/>
        </w:rPr>
        <w:t xml:space="preserve">n </w:t>
      </w:r>
    </w:p>
    <w:p w14:paraId="19C59BD7" w14:textId="77777777" w:rsidR="007D2FF7" w:rsidRPr="0040630D" w:rsidRDefault="007D2FF7" w:rsidP="003B7102">
      <w:pPr>
        <w:pStyle w:val="Texte1"/>
        <w:ind w:left="0"/>
        <w:rPr>
          <w:color w:val="3333FF"/>
          <w:sz w:val="22"/>
          <w:szCs w:val="22"/>
          <w:lang w:val="es-ES"/>
        </w:rPr>
      </w:pPr>
    </w:p>
    <w:p w14:paraId="7E0A862F" w14:textId="073AFCEB" w:rsidR="002B64E6" w:rsidRPr="0040630D" w:rsidRDefault="007D2FF7" w:rsidP="006375F5">
      <w:pPr>
        <w:pStyle w:val="Texte1"/>
        <w:numPr>
          <w:ilvl w:val="0"/>
          <w:numId w:val="5"/>
        </w:numPr>
        <w:spacing w:line="276" w:lineRule="auto"/>
        <w:rPr>
          <w:rFonts w:asciiTheme="minorBidi" w:hAnsiTheme="minorBidi" w:cstheme="minorBidi"/>
          <w:b/>
          <w:bCs/>
          <w:color w:val="2F59F1"/>
        </w:rPr>
      </w:pPr>
      <w:r w:rsidRPr="0040630D">
        <w:rPr>
          <w:rFonts w:asciiTheme="minorBidi" w:hAnsiTheme="minorBidi" w:cstheme="minorBidi"/>
          <w:b/>
          <w:bCs/>
          <w:color w:val="2F59F1"/>
          <w:lang w:val="es"/>
        </w:rPr>
        <w:t>INTRODUCCIÓN</w:t>
      </w:r>
    </w:p>
    <w:p w14:paraId="515C55C3" w14:textId="77777777" w:rsidR="001D7653" w:rsidRPr="0040630D" w:rsidRDefault="001D7653" w:rsidP="0040630D">
      <w:pPr>
        <w:pStyle w:val="Texte1"/>
        <w:spacing w:line="276" w:lineRule="auto"/>
        <w:ind w:left="0"/>
        <w:rPr>
          <w:rFonts w:asciiTheme="minorBidi" w:hAnsiTheme="minorBidi" w:cstheme="minorBidi"/>
        </w:rPr>
      </w:pPr>
    </w:p>
    <w:p w14:paraId="585CFC86"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t xml:space="preserve">As-Salt es una antigua ciudad de comercio de sal y centro administrativo del centro-oeste de Jordania, en la provincia de Al-Balqa. La ciudad se convirtió en un centro regional durante el Imperio Otomano, pero fue destruida por los egipcios en 1830. En el siglo XIX se convirtió en la capital de Transjordania, antes de que Ammán fuera declarada capital de Jordania. En la actualidad, As-Salt tiene una población de 108 000 habitantes. </w:t>
      </w:r>
    </w:p>
    <w:p w14:paraId="02507B6C" w14:textId="77777777" w:rsidR="00F45EE6" w:rsidRPr="0040630D" w:rsidRDefault="00F45EE6" w:rsidP="0040630D">
      <w:pPr>
        <w:spacing w:line="276" w:lineRule="auto"/>
        <w:jc w:val="both"/>
        <w:rPr>
          <w:rFonts w:asciiTheme="minorBidi" w:hAnsiTheme="minorBidi"/>
          <w:sz w:val="20"/>
          <w:szCs w:val="20"/>
        </w:rPr>
      </w:pPr>
    </w:p>
    <w:p w14:paraId="649B906F"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t>Su núcleo urbano histórico, inscrito en la lista del Patrimonio Mundial de la UNESCO en 2021, tiene una superficie de 25 hectáreas y está rodeado por una zona tampón de 71 hectáreas. Representa "un ejemplo excepcional de patrimonio vivo con un fuerte vínculo entre sus atributos intangibles (tolerancia y convivencia entre comunidades musulmanas y cristianas; hospitalidad urbana; y sistema de bienestar socio-urbano); y tangibles (arquitectura significativa y morfología urbana)..."</w:t>
      </w:r>
    </w:p>
    <w:p w14:paraId="3F00E6FE" w14:textId="77777777" w:rsidR="00F45EE6" w:rsidRPr="0040630D" w:rsidRDefault="00F45EE6" w:rsidP="0040630D">
      <w:pPr>
        <w:spacing w:line="276" w:lineRule="auto"/>
        <w:jc w:val="both"/>
        <w:rPr>
          <w:rFonts w:asciiTheme="minorBidi" w:hAnsiTheme="minorBidi"/>
          <w:sz w:val="20"/>
          <w:szCs w:val="20"/>
        </w:rPr>
      </w:pPr>
    </w:p>
    <w:p w14:paraId="20AA61A3"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t>El "Plan de Gestión de la Conservación" del núcleo hist</w:t>
      </w:r>
      <w:bookmarkStart w:id="5" w:name="_Hlk188637064"/>
      <w:r w:rsidRPr="0040630D">
        <w:rPr>
          <w:rFonts w:asciiTheme="minorBidi" w:hAnsiTheme="minorBidi"/>
          <w:sz w:val="20"/>
          <w:szCs w:val="20"/>
          <w:lang w:val="es"/>
        </w:rPr>
        <w:t>ó</w:t>
      </w:r>
      <w:bookmarkEnd w:id="5"/>
      <w:r w:rsidRPr="0040630D">
        <w:rPr>
          <w:rFonts w:asciiTheme="minorBidi" w:hAnsiTheme="minorBidi"/>
          <w:sz w:val="20"/>
          <w:szCs w:val="20"/>
          <w:lang w:val="es"/>
        </w:rPr>
        <w:t>rico de As-Salt pretende: i) sostener y preservar la calidad del entorno urbano; ii) potenciar el uso continuado de los espacios públicos urbanos; iii) conservar la arquitectura; y iv) y apoyar y promover la diversidad social y funcional dentro del núcleo histórico. Adem</w:t>
      </w:r>
      <w:bookmarkStart w:id="6" w:name="_Hlk188637209"/>
      <w:r w:rsidRPr="0040630D">
        <w:rPr>
          <w:rFonts w:asciiTheme="minorBidi" w:hAnsiTheme="minorBidi"/>
          <w:sz w:val="20"/>
          <w:szCs w:val="20"/>
          <w:lang w:val="es"/>
        </w:rPr>
        <w:t>á</w:t>
      </w:r>
      <w:bookmarkEnd w:id="6"/>
      <w:r w:rsidRPr="0040630D">
        <w:rPr>
          <w:rFonts w:asciiTheme="minorBidi" w:hAnsiTheme="minorBidi"/>
          <w:sz w:val="20"/>
          <w:szCs w:val="20"/>
          <w:lang w:val="es"/>
        </w:rPr>
        <w:t xml:space="preserve">s, ofrece "una visión colectiva y proporciona una herramienta de toma de decisiones para orientar los procesos y las intervenciones que garanticen la continuidad de las tradiciones y la protección y conservación de esta parte histórica de la ciudad..." Por lo tanto, el presente análisis se centra en comprender cómo el Plan de Gestión de la Conservación elabora un marco para salvaguardar el patrimonio vivo incorporando procesos de planificación urbana. </w:t>
      </w:r>
    </w:p>
    <w:p w14:paraId="43706901" w14:textId="77777777" w:rsidR="00F45EE6" w:rsidRPr="0040630D" w:rsidRDefault="00F45EE6" w:rsidP="0040630D">
      <w:pPr>
        <w:spacing w:line="276" w:lineRule="auto"/>
        <w:jc w:val="both"/>
        <w:rPr>
          <w:rFonts w:asciiTheme="minorBidi" w:hAnsiTheme="minorBidi"/>
          <w:sz w:val="20"/>
          <w:szCs w:val="20"/>
        </w:rPr>
      </w:pPr>
    </w:p>
    <w:p w14:paraId="4A792D72" w14:textId="77777777" w:rsidR="00F45EE6" w:rsidRPr="0040630D" w:rsidRDefault="00F45EE6" w:rsidP="0040630D">
      <w:pPr>
        <w:pBdr>
          <w:top w:val="single" w:sz="4" w:space="1" w:color="auto"/>
          <w:left w:val="single" w:sz="4" w:space="4" w:color="auto"/>
          <w:bottom w:val="single" w:sz="4" w:space="1" w:color="auto"/>
          <w:right w:val="single" w:sz="4" w:space="4" w:color="auto"/>
        </w:pBdr>
        <w:shd w:val="clear" w:color="auto" w:fill="F2F2F2" w:themeFill="background1" w:themeFillShade="F2"/>
        <w:spacing w:line="276" w:lineRule="auto"/>
        <w:jc w:val="both"/>
        <w:rPr>
          <w:rFonts w:asciiTheme="minorBidi" w:hAnsiTheme="minorBidi"/>
          <w:sz w:val="20"/>
          <w:szCs w:val="20"/>
        </w:rPr>
      </w:pPr>
      <w:r w:rsidRPr="0040630D">
        <w:rPr>
          <w:rFonts w:asciiTheme="minorBidi" w:hAnsiTheme="minorBidi"/>
          <w:b/>
          <w:bCs/>
          <w:sz w:val="20"/>
          <w:szCs w:val="20"/>
          <w:lang w:val="es"/>
        </w:rPr>
        <w:t xml:space="preserve">Breve historia del patrimonio vivo de As-Salt: </w:t>
      </w:r>
      <w:r w:rsidRPr="0040630D">
        <w:rPr>
          <w:rFonts w:asciiTheme="minorBidi" w:hAnsiTheme="minorBidi"/>
          <w:sz w:val="20"/>
          <w:szCs w:val="20"/>
          <w:lang w:val="es"/>
        </w:rPr>
        <w:t xml:space="preserve">Según el plan, "A finales del siglo XIX, la comunidad urbana de As-Salt era una mezcla de tribus locales y comerciantes de Naplusa, Jerusalén, Hebrón, Damasco, Nazaret, Líbano y Turquía. De la combinación de costumbres tribales y nuevas normas sociales urbanas, con influencias de las obras públicas y la reforma otomanas y misioneras, y de los constantes recién llegados a la ciudad, entre ellos comerciantes y emigrantes, surgió una vida social distintiva. Esto creó una tradición de hospitalidad urbana en la que viajeros y visitantes eran recibidos en las casas de los mercaderes y se les ofrecía comida, bebida y alojamiento. La diversidad religiosa de la comunidad de As-Salt y su interior (por ejemplo, musulmanes, ortodoxos griegos, católicos romanos y protestantes), y las diferentes etnias (por ejemplo, árabes, turcomanos, kurdos, chechenos) fomentaron la tolerancia y el apoyo entre los diversos grupos que coexistían en un denso entorno urbano. Estos rasgos configuraron el tejido urbano de forma que se fortalecieron las relaciones sociales (por ejemplo, las casas comparten espacios semipúblicos y callejones) y no existían divisiones (étnicas o religiosas) entre las zonas residenciales". Además, As-Salt "goza de una vida pública activa e inclusiva a través de edificios y espacios públicos (por ejemplo, mezquitas, iglesias, clínicas, escuelas) donde se celebran las festividades religiosas de las diversas religiones". </w:t>
      </w:r>
      <w:r w:rsidRPr="0040630D">
        <w:rPr>
          <w:rFonts w:asciiTheme="minorBidi" w:hAnsiTheme="minorBidi"/>
          <w:sz w:val="20"/>
          <w:szCs w:val="20"/>
          <w:lang w:val="es"/>
        </w:rPr>
        <w:lastRenderedPageBreak/>
        <w:t>Sin embargo, en la actualidad, factores como la urbanización intensiva, la demolición de edificios históricos o las adiciones insensibles a los mismos constituyen amenazas para el patrimonio del centro histórico.</w:t>
      </w:r>
    </w:p>
    <w:p w14:paraId="381B9532" w14:textId="77777777" w:rsidR="00F45EE6" w:rsidRPr="0040630D" w:rsidRDefault="00F45EE6" w:rsidP="0040630D">
      <w:pPr>
        <w:pStyle w:val="Texte1"/>
        <w:spacing w:line="276" w:lineRule="auto"/>
        <w:ind w:left="0"/>
        <w:rPr>
          <w:rFonts w:asciiTheme="minorBidi" w:hAnsiTheme="minorBidi" w:cstheme="minorBidi"/>
          <w:color w:val="0177D4"/>
          <w:lang w:val="es-ES"/>
        </w:rPr>
      </w:pPr>
    </w:p>
    <w:p w14:paraId="25D13F57" w14:textId="4ED763C6" w:rsidR="00F45EE6" w:rsidRPr="0040630D" w:rsidRDefault="00F45EE6" w:rsidP="006375F5">
      <w:pPr>
        <w:pStyle w:val="Texte1"/>
        <w:numPr>
          <w:ilvl w:val="0"/>
          <w:numId w:val="5"/>
        </w:numPr>
        <w:spacing w:line="276" w:lineRule="auto"/>
        <w:rPr>
          <w:rFonts w:asciiTheme="minorBidi" w:hAnsiTheme="minorBidi" w:cstheme="minorBidi"/>
          <w:b/>
          <w:bCs/>
          <w:color w:val="2F59F1"/>
          <w:lang w:val="es-ES"/>
        </w:rPr>
      </w:pPr>
      <w:r w:rsidRPr="0040630D">
        <w:rPr>
          <w:rFonts w:asciiTheme="minorBidi" w:hAnsiTheme="minorBidi" w:cstheme="minorBidi"/>
          <w:b/>
          <w:bCs/>
          <w:color w:val="2F59F1"/>
          <w:lang w:val="es"/>
        </w:rPr>
        <w:t>ANÁLISIS DEL PLAN DE GESTIÓN DE LA CONSERVACIÓN</w:t>
      </w:r>
    </w:p>
    <w:p w14:paraId="6777A6AC" w14:textId="77777777" w:rsidR="00F45EE6" w:rsidRPr="0040630D" w:rsidRDefault="00F45EE6" w:rsidP="0040630D">
      <w:pPr>
        <w:spacing w:line="276" w:lineRule="auto"/>
        <w:rPr>
          <w:rFonts w:asciiTheme="minorBidi" w:hAnsiTheme="minorBidi"/>
          <w:sz w:val="20"/>
          <w:szCs w:val="20"/>
        </w:rPr>
      </w:pPr>
    </w:p>
    <w:p w14:paraId="74420BEB" w14:textId="77777777" w:rsidR="00F45EE6" w:rsidRPr="0040630D" w:rsidRDefault="00F45EE6" w:rsidP="0040630D">
      <w:pPr>
        <w:spacing w:line="276" w:lineRule="auto"/>
        <w:rPr>
          <w:rFonts w:asciiTheme="minorBidi" w:hAnsiTheme="minorBidi"/>
          <w:sz w:val="20"/>
          <w:szCs w:val="20"/>
        </w:rPr>
      </w:pPr>
      <w:r w:rsidRPr="0040630D">
        <w:rPr>
          <w:rFonts w:asciiTheme="minorBidi" w:hAnsiTheme="minorBidi"/>
          <w:sz w:val="20"/>
          <w:szCs w:val="20"/>
          <w:lang w:val="es"/>
        </w:rPr>
        <w:t>La metodología del plan constaba de tres componentes: i) identificación y descripción, ii) evaluación y análisis, y iii) respuesta. A continuación se describe el alcance de cada componente.</w:t>
      </w:r>
    </w:p>
    <w:p w14:paraId="24D024BE" w14:textId="77777777" w:rsidR="00F45EE6" w:rsidRPr="0040630D" w:rsidRDefault="00F45EE6" w:rsidP="0040630D">
      <w:pPr>
        <w:spacing w:line="276" w:lineRule="auto"/>
        <w:rPr>
          <w:rFonts w:asciiTheme="minorBidi" w:hAnsiTheme="minorBidi"/>
          <w:sz w:val="20"/>
          <w:szCs w:val="20"/>
        </w:rPr>
      </w:pPr>
    </w:p>
    <w:p w14:paraId="601E55ED" w14:textId="77777777" w:rsidR="00F45EE6" w:rsidRPr="0040630D" w:rsidRDefault="00F45EE6" w:rsidP="006375F5">
      <w:pPr>
        <w:pStyle w:val="ListParagraph"/>
        <w:numPr>
          <w:ilvl w:val="0"/>
          <w:numId w:val="7"/>
        </w:numPr>
        <w:spacing w:line="276" w:lineRule="auto"/>
        <w:jc w:val="both"/>
        <w:rPr>
          <w:rFonts w:asciiTheme="minorBidi" w:hAnsiTheme="minorBidi"/>
          <w:sz w:val="20"/>
          <w:szCs w:val="20"/>
        </w:rPr>
      </w:pPr>
      <w:r w:rsidRPr="0040630D">
        <w:rPr>
          <w:rFonts w:asciiTheme="minorBidi" w:hAnsiTheme="minorBidi"/>
          <w:b/>
          <w:bCs/>
          <w:sz w:val="20"/>
          <w:szCs w:val="20"/>
          <w:lang w:val="es"/>
        </w:rPr>
        <w:t>Identificación y descripción:</w:t>
      </w:r>
      <w:r w:rsidRPr="0040630D">
        <w:rPr>
          <w:rFonts w:asciiTheme="minorBidi" w:hAnsiTheme="minorBidi"/>
          <w:sz w:val="20"/>
          <w:szCs w:val="20"/>
          <w:lang w:val="es"/>
        </w:rPr>
        <w:t xml:space="preserve"> Comprensión y documentación del centro histórico, y análisis de las partes interesadas, individuos o grupos asociados a la zona. Esta fase permitió identificar los objetivos y propósitos del plan. </w:t>
      </w:r>
    </w:p>
    <w:p w14:paraId="06D35B30" w14:textId="77777777" w:rsidR="00F45EE6" w:rsidRPr="0040630D" w:rsidRDefault="00F45EE6" w:rsidP="006375F5">
      <w:pPr>
        <w:pStyle w:val="ListParagraph"/>
        <w:numPr>
          <w:ilvl w:val="0"/>
          <w:numId w:val="7"/>
        </w:numPr>
        <w:spacing w:line="276" w:lineRule="auto"/>
        <w:jc w:val="both"/>
        <w:rPr>
          <w:rFonts w:asciiTheme="minorBidi" w:hAnsiTheme="minorBidi"/>
          <w:sz w:val="20"/>
          <w:szCs w:val="20"/>
        </w:rPr>
      </w:pPr>
      <w:r w:rsidRPr="0040630D">
        <w:rPr>
          <w:rFonts w:asciiTheme="minorBidi" w:hAnsiTheme="minorBidi"/>
          <w:b/>
          <w:bCs/>
          <w:sz w:val="20"/>
          <w:szCs w:val="20"/>
          <w:lang w:val="es"/>
        </w:rPr>
        <w:t>Evaluación y análisis:</w:t>
      </w:r>
      <w:r w:rsidRPr="0040630D">
        <w:rPr>
          <w:rFonts w:asciiTheme="minorBidi" w:hAnsiTheme="minorBidi"/>
          <w:sz w:val="20"/>
          <w:szCs w:val="20"/>
          <w:lang w:val="es"/>
        </w:rPr>
        <w:t xml:space="preserve"> Comprender el contexto de gestión (es decir, las limitaciones y oportunidades actuales), las condiciones físicas de la zona (es decir, las amenazas y retos medioambientales y físicos) y los valores de importancia cultural (es decir, por qué es importante el sitio y para quién). </w:t>
      </w:r>
    </w:p>
    <w:p w14:paraId="755DFE1A" w14:textId="77777777" w:rsidR="00F45EE6" w:rsidRPr="0040630D" w:rsidRDefault="00F45EE6" w:rsidP="006375F5">
      <w:pPr>
        <w:pStyle w:val="ListParagraph"/>
        <w:numPr>
          <w:ilvl w:val="0"/>
          <w:numId w:val="7"/>
        </w:numPr>
        <w:spacing w:before="240" w:line="276" w:lineRule="auto"/>
        <w:jc w:val="both"/>
        <w:rPr>
          <w:rFonts w:asciiTheme="minorBidi" w:hAnsiTheme="minorBidi"/>
          <w:sz w:val="20"/>
          <w:szCs w:val="20"/>
        </w:rPr>
      </w:pPr>
      <w:r w:rsidRPr="0040630D">
        <w:rPr>
          <w:rFonts w:asciiTheme="minorBidi" w:hAnsiTheme="minorBidi"/>
          <w:b/>
          <w:bCs/>
          <w:sz w:val="20"/>
          <w:szCs w:val="20"/>
          <w:lang w:val="es"/>
        </w:rPr>
        <w:t>Respuesta:</w:t>
      </w:r>
      <w:r w:rsidRPr="0040630D">
        <w:rPr>
          <w:rFonts w:asciiTheme="minorBidi" w:hAnsiTheme="minorBidi"/>
          <w:sz w:val="20"/>
          <w:szCs w:val="20"/>
          <w:lang w:val="es"/>
        </w:rPr>
        <w:t xml:space="preserve"> Elaborar una visión para el centro histórico, fijar los objetivos del plan, establecer políticas y propósitos y desarrollar estrategias para traducir las políticas en acciones de conservación y gestión de la zona. </w:t>
      </w:r>
    </w:p>
    <w:p w14:paraId="31EA1818" w14:textId="77777777" w:rsidR="00F45EE6" w:rsidRPr="0040630D" w:rsidRDefault="00F45EE6" w:rsidP="006375F5">
      <w:pPr>
        <w:pStyle w:val="Heading1"/>
        <w:numPr>
          <w:ilvl w:val="1"/>
          <w:numId w:val="6"/>
        </w:numPr>
        <w:spacing w:before="240" w:line="276" w:lineRule="auto"/>
        <w:ind w:left="1440"/>
        <w:rPr>
          <w:rFonts w:asciiTheme="minorBidi" w:hAnsiTheme="minorBidi" w:cstheme="minorBidi"/>
          <w:color w:val="2F59F1"/>
          <w:sz w:val="20"/>
          <w:szCs w:val="20"/>
        </w:rPr>
      </w:pPr>
      <w:r w:rsidRPr="0040630D">
        <w:rPr>
          <w:rFonts w:asciiTheme="minorBidi" w:hAnsiTheme="minorBidi" w:cstheme="minorBidi"/>
          <w:color w:val="2F59F1"/>
          <w:sz w:val="20"/>
          <w:szCs w:val="20"/>
          <w:lang w:val="es"/>
        </w:rPr>
        <w:t>Objetivos y políticas del plan</w:t>
      </w:r>
    </w:p>
    <w:p w14:paraId="7CAB12BA" w14:textId="77777777" w:rsidR="00F45EE6" w:rsidRPr="0040630D" w:rsidRDefault="00F45EE6" w:rsidP="0040630D">
      <w:pPr>
        <w:spacing w:line="276" w:lineRule="auto"/>
        <w:rPr>
          <w:rFonts w:asciiTheme="minorBidi" w:hAnsiTheme="minorBidi"/>
          <w:sz w:val="20"/>
          <w:szCs w:val="20"/>
        </w:rPr>
      </w:pPr>
    </w:p>
    <w:p w14:paraId="49FA6ABF"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t>El Plan de Gestión de la Conservación define 6 objetivos de alto nivel, 10 políticas y 29 estrategias de conservación y gestión, junto con varias herramientas o mecanismos y proyectos que se están aplicando o se aplicarán en el centro histórico para salvaguardar el patrimonio cultural. Con respecto a los objetivos (véase más adelante), éstos pretenden proporcionar una comprensión global de las diferentes capas patrimoniales del núcleo histórico, incluidos los elementos tangibles y las prácticas sociales y culturales que contribuyen a la identidad del lugar, y formular recomendaciones para su protección, conservación y gestión.</w:t>
      </w:r>
    </w:p>
    <w:p w14:paraId="26DE00EC" w14:textId="77777777" w:rsidR="00F45EE6" w:rsidRPr="0040630D" w:rsidRDefault="00F45EE6" w:rsidP="0040630D">
      <w:pPr>
        <w:spacing w:line="276" w:lineRule="auto"/>
        <w:jc w:val="both"/>
        <w:rPr>
          <w:rFonts w:asciiTheme="minorBidi" w:hAnsiTheme="minorBidi"/>
          <w:sz w:val="20"/>
          <w:szCs w:val="20"/>
        </w:rPr>
      </w:pPr>
    </w:p>
    <w:p w14:paraId="2DD627EA"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noProof/>
          <w:sz w:val="20"/>
          <w:szCs w:val="20"/>
          <w:lang w:val="es"/>
        </w:rPr>
        <w:drawing>
          <wp:inline distT="0" distB="0" distL="0" distR="0" wp14:anchorId="104EDBC5" wp14:editId="3C51C44C">
            <wp:extent cx="5501005" cy="1396538"/>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970" b="-3849"/>
                    <a:stretch/>
                  </pic:blipFill>
                  <pic:spPr bwMode="auto">
                    <a:xfrm>
                      <a:off x="0" y="0"/>
                      <a:ext cx="5501599" cy="1396689"/>
                    </a:xfrm>
                    <a:prstGeom prst="rect">
                      <a:avLst/>
                    </a:prstGeom>
                    <a:ln>
                      <a:noFill/>
                    </a:ln>
                    <a:extLst>
                      <a:ext uri="{53640926-AAD7-44D8-BBD7-CCE9431645EC}">
                        <a14:shadowObscured xmlns:a14="http://schemas.microsoft.com/office/drawing/2010/main"/>
                      </a:ext>
                    </a:extLst>
                  </pic:spPr>
                </pic:pic>
              </a:graphicData>
            </a:graphic>
          </wp:inline>
        </w:drawing>
      </w:r>
    </w:p>
    <w:p w14:paraId="0BC60F1B" w14:textId="77777777" w:rsidR="00F45EE6" w:rsidRPr="0040630D" w:rsidRDefault="00F45EE6" w:rsidP="0040630D">
      <w:pPr>
        <w:spacing w:line="276" w:lineRule="auto"/>
        <w:jc w:val="both"/>
        <w:rPr>
          <w:rFonts w:asciiTheme="minorBidi" w:hAnsiTheme="minorBidi"/>
          <w:sz w:val="20"/>
          <w:szCs w:val="20"/>
        </w:rPr>
      </w:pPr>
    </w:p>
    <w:p w14:paraId="483E4325"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t xml:space="preserve">Como ya se ha mencionado, el plan también establece 10 políticas para garantizar una conservación y gestión adecuadas. Como se muestra en el siguiente diagrama, muchas de ellas están relacionadas directa o indirectamente con la salvaguardia del patrimonio vivo y, a efectos de este análisis, cabe señalar que varias están relacionadas con las cuatro estructuras urbanas definidas en la metodología propuesta para incorporar el PCI a la planificación urbana, a saber, las estructuras ecológica, funcional, socioeconómica y del patrimonio histórico y edificado. </w:t>
      </w:r>
    </w:p>
    <w:p w14:paraId="17A2AF19" w14:textId="77777777" w:rsidR="00F45EE6" w:rsidRPr="0040630D" w:rsidRDefault="00F45EE6" w:rsidP="0040630D">
      <w:pPr>
        <w:spacing w:line="276" w:lineRule="auto"/>
        <w:jc w:val="both"/>
        <w:rPr>
          <w:rFonts w:asciiTheme="minorBidi" w:hAnsiTheme="minorBidi"/>
          <w:sz w:val="20"/>
          <w:szCs w:val="20"/>
        </w:rPr>
      </w:pPr>
    </w:p>
    <w:p w14:paraId="5723FE97"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lastRenderedPageBreak/>
        <w:t xml:space="preserve">Además, varias de estas políticas abordan el patrimonio desde una dimensión física o espacial, por ejemplo, las relacionadas con la conservación de edificios históricos o la prestación de servicios en la zona histórica, mientras que otras tocan el Patrimonio Cultural Inmaterial (PCI), como las tradiciones históricas orales. Estas políticas son de carácter multidisciplinar, lo que significa que pretenden contribuir a salvaguardar el patrimonio cultural del centro histórico de diversas formas, como intervenciones físicas, sensibilización, financiación y otras.  </w:t>
      </w:r>
    </w:p>
    <w:p w14:paraId="1AEABCA7" w14:textId="77777777" w:rsidR="00F45EE6" w:rsidRPr="0040630D" w:rsidRDefault="00F45EE6" w:rsidP="0040630D">
      <w:pPr>
        <w:spacing w:line="276" w:lineRule="auto"/>
        <w:jc w:val="both"/>
        <w:rPr>
          <w:rFonts w:asciiTheme="minorBidi" w:hAnsiTheme="minorBidi"/>
          <w:sz w:val="20"/>
          <w:szCs w:val="20"/>
        </w:rPr>
      </w:pPr>
    </w:p>
    <w:p w14:paraId="3A540552"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noProof/>
          <w:sz w:val="20"/>
          <w:szCs w:val="20"/>
          <w:lang w:val="es"/>
        </w:rPr>
        <w:drawing>
          <wp:inline distT="0" distB="0" distL="0" distR="0" wp14:anchorId="27E46623" wp14:editId="002F0DFB">
            <wp:extent cx="5612130" cy="3670300"/>
            <wp:effectExtent l="0" t="0" r="127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670300"/>
                    </a:xfrm>
                    <a:prstGeom prst="rect">
                      <a:avLst/>
                    </a:prstGeom>
                  </pic:spPr>
                </pic:pic>
              </a:graphicData>
            </a:graphic>
          </wp:inline>
        </w:drawing>
      </w:r>
    </w:p>
    <w:p w14:paraId="445CEC89" w14:textId="77777777" w:rsidR="00F45EE6" w:rsidRPr="0040630D" w:rsidRDefault="00F45EE6" w:rsidP="006375F5">
      <w:pPr>
        <w:pStyle w:val="Heading1"/>
        <w:numPr>
          <w:ilvl w:val="1"/>
          <w:numId w:val="6"/>
        </w:numPr>
        <w:spacing w:line="276" w:lineRule="auto"/>
        <w:ind w:left="1440"/>
        <w:rPr>
          <w:rFonts w:asciiTheme="minorBidi" w:hAnsiTheme="minorBidi" w:cstheme="minorBidi"/>
          <w:color w:val="2F59F1"/>
          <w:sz w:val="20"/>
          <w:szCs w:val="20"/>
        </w:rPr>
      </w:pPr>
      <w:r w:rsidRPr="0040630D">
        <w:rPr>
          <w:rFonts w:asciiTheme="minorBidi" w:hAnsiTheme="minorBidi" w:cstheme="minorBidi"/>
          <w:color w:val="2F59F1"/>
          <w:sz w:val="20"/>
          <w:szCs w:val="20"/>
          <w:lang w:val="es"/>
        </w:rPr>
        <w:t>Métodos de elaboración del plan y principales partes implicadas</w:t>
      </w:r>
    </w:p>
    <w:p w14:paraId="3BEB2421" w14:textId="77777777" w:rsidR="00F45EE6" w:rsidRPr="0040630D" w:rsidRDefault="00F45EE6" w:rsidP="0040630D">
      <w:pPr>
        <w:spacing w:line="276" w:lineRule="auto"/>
        <w:rPr>
          <w:rFonts w:asciiTheme="minorBidi" w:hAnsiTheme="minorBidi"/>
          <w:sz w:val="20"/>
          <w:szCs w:val="20"/>
        </w:rPr>
      </w:pPr>
    </w:p>
    <w:p w14:paraId="46D5D018"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t xml:space="preserve">El proceso de elaboración del plan incluyó el uso de varios métodos de investigación para analizar "la especificidad y naturaleza del patrimonio vivo en el centro urbano histórico de As-Salt, y contextualizar sus atributos tangibles e intangibles". Estos métodos incluían: </w:t>
      </w:r>
    </w:p>
    <w:p w14:paraId="139CF4D9" w14:textId="77777777" w:rsidR="00F45EE6" w:rsidRPr="0040630D" w:rsidRDefault="00F45EE6" w:rsidP="0040630D">
      <w:pPr>
        <w:spacing w:line="276" w:lineRule="auto"/>
        <w:jc w:val="both"/>
        <w:rPr>
          <w:rFonts w:asciiTheme="minorBidi" w:hAnsiTheme="minorBidi"/>
          <w:sz w:val="20"/>
          <w:szCs w:val="20"/>
        </w:rPr>
      </w:pPr>
    </w:p>
    <w:p w14:paraId="0769F14B" w14:textId="77777777" w:rsidR="00F45EE6" w:rsidRPr="0040630D" w:rsidRDefault="00F45EE6" w:rsidP="006375F5">
      <w:pPr>
        <w:pStyle w:val="ListParagraph"/>
        <w:numPr>
          <w:ilvl w:val="0"/>
          <w:numId w:val="8"/>
        </w:numPr>
        <w:spacing w:line="276" w:lineRule="auto"/>
        <w:jc w:val="both"/>
        <w:rPr>
          <w:rFonts w:asciiTheme="minorBidi" w:hAnsiTheme="minorBidi"/>
          <w:sz w:val="20"/>
          <w:szCs w:val="20"/>
        </w:rPr>
      </w:pPr>
      <w:r w:rsidRPr="0040630D">
        <w:rPr>
          <w:rFonts w:asciiTheme="minorBidi" w:eastAsia="Times New Roman" w:hAnsiTheme="minorBidi"/>
          <w:b/>
          <w:bCs/>
          <w:color w:val="000000"/>
          <w:sz w:val="20"/>
          <w:szCs w:val="20"/>
          <w:lang w:val="es"/>
        </w:rPr>
        <w:t xml:space="preserve">Estudios y cartografía: </w:t>
      </w:r>
      <w:r w:rsidRPr="0040630D">
        <w:rPr>
          <w:rFonts w:asciiTheme="minorBidi" w:eastAsia="Times New Roman" w:hAnsiTheme="minorBidi"/>
          <w:color w:val="000000"/>
          <w:sz w:val="20"/>
          <w:szCs w:val="20"/>
          <w:lang w:val="es"/>
        </w:rPr>
        <w:t>de las características arquitectónicas y urbanas de la ciudad, incluidos los atributos naturales, culturales, arquitectónicos, urbanos y socioculturales.</w:t>
      </w:r>
    </w:p>
    <w:p w14:paraId="065A702A" w14:textId="77777777" w:rsidR="00F45EE6" w:rsidRPr="0040630D" w:rsidRDefault="00F45EE6" w:rsidP="006375F5">
      <w:pPr>
        <w:pStyle w:val="ListParagraph"/>
        <w:numPr>
          <w:ilvl w:val="0"/>
          <w:numId w:val="8"/>
        </w:numPr>
        <w:spacing w:line="276" w:lineRule="auto"/>
        <w:jc w:val="both"/>
        <w:rPr>
          <w:rFonts w:asciiTheme="minorBidi" w:hAnsiTheme="minorBidi"/>
          <w:sz w:val="20"/>
          <w:szCs w:val="20"/>
        </w:rPr>
      </w:pPr>
      <w:r w:rsidRPr="0040630D">
        <w:rPr>
          <w:rFonts w:asciiTheme="minorBidi" w:eastAsia="Times New Roman" w:hAnsiTheme="minorBidi"/>
          <w:b/>
          <w:bCs/>
          <w:color w:val="000000"/>
          <w:sz w:val="20"/>
          <w:szCs w:val="20"/>
          <w:lang w:val="es"/>
        </w:rPr>
        <w:t xml:space="preserve">Revisión bibliográfica: </w:t>
      </w:r>
      <w:r w:rsidRPr="0040630D">
        <w:rPr>
          <w:rFonts w:asciiTheme="minorBidi" w:eastAsia="Times New Roman" w:hAnsiTheme="minorBidi"/>
          <w:color w:val="000000"/>
          <w:sz w:val="20"/>
          <w:szCs w:val="20"/>
          <w:lang w:val="es"/>
        </w:rPr>
        <w:t>sobre la historia social urbana de la ciudad y su patrimonio arquitectónico, urbano y cultural.</w:t>
      </w:r>
    </w:p>
    <w:p w14:paraId="568DAB49" w14:textId="77777777" w:rsidR="00F45EE6" w:rsidRPr="0040630D" w:rsidRDefault="00F45EE6" w:rsidP="006375F5">
      <w:pPr>
        <w:pStyle w:val="ListParagraph"/>
        <w:numPr>
          <w:ilvl w:val="0"/>
          <w:numId w:val="8"/>
        </w:numPr>
        <w:spacing w:line="276" w:lineRule="auto"/>
        <w:jc w:val="both"/>
        <w:rPr>
          <w:rFonts w:asciiTheme="minorBidi" w:hAnsiTheme="minorBidi"/>
          <w:sz w:val="20"/>
          <w:szCs w:val="20"/>
        </w:rPr>
      </w:pPr>
      <w:r w:rsidRPr="0040630D">
        <w:rPr>
          <w:rFonts w:asciiTheme="minorBidi" w:eastAsia="Times New Roman" w:hAnsiTheme="minorBidi"/>
          <w:b/>
          <w:bCs/>
          <w:color w:val="000000"/>
          <w:sz w:val="20"/>
          <w:szCs w:val="20"/>
          <w:lang w:val="es"/>
        </w:rPr>
        <w:t xml:space="preserve">Encuentros etnográficos y entrevistas: </w:t>
      </w:r>
      <w:r w:rsidRPr="0040630D">
        <w:rPr>
          <w:rFonts w:asciiTheme="minorBidi" w:eastAsia="Times New Roman" w:hAnsiTheme="minorBidi"/>
          <w:color w:val="000000"/>
          <w:sz w:val="20"/>
          <w:szCs w:val="20"/>
          <w:lang w:val="es"/>
        </w:rPr>
        <w:t xml:space="preserve">realizados con hombres y mujeres mayores de la ciudad. </w:t>
      </w:r>
    </w:p>
    <w:p w14:paraId="13F0F9EC" w14:textId="77777777" w:rsidR="00F45EE6" w:rsidRPr="0040630D" w:rsidRDefault="00F45EE6" w:rsidP="006375F5">
      <w:pPr>
        <w:pStyle w:val="ListParagraph"/>
        <w:numPr>
          <w:ilvl w:val="0"/>
          <w:numId w:val="8"/>
        </w:numPr>
        <w:spacing w:line="276" w:lineRule="auto"/>
        <w:jc w:val="both"/>
        <w:rPr>
          <w:rFonts w:asciiTheme="minorBidi" w:hAnsiTheme="minorBidi"/>
          <w:sz w:val="20"/>
          <w:szCs w:val="20"/>
        </w:rPr>
      </w:pPr>
      <w:r w:rsidRPr="0040630D">
        <w:rPr>
          <w:rFonts w:asciiTheme="minorBidi" w:eastAsia="Times New Roman" w:hAnsiTheme="minorBidi"/>
          <w:b/>
          <w:bCs/>
          <w:color w:val="000000"/>
          <w:sz w:val="20"/>
          <w:szCs w:val="20"/>
          <w:lang w:val="es"/>
        </w:rPr>
        <w:t xml:space="preserve">Reuniones y entrevistas con historiadores clave: </w:t>
      </w:r>
      <w:r w:rsidRPr="0040630D">
        <w:rPr>
          <w:rFonts w:asciiTheme="minorBidi" w:eastAsia="Times New Roman" w:hAnsiTheme="minorBidi"/>
          <w:color w:val="000000"/>
          <w:sz w:val="20"/>
          <w:szCs w:val="20"/>
          <w:lang w:val="es"/>
        </w:rPr>
        <w:t>para recabar información de expertos en la materia.</w:t>
      </w:r>
    </w:p>
    <w:p w14:paraId="1EB08384" w14:textId="77777777" w:rsidR="00F45EE6" w:rsidRPr="0040630D" w:rsidRDefault="00F45EE6" w:rsidP="006375F5">
      <w:pPr>
        <w:pStyle w:val="ListParagraph"/>
        <w:numPr>
          <w:ilvl w:val="0"/>
          <w:numId w:val="8"/>
        </w:numPr>
        <w:spacing w:line="276" w:lineRule="auto"/>
        <w:jc w:val="both"/>
        <w:rPr>
          <w:rFonts w:asciiTheme="minorBidi" w:hAnsiTheme="minorBidi"/>
          <w:sz w:val="20"/>
          <w:szCs w:val="20"/>
        </w:rPr>
      </w:pPr>
      <w:r w:rsidRPr="0040630D">
        <w:rPr>
          <w:rFonts w:asciiTheme="minorBidi" w:eastAsia="Times New Roman" w:hAnsiTheme="minorBidi"/>
          <w:b/>
          <w:bCs/>
          <w:color w:val="000000"/>
          <w:sz w:val="20"/>
          <w:szCs w:val="20"/>
          <w:lang w:val="es"/>
        </w:rPr>
        <w:t xml:space="preserve">Investigación de archivos: </w:t>
      </w:r>
      <w:r w:rsidRPr="0040630D">
        <w:rPr>
          <w:rFonts w:asciiTheme="minorBidi" w:eastAsia="Times New Roman" w:hAnsiTheme="minorBidi"/>
          <w:color w:val="000000"/>
          <w:sz w:val="20"/>
          <w:szCs w:val="20"/>
          <w:lang w:val="es"/>
        </w:rPr>
        <w:t>incluyendo fotos históricas de la ciudad procedentes de colecciones personales; los archivos del municipio de As-Salt; la Biblioteca del Congreso; el Fondo Palestino de Exploración; y otros.</w:t>
      </w:r>
    </w:p>
    <w:p w14:paraId="74B21BF1" w14:textId="77777777" w:rsidR="00F45EE6" w:rsidRPr="0040630D" w:rsidRDefault="00F45EE6" w:rsidP="006375F5">
      <w:pPr>
        <w:pStyle w:val="Heading1"/>
        <w:numPr>
          <w:ilvl w:val="2"/>
          <w:numId w:val="6"/>
        </w:numPr>
        <w:spacing w:line="276" w:lineRule="auto"/>
        <w:ind w:left="2160" w:hanging="360"/>
        <w:rPr>
          <w:rFonts w:asciiTheme="minorBidi" w:hAnsiTheme="minorBidi" w:cstheme="minorBidi"/>
          <w:color w:val="2F59F1"/>
          <w:sz w:val="20"/>
          <w:szCs w:val="20"/>
        </w:rPr>
      </w:pPr>
      <w:r w:rsidRPr="0040630D">
        <w:rPr>
          <w:rFonts w:asciiTheme="minorBidi" w:hAnsiTheme="minorBidi" w:cstheme="minorBidi"/>
          <w:color w:val="2F59F1"/>
          <w:sz w:val="20"/>
          <w:szCs w:val="20"/>
          <w:lang w:val="es"/>
        </w:rPr>
        <w:lastRenderedPageBreak/>
        <w:t>Principales partes interesadas en la elaboración y aplicación del plan</w:t>
      </w:r>
    </w:p>
    <w:p w14:paraId="6FE6E735" w14:textId="77777777" w:rsidR="00F45EE6" w:rsidRPr="0040630D" w:rsidRDefault="00F45EE6" w:rsidP="0040630D">
      <w:pPr>
        <w:spacing w:line="276" w:lineRule="auto"/>
        <w:rPr>
          <w:rFonts w:asciiTheme="minorBidi" w:hAnsiTheme="minorBidi"/>
          <w:sz w:val="20"/>
          <w:szCs w:val="20"/>
        </w:rPr>
      </w:pPr>
    </w:p>
    <w:p w14:paraId="0840C36F"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t xml:space="preserve">El Plan de Gestión de la Conservación de As-Salt fue elaborado por un grupo de trabajo creado con el único fin de desarrollar el plan. Este grupo estaba formado por interesados de diversos sectores y procedencias, lo que contribuyó a garantizar un enfoque multidisciplinar. Las organizaciones representadas en el grupo de trabajo son las siguientes: </w:t>
      </w:r>
    </w:p>
    <w:p w14:paraId="37963172" w14:textId="77777777" w:rsidR="00F45EE6" w:rsidRPr="0040630D" w:rsidRDefault="00F45EE6" w:rsidP="0040630D">
      <w:pPr>
        <w:spacing w:line="276" w:lineRule="auto"/>
        <w:rPr>
          <w:rFonts w:asciiTheme="minorBidi" w:hAnsiTheme="minorBidi"/>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22"/>
        <w:gridCol w:w="6706"/>
      </w:tblGrid>
      <w:tr w:rsidR="00F45EE6" w:rsidRPr="0040630D" w14:paraId="148EB02E" w14:textId="77777777" w:rsidTr="0040630D">
        <w:trPr>
          <w:trHeight w:val="340"/>
          <w:jc w:val="center"/>
        </w:trPr>
        <w:tc>
          <w:tcPr>
            <w:tcW w:w="1202" w:type="pct"/>
            <w:shd w:val="clear" w:color="auto" w:fill="2F59F1"/>
            <w:vAlign w:val="center"/>
            <w:hideMark/>
          </w:tcPr>
          <w:p w14:paraId="17F3BE21" w14:textId="77777777" w:rsidR="00F45EE6" w:rsidRPr="0040630D" w:rsidRDefault="00F45EE6" w:rsidP="0040630D">
            <w:pPr>
              <w:spacing w:line="276" w:lineRule="auto"/>
              <w:jc w:val="center"/>
              <w:rPr>
                <w:rFonts w:asciiTheme="minorBidi" w:eastAsia="Times New Roman" w:hAnsiTheme="minorBidi"/>
                <w:b/>
                <w:bCs/>
                <w:color w:val="FFFFFF" w:themeColor="background1"/>
                <w:sz w:val="20"/>
                <w:szCs w:val="20"/>
              </w:rPr>
            </w:pPr>
            <w:r w:rsidRPr="0040630D">
              <w:rPr>
                <w:rFonts w:asciiTheme="minorBidi" w:eastAsia="Times New Roman" w:hAnsiTheme="minorBidi"/>
                <w:b/>
                <w:bCs/>
                <w:color w:val="FFFFFF" w:themeColor="background1"/>
                <w:sz w:val="20"/>
                <w:szCs w:val="20"/>
                <w:lang w:val="es"/>
              </w:rPr>
              <w:t xml:space="preserve">Partes interesadas </w:t>
            </w:r>
          </w:p>
        </w:tc>
        <w:tc>
          <w:tcPr>
            <w:tcW w:w="3798" w:type="pct"/>
            <w:shd w:val="clear" w:color="auto" w:fill="2F59F1"/>
            <w:vAlign w:val="center"/>
            <w:hideMark/>
          </w:tcPr>
          <w:p w14:paraId="7CD1B80C" w14:textId="77777777" w:rsidR="00F45EE6" w:rsidRPr="0040630D" w:rsidRDefault="00F45EE6" w:rsidP="0040630D">
            <w:pPr>
              <w:spacing w:line="276" w:lineRule="auto"/>
              <w:jc w:val="center"/>
              <w:rPr>
                <w:rFonts w:asciiTheme="minorBidi" w:eastAsia="Times New Roman" w:hAnsiTheme="minorBidi"/>
                <w:b/>
                <w:bCs/>
                <w:color w:val="FFFFFF" w:themeColor="background1"/>
                <w:sz w:val="20"/>
                <w:szCs w:val="20"/>
              </w:rPr>
            </w:pPr>
            <w:r w:rsidRPr="0040630D">
              <w:rPr>
                <w:rFonts w:asciiTheme="minorBidi" w:eastAsia="Times New Roman" w:hAnsiTheme="minorBidi"/>
                <w:b/>
                <w:bCs/>
                <w:color w:val="FFFFFF" w:themeColor="background1"/>
                <w:sz w:val="20"/>
                <w:szCs w:val="20"/>
                <w:lang w:val="es"/>
              </w:rPr>
              <w:t>Descripción</w:t>
            </w:r>
          </w:p>
        </w:tc>
      </w:tr>
      <w:tr w:rsidR="00F45EE6" w:rsidRPr="0040630D" w14:paraId="0F6B81D8" w14:textId="77777777" w:rsidTr="000418F9">
        <w:trPr>
          <w:trHeight w:val="144"/>
          <w:jc w:val="center"/>
        </w:trPr>
        <w:tc>
          <w:tcPr>
            <w:tcW w:w="1202" w:type="pct"/>
            <w:shd w:val="clear" w:color="auto" w:fill="auto"/>
            <w:vAlign w:val="center"/>
            <w:hideMark/>
          </w:tcPr>
          <w:p w14:paraId="410985F0"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Municipio de As-Salt</w:t>
            </w:r>
          </w:p>
        </w:tc>
        <w:tc>
          <w:tcPr>
            <w:tcW w:w="3798" w:type="pct"/>
            <w:shd w:val="clear" w:color="auto" w:fill="auto"/>
            <w:vAlign w:val="center"/>
            <w:hideMark/>
          </w:tcPr>
          <w:p w14:paraId="25642EFE"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 xml:space="preserve">Es la autoridad de gobierno del municipio de As-Salt. Dirigió la elaboración del Plan de Gestión de la Conservación y también ha adelantado esfuerzos de salvaguardia como la realización de inventarios; el establecimiento de normativas sobre patrimonio; la introducción de procesos para la obtención de permisos (por ejemplo, demolición, alteraciones, etc.); la eliminación de la contaminación visual del núcleo urbano histórico; y otros. </w:t>
            </w:r>
          </w:p>
        </w:tc>
      </w:tr>
      <w:tr w:rsidR="00F45EE6" w:rsidRPr="0040630D" w14:paraId="57D6723F" w14:textId="77777777" w:rsidTr="000418F9">
        <w:trPr>
          <w:trHeight w:val="144"/>
          <w:jc w:val="center"/>
        </w:trPr>
        <w:tc>
          <w:tcPr>
            <w:tcW w:w="1202" w:type="pct"/>
            <w:shd w:val="clear" w:color="auto" w:fill="auto"/>
            <w:vAlign w:val="center"/>
          </w:tcPr>
          <w:p w14:paraId="2A60FE75"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Unidad de proyectos de desarrollo del municipio de As-Salt</w:t>
            </w:r>
          </w:p>
        </w:tc>
        <w:tc>
          <w:tcPr>
            <w:tcW w:w="3798" w:type="pct"/>
            <w:shd w:val="clear" w:color="auto" w:fill="auto"/>
            <w:vAlign w:val="center"/>
          </w:tcPr>
          <w:p w14:paraId="660E90D0"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 xml:space="preserve">Se creó en 2005 dentro del municipio de As-Salt para coordinar los esfuerzos de salvaguarda, conservación y gestión del centro histórico. Se ha incorporado una sección de patrimonio dentro de la unidad para planificar, diseñar y aplicar políticas, planes y proyectos sobre patrimonio cultural.  </w:t>
            </w:r>
          </w:p>
        </w:tc>
      </w:tr>
      <w:tr w:rsidR="00F45EE6" w:rsidRPr="0040630D" w14:paraId="2DBEFCAE" w14:textId="77777777" w:rsidTr="000418F9">
        <w:trPr>
          <w:trHeight w:val="144"/>
          <w:jc w:val="center"/>
        </w:trPr>
        <w:tc>
          <w:tcPr>
            <w:tcW w:w="1202" w:type="pct"/>
            <w:shd w:val="clear" w:color="auto" w:fill="auto"/>
            <w:vAlign w:val="center"/>
          </w:tcPr>
          <w:p w14:paraId="58E9D04C"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 xml:space="preserve">Exdirector del Departamento de Antigüedades </w:t>
            </w:r>
          </w:p>
        </w:tc>
        <w:tc>
          <w:tcPr>
            <w:tcW w:w="3798" w:type="pct"/>
            <w:shd w:val="clear" w:color="auto" w:fill="auto"/>
            <w:vAlign w:val="center"/>
          </w:tcPr>
          <w:p w14:paraId="1CE8E5A7"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El Departamento de Antigüedades se creó en 1923 para "proteger las antigüedades del país y recoger las que estaban dispersas por todo el país y las que estaban en manos de civiles".</w:t>
            </w:r>
          </w:p>
        </w:tc>
      </w:tr>
      <w:tr w:rsidR="00F45EE6" w:rsidRPr="0040630D" w14:paraId="71DD0AC4" w14:textId="77777777" w:rsidTr="000418F9">
        <w:trPr>
          <w:trHeight w:val="144"/>
          <w:jc w:val="center"/>
        </w:trPr>
        <w:tc>
          <w:tcPr>
            <w:tcW w:w="1202" w:type="pct"/>
            <w:shd w:val="clear" w:color="auto" w:fill="auto"/>
            <w:vAlign w:val="center"/>
          </w:tcPr>
          <w:p w14:paraId="12F05DDB"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TURATH: Consultores de arquitectura y diseño urbano</w:t>
            </w:r>
          </w:p>
        </w:tc>
        <w:tc>
          <w:tcPr>
            <w:tcW w:w="3798" w:type="pct"/>
            <w:shd w:val="clear" w:color="auto" w:fill="auto"/>
            <w:vAlign w:val="center"/>
          </w:tcPr>
          <w:p w14:paraId="2A4D4857"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 xml:space="preserve">Fundación privada de arquitectura, diseño urbano e investigación especializada en arquitectura y regeneración urbana. Ofreció apoyo técnico y conocimientos especializados para la elaboración del plan. </w:t>
            </w:r>
          </w:p>
        </w:tc>
      </w:tr>
    </w:tbl>
    <w:p w14:paraId="4D3E5C95" w14:textId="77777777" w:rsidR="00F45EE6" w:rsidRPr="0040630D" w:rsidRDefault="00F45EE6" w:rsidP="0040630D">
      <w:pPr>
        <w:spacing w:line="276" w:lineRule="auto"/>
        <w:jc w:val="both"/>
        <w:rPr>
          <w:rFonts w:asciiTheme="minorBidi" w:hAnsiTheme="minorBidi"/>
          <w:sz w:val="20"/>
          <w:szCs w:val="20"/>
        </w:rPr>
      </w:pPr>
    </w:p>
    <w:p w14:paraId="47F30740" w14:textId="6E7D0539"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t>Además, y como se menciona en el plan, este instrumento no solo pretende ayudar a orientar a los responsables políticos y a los planificadores implicados en el núcleo histórico, sino también a comprometerse con una amplia variedad de partes interesadas para garantizar un futuro sostenible a largo plazo. A este respecto, el plan identificó a las siguientes partes interesadas como agentes clave adicionales para su aplicación.</w:t>
      </w:r>
    </w:p>
    <w:p w14:paraId="5169FA71" w14:textId="77777777" w:rsidR="00F45EE6" w:rsidRPr="0040630D" w:rsidRDefault="00F45EE6" w:rsidP="0040630D">
      <w:pPr>
        <w:spacing w:line="276" w:lineRule="auto"/>
        <w:rPr>
          <w:rFonts w:asciiTheme="minorBidi" w:hAnsiTheme="minorBidi"/>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156"/>
        <w:gridCol w:w="6672"/>
      </w:tblGrid>
      <w:tr w:rsidR="00F45EE6" w:rsidRPr="0040630D" w14:paraId="4C973B97" w14:textId="77777777" w:rsidTr="0040630D">
        <w:trPr>
          <w:trHeight w:val="340"/>
          <w:jc w:val="center"/>
        </w:trPr>
        <w:tc>
          <w:tcPr>
            <w:tcW w:w="1221" w:type="pct"/>
            <w:shd w:val="clear" w:color="auto" w:fill="2F59F1"/>
            <w:vAlign w:val="center"/>
            <w:hideMark/>
          </w:tcPr>
          <w:p w14:paraId="69B992DF" w14:textId="77777777" w:rsidR="00F45EE6" w:rsidRPr="0040630D" w:rsidRDefault="00F45EE6" w:rsidP="0040630D">
            <w:pPr>
              <w:spacing w:line="276" w:lineRule="auto"/>
              <w:jc w:val="center"/>
              <w:rPr>
                <w:rFonts w:asciiTheme="minorBidi" w:eastAsia="Times New Roman" w:hAnsiTheme="minorBidi"/>
                <w:b/>
                <w:bCs/>
                <w:color w:val="FFFFFF" w:themeColor="background1"/>
                <w:sz w:val="20"/>
                <w:szCs w:val="20"/>
              </w:rPr>
            </w:pPr>
            <w:r w:rsidRPr="0040630D">
              <w:rPr>
                <w:rFonts w:asciiTheme="minorBidi" w:eastAsia="Times New Roman" w:hAnsiTheme="minorBidi"/>
                <w:b/>
                <w:bCs/>
                <w:color w:val="FFFFFF" w:themeColor="background1"/>
                <w:sz w:val="20"/>
                <w:szCs w:val="20"/>
                <w:lang w:val="es"/>
              </w:rPr>
              <w:t xml:space="preserve">Partes interesadas </w:t>
            </w:r>
          </w:p>
        </w:tc>
        <w:tc>
          <w:tcPr>
            <w:tcW w:w="3779" w:type="pct"/>
            <w:shd w:val="clear" w:color="auto" w:fill="2F59F1"/>
            <w:vAlign w:val="center"/>
            <w:hideMark/>
          </w:tcPr>
          <w:p w14:paraId="0F445C57" w14:textId="77777777" w:rsidR="00F45EE6" w:rsidRPr="0040630D" w:rsidRDefault="00F45EE6" w:rsidP="0040630D">
            <w:pPr>
              <w:spacing w:line="276" w:lineRule="auto"/>
              <w:jc w:val="center"/>
              <w:rPr>
                <w:rFonts w:asciiTheme="minorBidi" w:eastAsia="Times New Roman" w:hAnsiTheme="minorBidi"/>
                <w:b/>
                <w:bCs/>
                <w:color w:val="FFFFFF" w:themeColor="background1"/>
                <w:sz w:val="20"/>
                <w:szCs w:val="20"/>
              </w:rPr>
            </w:pPr>
            <w:r w:rsidRPr="0040630D">
              <w:rPr>
                <w:rFonts w:asciiTheme="minorBidi" w:eastAsia="Times New Roman" w:hAnsiTheme="minorBidi"/>
                <w:b/>
                <w:bCs/>
                <w:color w:val="FFFFFF" w:themeColor="background1"/>
                <w:sz w:val="20"/>
                <w:szCs w:val="20"/>
                <w:lang w:val="es"/>
              </w:rPr>
              <w:t>Descripción</w:t>
            </w:r>
          </w:p>
        </w:tc>
      </w:tr>
      <w:tr w:rsidR="00F45EE6" w:rsidRPr="0040630D" w14:paraId="7429D317" w14:textId="77777777" w:rsidTr="0040630D">
        <w:trPr>
          <w:trHeight w:val="144"/>
          <w:jc w:val="center"/>
        </w:trPr>
        <w:tc>
          <w:tcPr>
            <w:tcW w:w="1221" w:type="pct"/>
            <w:shd w:val="clear" w:color="auto" w:fill="auto"/>
            <w:vAlign w:val="center"/>
          </w:tcPr>
          <w:p w14:paraId="60D5DC5B"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Corporación de Desarrollo de As-Salt</w:t>
            </w:r>
          </w:p>
        </w:tc>
        <w:tc>
          <w:tcPr>
            <w:tcW w:w="3779" w:type="pct"/>
            <w:shd w:val="clear" w:color="auto" w:fill="auto"/>
            <w:vAlign w:val="center"/>
          </w:tcPr>
          <w:p w14:paraId="07737A5C"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 xml:space="preserve">Es una organización no gubernamental sin ánimo de lucro que se centra en las infraestructuras turísticas de la ciudad de As-Salt. </w:t>
            </w:r>
          </w:p>
        </w:tc>
      </w:tr>
      <w:tr w:rsidR="00F45EE6" w:rsidRPr="0040630D" w14:paraId="4CE58172" w14:textId="77777777" w:rsidTr="0040630D">
        <w:trPr>
          <w:trHeight w:val="144"/>
          <w:jc w:val="center"/>
        </w:trPr>
        <w:tc>
          <w:tcPr>
            <w:tcW w:w="1221" w:type="pct"/>
            <w:shd w:val="clear" w:color="auto" w:fill="auto"/>
            <w:vAlign w:val="center"/>
            <w:hideMark/>
          </w:tcPr>
          <w:p w14:paraId="039417FD"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Organizaciones religiosas</w:t>
            </w:r>
          </w:p>
        </w:tc>
        <w:tc>
          <w:tcPr>
            <w:tcW w:w="3779" w:type="pct"/>
            <w:shd w:val="clear" w:color="auto" w:fill="auto"/>
            <w:vAlign w:val="center"/>
            <w:hideMark/>
          </w:tcPr>
          <w:p w14:paraId="6368F756"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Estas organizaciones del núcleo histórico son muy significativas debido a la presencia de mezquitas e iglesias históricas y contemporáneas. Las principales dotaciones religiosas de la zona son musulmanas y cristianas, y se clasifican en: Waqf musulmán, Waqf cristiano y Waqf familiar comunitario.</w:t>
            </w:r>
          </w:p>
        </w:tc>
      </w:tr>
      <w:tr w:rsidR="00F45EE6" w:rsidRPr="0040630D" w14:paraId="2E0B255C" w14:textId="77777777" w:rsidTr="0040630D">
        <w:trPr>
          <w:trHeight w:val="144"/>
          <w:jc w:val="center"/>
        </w:trPr>
        <w:tc>
          <w:tcPr>
            <w:tcW w:w="1221" w:type="pct"/>
            <w:shd w:val="clear" w:color="auto" w:fill="auto"/>
            <w:vAlign w:val="center"/>
          </w:tcPr>
          <w:p w14:paraId="1BA3DF23"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Propietarios del centro histórico</w:t>
            </w:r>
          </w:p>
        </w:tc>
        <w:tc>
          <w:tcPr>
            <w:tcW w:w="3779" w:type="pct"/>
            <w:shd w:val="clear" w:color="auto" w:fill="auto"/>
            <w:vAlign w:val="center"/>
          </w:tcPr>
          <w:p w14:paraId="78B40AB1"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 xml:space="preserve">Estas partes interesadas son propietarias de terrenos en el centro histórico y, por tanto, su participación es necesaria para cumplir los objetivos del plan. Entre ellos figuran ministerios nacionales; organizaciones sin ánimo de lucro u ONG, incluidas organizaciones benéficas; sindicatos </w:t>
            </w:r>
            <w:r w:rsidRPr="0040630D">
              <w:rPr>
                <w:rFonts w:asciiTheme="minorBidi" w:eastAsia="Times New Roman" w:hAnsiTheme="minorBidi"/>
                <w:color w:val="000000"/>
                <w:sz w:val="20"/>
                <w:szCs w:val="20"/>
                <w:lang w:val="es"/>
              </w:rPr>
              <w:lastRenderedPageBreak/>
              <w:t>profesionales (por ejemplo, la Asociación Jordana de Ingeniería); y propietarios particulares.</w:t>
            </w:r>
          </w:p>
        </w:tc>
      </w:tr>
      <w:tr w:rsidR="00F45EE6" w:rsidRPr="0040630D" w14:paraId="461E0F7E" w14:textId="77777777" w:rsidTr="0040630D">
        <w:trPr>
          <w:trHeight w:val="144"/>
          <w:jc w:val="center"/>
        </w:trPr>
        <w:tc>
          <w:tcPr>
            <w:tcW w:w="1221" w:type="pct"/>
            <w:shd w:val="clear" w:color="auto" w:fill="auto"/>
            <w:vAlign w:val="center"/>
            <w:hideMark/>
          </w:tcPr>
          <w:p w14:paraId="7CA4F40A" w14:textId="77777777" w:rsidR="00F45EE6" w:rsidRPr="0040630D" w:rsidRDefault="00F45EE6" w:rsidP="0040630D">
            <w:pPr>
              <w:spacing w:line="276" w:lineRule="auto"/>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lastRenderedPageBreak/>
              <w:t>Sector privado</w:t>
            </w:r>
          </w:p>
        </w:tc>
        <w:tc>
          <w:tcPr>
            <w:tcW w:w="3779" w:type="pct"/>
            <w:shd w:val="clear" w:color="auto" w:fill="auto"/>
            <w:vAlign w:val="center"/>
            <w:hideMark/>
          </w:tcPr>
          <w:p w14:paraId="5F33179F" w14:textId="77777777" w:rsidR="00F45EE6" w:rsidRPr="0040630D" w:rsidRDefault="00F45EE6" w:rsidP="0040630D">
            <w:pPr>
              <w:spacing w:line="276" w:lineRule="auto"/>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El sector privado participa activamente en la rehabilitación de edificios y en proyectos de reutilización adaptativa, como la adaptación de una casa histórica de la zona de Al Jad'a en restaurante y bed and breakfast, y la reutilización adaptativa de Al Bashir House en cafetería.</w:t>
            </w:r>
          </w:p>
        </w:tc>
      </w:tr>
    </w:tbl>
    <w:p w14:paraId="0A4541B9" w14:textId="77777777" w:rsidR="00F45EE6" w:rsidRPr="0040630D" w:rsidRDefault="00F45EE6" w:rsidP="006375F5">
      <w:pPr>
        <w:pStyle w:val="Heading1"/>
        <w:numPr>
          <w:ilvl w:val="2"/>
          <w:numId w:val="6"/>
        </w:numPr>
        <w:spacing w:line="276" w:lineRule="auto"/>
        <w:ind w:left="2160" w:hanging="360"/>
        <w:rPr>
          <w:rFonts w:asciiTheme="minorBidi" w:hAnsiTheme="minorBidi" w:cstheme="minorBidi"/>
          <w:color w:val="2F59F1"/>
          <w:sz w:val="20"/>
          <w:szCs w:val="20"/>
        </w:rPr>
      </w:pPr>
      <w:r w:rsidRPr="0040630D">
        <w:rPr>
          <w:rFonts w:asciiTheme="minorBidi" w:hAnsiTheme="minorBidi" w:cstheme="minorBidi"/>
          <w:color w:val="2F59F1"/>
          <w:sz w:val="20"/>
          <w:szCs w:val="20"/>
          <w:lang w:val="es"/>
        </w:rPr>
        <w:t>Participación pública y consulta</w:t>
      </w:r>
    </w:p>
    <w:p w14:paraId="1DF70DBB" w14:textId="77777777" w:rsidR="00F45EE6" w:rsidRPr="0040630D" w:rsidRDefault="00F45EE6" w:rsidP="0040630D">
      <w:pPr>
        <w:spacing w:line="276" w:lineRule="auto"/>
        <w:rPr>
          <w:rFonts w:asciiTheme="minorBidi" w:hAnsiTheme="minorBidi"/>
          <w:sz w:val="20"/>
          <w:szCs w:val="20"/>
        </w:rPr>
      </w:pPr>
    </w:p>
    <w:p w14:paraId="29D68944"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t>Según el plan, las políticas y estrategias del mismo surgieron de una "visión colectiva que implicó consultas y debates entre diversas partes interesadas, entre ellas el municipio de As-Salt y su Unidad de Proyectos de Desarrollo de la ciudad; la Corporación de Desarrollo de As-Salt; representantes y miembros de las comunidades musulmana y cristiana de la ciudad; y un grupo de expertos que llevaban décadas trabajando en la identificación, protección y conservación del patrimonio cultural de la ciudad".</w:t>
      </w:r>
    </w:p>
    <w:p w14:paraId="265CB060" w14:textId="77777777" w:rsidR="00F45EE6" w:rsidRPr="0040630D" w:rsidRDefault="00F45EE6" w:rsidP="006375F5">
      <w:pPr>
        <w:pStyle w:val="Heading1"/>
        <w:numPr>
          <w:ilvl w:val="2"/>
          <w:numId w:val="6"/>
        </w:numPr>
        <w:spacing w:line="276" w:lineRule="auto"/>
        <w:ind w:left="2160" w:hanging="360"/>
        <w:rPr>
          <w:rFonts w:asciiTheme="minorBidi" w:hAnsiTheme="minorBidi" w:cstheme="minorBidi"/>
          <w:color w:val="2F59F1"/>
          <w:sz w:val="20"/>
          <w:szCs w:val="20"/>
        </w:rPr>
      </w:pPr>
      <w:r w:rsidRPr="0040630D">
        <w:rPr>
          <w:rFonts w:asciiTheme="minorBidi" w:hAnsiTheme="minorBidi" w:cstheme="minorBidi"/>
          <w:color w:val="2F59F1"/>
          <w:sz w:val="20"/>
          <w:szCs w:val="20"/>
          <w:lang w:val="es"/>
        </w:rPr>
        <w:t>Estrategias y propuestas para la incorporación del PCI en la planificación</w:t>
      </w:r>
    </w:p>
    <w:p w14:paraId="4CE70EF8" w14:textId="77777777" w:rsidR="00F45EE6" w:rsidRPr="0040630D" w:rsidRDefault="00F45EE6" w:rsidP="0040630D">
      <w:pPr>
        <w:spacing w:line="276" w:lineRule="auto"/>
        <w:rPr>
          <w:rFonts w:asciiTheme="minorBidi" w:hAnsiTheme="minorBidi"/>
          <w:sz w:val="20"/>
          <w:szCs w:val="20"/>
        </w:rPr>
      </w:pPr>
    </w:p>
    <w:p w14:paraId="57360D7E"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t>Como ya se ha mencionado, el Plan de Gestión de la Conservación comprende 6 objetivos de alto nivel, así como 10 políticas y 29 estrategias de conservación y gestión, que se esperan aplicar en un plazo de 5 años. Las estrategias pretenden traducir las políticas en acciones para la salvaguardia del patrimonio cultural en el centro urbano histórico, y muchas están relacionadas con las estructuras urbanas (es decir, ecológicas, funcionales, socioeconómicas y de patrimonio histórico y construido) definidas en la metodología propuesta para la incorporación del PCI en la planificación urbana. A continuación se resumen las estrategias más relacionadas con estas últimas, organizadas por cada una de dichas estructuras urbanas.</w:t>
      </w:r>
    </w:p>
    <w:p w14:paraId="4FB08CF7" w14:textId="77777777" w:rsidR="00F45EE6" w:rsidRPr="0040630D" w:rsidRDefault="00F45EE6" w:rsidP="0040630D">
      <w:pPr>
        <w:spacing w:line="276" w:lineRule="auto"/>
        <w:jc w:val="both"/>
        <w:rPr>
          <w:rFonts w:asciiTheme="minorBidi" w:hAnsiTheme="minorBidi"/>
          <w:sz w:val="20"/>
          <w:szCs w:val="20"/>
        </w:rPr>
      </w:pPr>
    </w:p>
    <w:p w14:paraId="431CB2AD"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b/>
          <w:bCs/>
          <w:sz w:val="20"/>
          <w:szCs w:val="20"/>
          <w:lang w:val="es"/>
        </w:rPr>
        <w:t xml:space="preserve">Estructura ecológica: </w:t>
      </w:r>
      <w:r w:rsidRPr="0040630D">
        <w:rPr>
          <w:rFonts w:asciiTheme="minorBidi" w:hAnsiTheme="minorBidi"/>
          <w:sz w:val="20"/>
          <w:szCs w:val="20"/>
          <w:lang w:val="es"/>
        </w:rPr>
        <w:t xml:space="preserve">El plan propone "desarrollar directrices y principios generales para la conservación y gestión de terrenos agrícolas, paisajes culturales (por ejemplo, molinos de agua, huertos, paisajes, otros) y cuencas y recursos hídricos" para garantizar un vínculo más sostenible entre la ciudad y su interior. Además, teniendo en cuenta que As-Salt se encuentra en el Gran Valle del Rift, una formación geofísica que presenta un alto riesgo sísmico, según el plan, los edificios patrimoniales seleccionados deben incorporar ahora principios y directrices de diseño antisísmico. </w:t>
      </w:r>
    </w:p>
    <w:p w14:paraId="3EFF739C" w14:textId="77777777" w:rsidR="00F45EE6" w:rsidRPr="0040630D" w:rsidRDefault="00F45EE6" w:rsidP="0040630D">
      <w:pPr>
        <w:spacing w:line="276" w:lineRule="auto"/>
        <w:jc w:val="both"/>
        <w:rPr>
          <w:rFonts w:asciiTheme="minorBidi" w:hAnsiTheme="minorBidi"/>
          <w:b/>
          <w:bCs/>
          <w:sz w:val="20"/>
          <w:szCs w:val="20"/>
        </w:rPr>
      </w:pPr>
    </w:p>
    <w:p w14:paraId="6902FC90" w14:textId="77777777" w:rsidR="00F45EE6" w:rsidRPr="0040630D" w:rsidRDefault="00F45EE6" w:rsidP="0040630D">
      <w:pPr>
        <w:spacing w:line="276" w:lineRule="auto"/>
        <w:jc w:val="both"/>
        <w:rPr>
          <w:rFonts w:asciiTheme="minorBidi" w:hAnsiTheme="minorBidi"/>
          <w:b/>
          <w:bCs/>
          <w:sz w:val="20"/>
          <w:szCs w:val="20"/>
        </w:rPr>
      </w:pPr>
      <w:r w:rsidRPr="0040630D">
        <w:rPr>
          <w:rFonts w:asciiTheme="minorBidi" w:hAnsiTheme="minorBidi"/>
          <w:b/>
          <w:bCs/>
          <w:sz w:val="20"/>
          <w:szCs w:val="20"/>
          <w:lang w:val="es"/>
        </w:rPr>
        <w:t xml:space="preserve">Estructura funcional: </w:t>
      </w:r>
      <w:r w:rsidRPr="0040630D">
        <w:rPr>
          <w:rFonts w:asciiTheme="minorBidi" w:hAnsiTheme="minorBidi"/>
          <w:sz w:val="20"/>
          <w:szCs w:val="20"/>
          <w:lang w:val="es"/>
        </w:rPr>
        <w:t xml:space="preserve">El plan incluye varias estrategias en torno a ámbitos como el transporte, los espacios públicos, los servicios públicos y las instalaciones urbanas relacionados con la salvaguardia del patrimonio cultural: </w:t>
      </w:r>
    </w:p>
    <w:p w14:paraId="32A018CC" w14:textId="77777777" w:rsidR="00F45EE6" w:rsidRPr="0040630D" w:rsidRDefault="00F45EE6" w:rsidP="0040630D">
      <w:pPr>
        <w:spacing w:line="276" w:lineRule="auto"/>
        <w:jc w:val="both"/>
        <w:rPr>
          <w:rFonts w:asciiTheme="minorBidi" w:hAnsiTheme="minorBidi"/>
          <w:b/>
          <w:bCs/>
          <w:sz w:val="20"/>
          <w:szCs w:val="20"/>
        </w:rPr>
      </w:pPr>
    </w:p>
    <w:p w14:paraId="42E426F2" w14:textId="77777777" w:rsidR="00F45EE6" w:rsidRPr="0040630D" w:rsidRDefault="00F45EE6" w:rsidP="006375F5">
      <w:pPr>
        <w:pStyle w:val="ListParagraph"/>
        <w:numPr>
          <w:ilvl w:val="0"/>
          <w:numId w:val="10"/>
        </w:numPr>
        <w:spacing w:line="276" w:lineRule="auto"/>
        <w:jc w:val="both"/>
        <w:rPr>
          <w:rFonts w:asciiTheme="minorBidi" w:hAnsiTheme="minorBidi"/>
          <w:sz w:val="20"/>
          <w:szCs w:val="20"/>
          <w:u w:val="single"/>
        </w:rPr>
      </w:pPr>
      <w:r w:rsidRPr="0040630D">
        <w:rPr>
          <w:rFonts w:asciiTheme="minorBidi" w:hAnsiTheme="minorBidi"/>
          <w:sz w:val="20"/>
          <w:szCs w:val="20"/>
          <w:u w:val="single"/>
          <w:lang w:val="es"/>
        </w:rPr>
        <w:t>Transporte y movilidad:</w:t>
      </w:r>
      <w:r w:rsidRPr="0040630D">
        <w:rPr>
          <w:rFonts w:asciiTheme="minorBidi" w:hAnsiTheme="minorBidi"/>
          <w:sz w:val="20"/>
          <w:szCs w:val="20"/>
          <w:lang w:val="es"/>
        </w:rPr>
        <w:t xml:space="preserve"> Los proyectos incluyen la rehabilitación de escalinatas, calles y aceras históricas y otros relacionados con el alumbrado público en el centro histórico, así como la rehabilitación de zonas para que sirvan de aparcamiento en superficie o subterráneo para descongestionar el tráfico en la zona. Otros proyectos, aunque a escala de toda la ciudad, incluyen el Proyecto de terminal de autobuses, que pretende mejorar la actual conectividad en autobús de toda la ciudad, incluido el centro histórico.</w:t>
      </w:r>
    </w:p>
    <w:p w14:paraId="45B6EDC7" w14:textId="37DA8E65" w:rsidR="00F45EE6" w:rsidRPr="0040630D" w:rsidRDefault="00F45EE6" w:rsidP="0040630D">
      <w:pPr>
        <w:spacing w:line="276" w:lineRule="auto"/>
        <w:jc w:val="both"/>
        <w:rPr>
          <w:rFonts w:asciiTheme="minorBidi" w:hAnsiTheme="minorBidi"/>
          <w:sz w:val="20"/>
          <w:szCs w:val="20"/>
          <w:u w:val="single"/>
        </w:rPr>
      </w:pPr>
    </w:p>
    <w:p w14:paraId="15CCB94C" w14:textId="1E0BE78C" w:rsidR="00F45EE6" w:rsidRPr="0040630D" w:rsidRDefault="00F45EE6" w:rsidP="006375F5">
      <w:pPr>
        <w:pStyle w:val="ListParagraph"/>
        <w:numPr>
          <w:ilvl w:val="0"/>
          <w:numId w:val="9"/>
        </w:numPr>
        <w:spacing w:line="276" w:lineRule="auto"/>
        <w:jc w:val="both"/>
        <w:rPr>
          <w:rFonts w:asciiTheme="minorBidi" w:hAnsiTheme="minorBidi"/>
          <w:sz w:val="20"/>
          <w:szCs w:val="20"/>
        </w:rPr>
      </w:pPr>
      <w:r w:rsidRPr="0040630D">
        <w:rPr>
          <w:rFonts w:asciiTheme="minorBidi" w:hAnsiTheme="minorBidi"/>
          <w:sz w:val="20"/>
          <w:szCs w:val="20"/>
          <w:u w:val="single"/>
          <w:lang w:val="es"/>
        </w:rPr>
        <w:lastRenderedPageBreak/>
        <w:t>Espacios públicos:</w:t>
      </w:r>
      <w:r w:rsidRPr="0040630D">
        <w:rPr>
          <w:rFonts w:asciiTheme="minorBidi" w:hAnsiTheme="minorBidi"/>
          <w:sz w:val="20"/>
          <w:szCs w:val="20"/>
          <w:lang w:val="es"/>
        </w:rPr>
        <w:t xml:space="preserve"> El ayuntamiento ha dirigido proyectos de espacio público dentro del centro histórico centrados en la mejora de escaleras públicas, plazas, calles y fachadas (por ejemplo, en la calle Hammam). Éstos contribuyen a la viabilidad del patrimonio vivo en espacios como la plaza principal, donde los ancianos siguen jugando a juegos de mesa tradicionales. En consecuencia, el plan también propone elaborar "directrices y principios para el diseño de espacios urbanos abiertos dentro de la zona de propiedad designada", y poner en marcha programas de capacitación "en áreas de diseño de espacios públicos e infraestructuras" para preparar al personal municipal "para hacer frente a diversas condiciones y escenarios de desarrollo y cambio dentro del centro histórico". </w:t>
      </w:r>
    </w:p>
    <w:p w14:paraId="69ED4F74" w14:textId="77777777" w:rsidR="00F45EE6" w:rsidRPr="0040630D" w:rsidRDefault="00F45EE6" w:rsidP="0040630D">
      <w:pPr>
        <w:spacing w:line="276" w:lineRule="auto"/>
        <w:jc w:val="both"/>
        <w:rPr>
          <w:rFonts w:asciiTheme="minorBidi" w:hAnsiTheme="minorBidi"/>
          <w:sz w:val="20"/>
          <w:szCs w:val="20"/>
        </w:rPr>
      </w:pPr>
    </w:p>
    <w:p w14:paraId="500E13D8" w14:textId="77777777" w:rsidR="00F45EE6" w:rsidRPr="0040630D" w:rsidRDefault="00F45EE6" w:rsidP="006375F5">
      <w:pPr>
        <w:pStyle w:val="ListParagraph"/>
        <w:numPr>
          <w:ilvl w:val="0"/>
          <w:numId w:val="10"/>
        </w:numPr>
        <w:spacing w:line="276" w:lineRule="auto"/>
        <w:jc w:val="both"/>
        <w:rPr>
          <w:rFonts w:asciiTheme="minorBidi" w:hAnsiTheme="minorBidi"/>
          <w:b/>
          <w:bCs/>
          <w:sz w:val="20"/>
          <w:szCs w:val="20"/>
        </w:rPr>
      </w:pPr>
      <w:r w:rsidRPr="0040630D">
        <w:rPr>
          <w:rFonts w:asciiTheme="minorBidi" w:hAnsiTheme="minorBidi"/>
          <w:sz w:val="20"/>
          <w:szCs w:val="20"/>
          <w:u w:val="single"/>
          <w:lang w:val="es"/>
        </w:rPr>
        <w:t xml:space="preserve">Servicios públicos: </w:t>
      </w:r>
      <w:r w:rsidRPr="0040630D">
        <w:rPr>
          <w:rFonts w:asciiTheme="minorBidi" w:hAnsiTheme="minorBidi"/>
          <w:sz w:val="20"/>
          <w:szCs w:val="20"/>
          <w:lang w:val="es"/>
        </w:rPr>
        <w:t xml:space="preserve">El plan recomienda "proponer un Memorando de Acuerdo que facilite un mecanismo de coordinación entre el municipio de As-Salt y otros proveedores de infraestructuras de la ciudad en relación con las prioridades, la naturaleza y el carácter del centro histórico". Estos acuerdos ayudarán a garantizar que el suministro de infraestructuras de agua, saneamiento y electricidad esté en consonancia con los objetivos de conservación. </w:t>
      </w:r>
    </w:p>
    <w:p w14:paraId="471C253A" w14:textId="77777777" w:rsidR="00F45EE6" w:rsidRPr="0040630D" w:rsidRDefault="00F45EE6" w:rsidP="0040630D">
      <w:pPr>
        <w:spacing w:line="276" w:lineRule="auto"/>
        <w:ind w:left="360"/>
        <w:jc w:val="both"/>
        <w:rPr>
          <w:rFonts w:asciiTheme="minorBidi" w:hAnsiTheme="minorBidi"/>
          <w:b/>
          <w:bCs/>
          <w:sz w:val="20"/>
          <w:szCs w:val="20"/>
        </w:rPr>
      </w:pPr>
    </w:p>
    <w:p w14:paraId="1DCD0128" w14:textId="77777777" w:rsidR="00F45EE6" w:rsidRPr="0040630D" w:rsidRDefault="00F45EE6" w:rsidP="006375F5">
      <w:pPr>
        <w:pStyle w:val="ListParagraph"/>
        <w:numPr>
          <w:ilvl w:val="0"/>
          <w:numId w:val="10"/>
        </w:numPr>
        <w:spacing w:line="276" w:lineRule="auto"/>
        <w:jc w:val="both"/>
        <w:rPr>
          <w:rFonts w:asciiTheme="minorBidi" w:hAnsiTheme="minorBidi"/>
          <w:b/>
          <w:bCs/>
          <w:sz w:val="20"/>
          <w:szCs w:val="20"/>
        </w:rPr>
      </w:pPr>
      <w:r w:rsidRPr="0040630D">
        <w:rPr>
          <w:rFonts w:asciiTheme="minorBidi" w:hAnsiTheme="minorBidi"/>
          <w:sz w:val="20"/>
          <w:szCs w:val="20"/>
          <w:u w:val="single"/>
          <w:lang w:val="es"/>
        </w:rPr>
        <w:t>Instalaciones urbanas:</w:t>
      </w:r>
      <w:r w:rsidRPr="0040630D">
        <w:rPr>
          <w:rFonts w:asciiTheme="minorBidi" w:hAnsiTheme="minorBidi"/>
          <w:sz w:val="20"/>
          <w:szCs w:val="20"/>
          <w:lang w:val="es"/>
        </w:rPr>
        <w:t xml:space="preserve"> En As-Salt, muchas familias tienen un "Diwan", un lugar de reunión donde se recibe a los invitados durante los actos públicos y familiares (por ejemplo, bodas). Estos espacios garantizan la continuidad de la tradición de "hospitalidad urbana" de la ciudad, por lo que el plan establece medidas para protegerlos. Asimismo, el proyecto "Ecomuseo", que entiende toda la ciudad como un museo al aire libre, permitirá a los visitantes explorar el centro histórico a través de rutas patrimoniales "para disfrutar de la vida urbana en As-Salt, interactuar con los lugareños y con las tradiciones vivas y la coexistencia pacífica de las dos religiones, al tiempo que se comparte una experiencia única centrada en el patrimonio cultural material e inmaterial". Por último, según el plan, la Corporación de Desarrollo de As-Salt y el municipio de As-Salt colaborarán con donantes internacionales para promover el turismo patrimonial incentivando la inversión local "para proteger y desarrollar las casas patrimoniales y los mercados tradicionales a lo largo de las rutas patrimoniales".</w:t>
      </w:r>
    </w:p>
    <w:p w14:paraId="5CB22243" w14:textId="77777777" w:rsidR="00F45EE6" w:rsidRPr="0040630D" w:rsidRDefault="00F45EE6" w:rsidP="0040630D">
      <w:pPr>
        <w:spacing w:line="276" w:lineRule="auto"/>
        <w:jc w:val="both"/>
        <w:rPr>
          <w:rFonts w:asciiTheme="minorBidi" w:hAnsiTheme="minorBidi"/>
          <w:b/>
          <w:bCs/>
          <w:sz w:val="20"/>
          <w:szCs w:val="20"/>
        </w:rPr>
      </w:pPr>
    </w:p>
    <w:p w14:paraId="38D9502A"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b/>
          <w:bCs/>
          <w:sz w:val="20"/>
          <w:szCs w:val="20"/>
          <w:lang w:val="es"/>
        </w:rPr>
        <w:t xml:space="preserve">Estructura socioeconómica: </w:t>
      </w:r>
      <w:r w:rsidRPr="0040630D">
        <w:rPr>
          <w:rFonts w:asciiTheme="minorBidi" w:hAnsiTheme="minorBidi"/>
          <w:sz w:val="20"/>
          <w:szCs w:val="20"/>
          <w:lang w:val="es"/>
        </w:rPr>
        <w:t>El plan propone "Desarrollar y poner en marcha una estrategia de visitas y turismo en coordinación con el municipio de As-Salt y otros organismos afiliados, como el Ministerio de Turismo de Jordania", y "Desarrollar diversos itinerarios dentro de la ciudad basados en la experiencia del entorno urbano histórico de la ciudad, la arquitectura y sus atributos intangibles asociados". En este sentido, el turismo patrimonial en As-Salt se considera una forma sostenible de actividad generadora de empleo e ingresos. También se propone una campaña de sensibilización sobre los beneficios del turismo patrimonial y se animará a los estudiantes a seguir carreras en este campo.</w:t>
      </w:r>
    </w:p>
    <w:p w14:paraId="03E51D59" w14:textId="77777777" w:rsidR="00F45EE6" w:rsidRPr="0040630D" w:rsidRDefault="00F45EE6" w:rsidP="0040630D">
      <w:pPr>
        <w:spacing w:line="276" w:lineRule="auto"/>
        <w:jc w:val="both"/>
        <w:rPr>
          <w:rFonts w:asciiTheme="minorBidi" w:hAnsiTheme="minorBidi"/>
          <w:b/>
          <w:bCs/>
          <w:sz w:val="20"/>
          <w:szCs w:val="20"/>
        </w:rPr>
      </w:pPr>
    </w:p>
    <w:p w14:paraId="07A39AC1" w14:textId="49BE9F54"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b/>
          <w:bCs/>
          <w:sz w:val="20"/>
          <w:szCs w:val="20"/>
          <w:lang w:val="es"/>
        </w:rPr>
        <w:t xml:space="preserve">Estructura del patrimonio histórico y construido: </w:t>
      </w:r>
      <w:r w:rsidRPr="0040630D">
        <w:rPr>
          <w:rFonts w:asciiTheme="minorBidi" w:hAnsiTheme="minorBidi"/>
          <w:sz w:val="20"/>
          <w:szCs w:val="20"/>
          <w:lang w:val="es"/>
        </w:rPr>
        <w:t>La arquitectura y el entorno urbano del centro histórico "reflejan la memoria colectiva de As-Salt y muestran cómo los rasgos culturales continúan en la actualidad". Así, el plan establece que el municipio de As-Salt ha promovido la reutilización adaptativa de los edificios históricos para convertirlos en instalaciones culturales, turísticas y otras, lo que puede ayudar a salvaguardar las prácticas culturales en ellos. Estos proyectos incluyen la adaptación de la "Casa Abu Jaber" en el Historic Old Salt Museum; del complejo de la iglesia anglicana en un centro de rehabilitación física; y de la "Casa Touqan" en el Museo Arqueológico de As-Salt.</w:t>
      </w:r>
    </w:p>
    <w:p w14:paraId="2A74932A" w14:textId="77777777" w:rsidR="00F45EE6" w:rsidRPr="0040630D" w:rsidRDefault="00F45EE6" w:rsidP="0040630D">
      <w:pPr>
        <w:spacing w:line="276" w:lineRule="auto"/>
        <w:jc w:val="both"/>
        <w:rPr>
          <w:rFonts w:asciiTheme="minorBidi" w:hAnsiTheme="minorBidi"/>
          <w:sz w:val="20"/>
          <w:szCs w:val="20"/>
        </w:rPr>
      </w:pPr>
    </w:p>
    <w:p w14:paraId="553E7CCF"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lastRenderedPageBreak/>
        <w:t>El plan también propone preparar "registros y listas designadas... para los edificios históricos significativos dentro del área de propiedad y más allá, y también registros y listas para las áreas y espacios urbanos significativos notables", donde se aplicarían directrices de protección y gestión "para salvaguardar los atributos físicos y no físicos". También promueve la "Preparación de directrices relacionadas con la futura conservación de los edificios y con la aplicación de diversos niveles de intervención, incluida la protección, estabilización, restauración, rehabilitación, reutilización adaptativa, nuevas adiciones... dentro de la zona de propiedad designada". Por último, el plan recomienda crear en el municipio un Comité Técnico de Revisión del Diseño del Patrimonio para "revisar y aprobar las solicitudes relativas a la conservación, demolición o adiciones y alteraciones de edificios".</w:t>
      </w:r>
    </w:p>
    <w:p w14:paraId="59470723" w14:textId="77777777" w:rsidR="00F45EE6" w:rsidRPr="0040630D" w:rsidRDefault="00F45EE6" w:rsidP="006375F5">
      <w:pPr>
        <w:pStyle w:val="Heading1"/>
        <w:numPr>
          <w:ilvl w:val="2"/>
          <w:numId w:val="6"/>
        </w:numPr>
        <w:spacing w:line="276" w:lineRule="auto"/>
        <w:ind w:left="2160" w:hanging="360"/>
        <w:rPr>
          <w:rFonts w:asciiTheme="minorBidi" w:hAnsiTheme="minorBidi" w:cstheme="minorBidi"/>
          <w:color w:val="2F59F1"/>
          <w:sz w:val="20"/>
          <w:szCs w:val="20"/>
        </w:rPr>
      </w:pPr>
      <w:r w:rsidRPr="0040630D">
        <w:rPr>
          <w:rFonts w:asciiTheme="minorBidi" w:hAnsiTheme="minorBidi" w:cstheme="minorBidi"/>
          <w:color w:val="2F59F1"/>
          <w:sz w:val="20"/>
          <w:szCs w:val="20"/>
          <w:lang w:val="es"/>
        </w:rPr>
        <w:t>Otras herramientas o mecanismos de aplicación</w:t>
      </w:r>
    </w:p>
    <w:p w14:paraId="5B0B6E2E" w14:textId="77777777" w:rsidR="00F45EE6" w:rsidRPr="0040630D" w:rsidRDefault="00F45EE6" w:rsidP="0040630D">
      <w:pPr>
        <w:spacing w:line="276" w:lineRule="auto"/>
        <w:jc w:val="both"/>
        <w:rPr>
          <w:rFonts w:asciiTheme="minorBidi" w:hAnsiTheme="minorBidi"/>
          <w:sz w:val="20"/>
          <w:szCs w:val="20"/>
        </w:rPr>
      </w:pPr>
    </w:p>
    <w:p w14:paraId="14E99FCF" w14:textId="72C06C66"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sz w:val="20"/>
          <w:szCs w:val="20"/>
          <w:lang w:val="es"/>
        </w:rPr>
        <w:t xml:space="preserve">El Plan de Gestión de la Conservación de As-Salt va acompañado de otras herramientas o mecanismos de aplicación sectoriales (por ejemplo, jurídicos) y transversales (por ejemplo, institucionales), algunos de los cuales están directamente relacionados con la incorporación del PCI en la planificación, como se describe a continuación. </w:t>
      </w:r>
    </w:p>
    <w:p w14:paraId="61A496B9" w14:textId="77777777" w:rsidR="00F45EE6" w:rsidRPr="0040630D" w:rsidRDefault="00F45EE6" w:rsidP="0040630D">
      <w:pPr>
        <w:spacing w:line="276" w:lineRule="auto"/>
        <w:jc w:val="both"/>
        <w:rPr>
          <w:rFonts w:asciiTheme="minorBidi" w:hAnsiTheme="minorBidi"/>
          <w:sz w:val="20"/>
          <w:szCs w:val="20"/>
        </w:rPr>
      </w:pPr>
    </w:p>
    <w:p w14:paraId="02371ED6"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b/>
          <w:bCs/>
          <w:sz w:val="20"/>
          <w:szCs w:val="20"/>
          <w:lang w:val="es"/>
        </w:rPr>
        <w:t>Límite de la propiedad y zona</w:t>
      </w:r>
      <w:r w:rsidRPr="0040630D">
        <w:rPr>
          <w:rFonts w:asciiTheme="minorBidi" w:hAnsiTheme="minorBidi"/>
          <w:sz w:val="20"/>
          <w:szCs w:val="20"/>
          <w:lang w:val="es"/>
        </w:rPr>
        <w:t xml:space="preserve"> </w:t>
      </w:r>
      <w:r w:rsidRPr="0040630D">
        <w:rPr>
          <w:rFonts w:asciiTheme="minorBidi" w:hAnsiTheme="minorBidi"/>
          <w:b/>
          <w:bCs/>
          <w:sz w:val="20"/>
          <w:szCs w:val="20"/>
          <w:lang w:val="es"/>
        </w:rPr>
        <w:t>de amortiguamiento</w:t>
      </w:r>
      <w:r w:rsidRPr="0040630D">
        <w:rPr>
          <w:rFonts w:asciiTheme="minorBidi" w:hAnsiTheme="minorBidi"/>
          <w:sz w:val="20"/>
          <w:szCs w:val="20"/>
          <w:lang w:val="es"/>
        </w:rPr>
        <w:t xml:space="preserve"> </w:t>
      </w:r>
      <w:r w:rsidRPr="0040630D">
        <w:rPr>
          <w:rFonts w:asciiTheme="minorBidi" w:hAnsiTheme="minorBidi"/>
          <w:i/>
          <w:iCs/>
          <w:sz w:val="20"/>
          <w:szCs w:val="20"/>
          <w:lang w:val="es"/>
        </w:rPr>
        <w:t>(sectorial)</w:t>
      </w:r>
      <w:r w:rsidRPr="0040630D">
        <w:rPr>
          <w:rFonts w:asciiTheme="minorBidi" w:hAnsiTheme="minorBidi"/>
          <w:sz w:val="20"/>
          <w:szCs w:val="20"/>
          <w:lang w:val="es"/>
        </w:rPr>
        <w:t>: Se ha demarcado un límite geográfico del centro histórico y una zona de amortiguamiento para establecer el área en la que se aplicarán normas especiales para salvaguardar el patrimonio cultural. El límite de propiedad, aplicable al centro histórico, se trazó para incorporar la mayoría de "los atributos [tangibles e intangibles] que transmiten el valor un «valor universal excepcional y que se concentran en una parte concreta del centro histórico". Los límites de la propiedad también se vieron influidos por la topografía y otras características, como las formas naturales del terreno, el trazado de las calles, los espacios públicos, las zonas comerciales y otros. En consecuencia, la zona de amortiguamiento es "una capa de protección" en torno al límite de propiedad del centro histórico. Estas zonas están sujetas a normativas especiales en materia, por ejemplo, de "protección y conservación, vistas y corredores de vistas, uso del suelo, zonificación y desarrollo futuro".</w:t>
      </w:r>
    </w:p>
    <w:p w14:paraId="5CCB613D" w14:textId="77777777" w:rsidR="00F45EE6" w:rsidRPr="0040630D" w:rsidRDefault="00F45EE6" w:rsidP="0040630D">
      <w:pPr>
        <w:spacing w:line="276" w:lineRule="auto"/>
        <w:jc w:val="both"/>
        <w:rPr>
          <w:rFonts w:asciiTheme="minorBidi" w:hAnsiTheme="minorBidi"/>
          <w:sz w:val="20"/>
          <w:szCs w:val="20"/>
        </w:rPr>
      </w:pPr>
    </w:p>
    <w:p w14:paraId="17A6B33D" w14:textId="77777777" w:rsidR="00F45EE6" w:rsidRDefault="00F45EE6" w:rsidP="0040630D">
      <w:pPr>
        <w:spacing w:line="276" w:lineRule="auto"/>
        <w:jc w:val="both"/>
        <w:rPr>
          <w:rFonts w:asciiTheme="minorBidi" w:hAnsiTheme="minorBidi"/>
          <w:sz w:val="20"/>
          <w:szCs w:val="20"/>
          <w:lang w:val="es"/>
        </w:rPr>
      </w:pPr>
      <w:r w:rsidRPr="0040630D">
        <w:rPr>
          <w:rFonts w:asciiTheme="minorBidi" w:hAnsiTheme="minorBidi"/>
          <w:b/>
          <w:bCs/>
          <w:sz w:val="20"/>
          <w:szCs w:val="20"/>
          <w:lang w:val="es"/>
        </w:rPr>
        <w:t xml:space="preserve">Normativa especial del centro urbano (CCSR) </w:t>
      </w:r>
      <w:r w:rsidRPr="0040630D">
        <w:rPr>
          <w:rFonts w:asciiTheme="minorBidi" w:hAnsiTheme="minorBidi"/>
          <w:i/>
          <w:iCs/>
          <w:sz w:val="20"/>
          <w:szCs w:val="20"/>
          <w:lang w:val="es"/>
        </w:rPr>
        <w:t>(sectorial):</w:t>
      </w:r>
      <w:r w:rsidRPr="0040630D">
        <w:rPr>
          <w:rFonts w:asciiTheme="minorBidi" w:hAnsiTheme="minorBidi"/>
          <w:sz w:val="20"/>
          <w:szCs w:val="20"/>
          <w:lang w:val="es"/>
        </w:rPr>
        <w:t xml:space="preserve"> El Ministerio de Turismo y Antigüedades elaboró la CCSR para cuatro ciudades históricas de Jordania, incluida As-Salt, que fue aprobada en 2014 por el Ministerio de Municipios y Asuntos Rurales, el Consejo Superior de Planificación Urbana de Jordania y el municipio de As-Salt. La CCSR incluye las siguientes directrices prácticas: i) clasificación patrimonial de los edificios y designación de zonas especiales de conservación y corredores especiales de desarrollo; ii) directrices de construcción que abordan las orientaciones de conservación, los mecanismos de diagnóstico, las obras de reparación y otras; iii) directrices y consideraciones de diseño para nuevas adiciones y alteraciones; y directrices de dominio público que abordan los espacios públicos, el paisaje urbano y el mobiliario urbano. Además, la RCCS se compone de 16 artículos, muchos de los cuales están destinados a salvaguardar tanto el patrimonio histórico edificado como las prácticas culturales inmateriales asociadas, como las que se describen a continuación:</w:t>
      </w:r>
    </w:p>
    <w:p w14:paraId="7EDA86A6" w14:textId="77777777" w:rsidR="00335F57" w:rsidRPr="0040630D" w:rsidRDefault="00335F57" w:rsidP="0040630D">
      <w:pPr>
        <w:spacing w:line="276" w:lineRule="auto"/>
        <w:jc w:val="both"/>
        <w:rPr>
          <w:rFonts w:asciiTheme="minorBidi" w:hAnsiTheme="minorBidi"/>
          <w:sz w:val="20"/>
          <w:szCs w:val="20"/>
        </w:rPr>
      </w:pPr>
    </w:p>
    <w:p w14:paraId="7136E72D" w14:textId="77777777" w:rsidR="00F45EE6" w:rsidRPr="0040630D" w:rsidRDefault="00F45EE6" w:rsidP="0040630D">
      <w:pPr>
        <w:spacing w:line="276" w:lineRule="auto"/>
        <w:rPr>
          <w:rFonts w:asciiTheme="minorBidi" w:hAnsiTheme="minorBidi"/>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128"/>
        <w:gridCol w:w="7700"/>
      </w:tblGrid>
      <w:tr w:rsidR="00F45EE6" w:rsidRPr="0040630D" w14:paraId="44F78034" w14:textId="77777777" w:rsidTr="0040630D">
        <w:trPr>
          <w:trHeight w:val="340"/>
          <w:jc w:val="center"/>
        </w:trPr>
        <w:tc>
          <w:tcPr>
            <w:tcW w:w="639" w:type="pct"/>
            <w:shd w:val="clear" w:color="auto" w:fill="2F59F1"/>
            <w:vAlign w:val="center"/>
            <w:hideMark/>
          </w:tcPr>
          <w:p w14:paraId="624FAD25" w14:textId="77777777" w:rsidR="00F45EE6" w:rsidRPr="0040630D" w:rsidRDefault="00F45EE6" w:rsidP="0040630D">
            <w:pPr>
              <w:spacing w:line="276" w:lineRule="auto"/>
              <w:jc w:val="center"/>
              <w:rPr>
                <w:rFonts w:asciiTheme="minorBidi" w:eastAsia="Times New Roman" w:hAnsiTheme="minorBidi"/>
                <w:b/>
                <w:bCs/>
                <w:color w:val="FFFFFF" w:themeColor="background1"/>
                <w:sz w:val="20"/>
                <w:szCs w:val="20"/>
              </w:rPr>
            </w:pPr>
            <w:r w:rsidRPr="0040630D">
              <w:rPr>
                <w:rFonts w:asciiTheme="minorBidi" w:eastAsia="Times New Roman" w:hAnsiTheme="minorBidi"/>
                <w:b/>
                <w:bCs/>
                <w:color w:val="FFFFFF" w:themeColor="background1"/>
                <w:sz w:val="20"/>
                <w:szCs w:val="20"/>
                <w:lang w:val="es"/>
              </w:rPr>
              <w:t>Artículo</w:t>
            </w:r>
          </w:p>
        </w:tc>
        <w:tc>
          <w:tcPr>
            <w:tcW w:w="4361" w:type="pct"/>
            <w:shd w:val="clear" w:color="auto" w:fill="2F59F1"/>
            <w:vAlign w:val="center"/>
            <w:hideMark/>
          </w:tcPr>
          <w:p w14:paraId="25B251C4" w14:textId="77777777" w:rsidR="00F45EE6" w:rsidRPr="0040630D" w:rsidRDefault="00F45EE6" w:rsidP="0040630D">
            <w:pPr>
              <w:spacing w:line="276" w:lineRule="auto"/>
              <w:jc w:val="center"/>
              <w:rPr>
                <w:rFonts w:asciiTheme="minorBidi" w:eastAsia="Times New Roman" w:hAnsiTheme="minorBidi"/>
                <w:b/>
                <w:bCs/>
                <w:color w:val="FFFFFF" w:themeColor="background1"/>
                <w:sz w:val="20"/>
                <w:szCs w:val="20"/>
              </w:rPr>
            </w:pPr>
            <w:r w:rsidRPr="0040630D">
              <w:rPr>
                <w:rFonts w:asciiTheme="minorBidi" w:eastAsia="Times New Roman" w:hAnsiTheme="minorBidi"/>
                <w:b/>
                <w:bCs/>
                <w:color w:val="FFFFFF" w:themeColor="background1"/>
                <w:sz w:val="20"/>
                <w:szCs w:val="20"/>
                <w:lang w:val="es"/>
              </w:rPr>
              <w:t>Descripción</w:t>
            </w:r>
          </w:p>
        </w:tc>
      </w:tr>
      <w:tr w:rsidR="00F45EE6" w:rsidRPr="0040630D" w14:paraId="0642DB6C" w14:textId="77777777" w:rsidTr="00F45EE6">
        <w:trPr>
          <w:trHeight w:val="144"/>
          <w:jc w:val="center"/>
        </w:trPr>
        <w:tc>
          <w:tcPr>
            <w:tcW w:w="639" w:type="pct"/>
            <w:shd w:val="clear" w:color="auto" w:fill="auto"/>
            <w:vAlign w:val="center"/>
          </w:tcPr>
          <w:p w14:paraId="65FE26FA"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Artículo 4</w:t>
            </w:r>
          </w:p>
        </w:tc>
        <w:tc>
          <w:tcPr>
            <w:tcW w:w="4361" w:type="pct"/>
            <w:shd w:val="clear" w:color="auto" w:fill="auto"/>
            <w:vAlign w:val="center"/>
          </w:tcPr>
          <w:p w14:paraId="622A27B9"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Regula que cualquier estructura que bloquee la vista dentro de la zona designada puede ser objeto de demolición parcial para restaurar la vista original.</w:t>
            </w:r>
          </w:p>
        </w:tc>
      </w:tr>
      <w:tr w:rsidR="00F45EE6" w:rsidRPr="0040630D" w14:paraId="5AB32151" w14:textId="77777777" w:rsidTr="00F45EE6">
        <w:trPr>
          <w:trHeight w:val="144"/>
          <w:jc w:val="center"/>
        </w:trPr>
        <w:tc>
          <w:tcPr>
            <w:tcW w:w="639" w:type="pct"/>
            <w:shd w:val="clear" w:color="auto" w:fill="auto"/>
            <w:vAlign w:val="center"/>
            <w:hideMark/>
          </w:tcPr>
          <w:p w14:paraId="4DE87156"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lastRenderedPageBreak/>
              <w:t>Artículo 5</w:t>
            </w:r>
          </w:p>
        </w:tc>
        <w:tc>
          <w:tcPr>
            <w:tcW w:w="4361" w:type="pct"/>
            <w:shd w:val="clear" w:color="auto" w:fill="auto"/>
            <w:vAlign w:val="center"/>
            <w:hideMark/>
          </w:tcPr>
          <w:p w14:paraId="6950C56F"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Aclara qué son las "zonas especiales de conservación" y sus límites.</w:t>
            </w:r>
          </w:p>
        </w:tc>
      </w:tr>
      <w:tr w:rsidR="00F45EE6" w:rsidRPr="0040630D" w14:paraId="46C393F7" w14:textId="77777777" w:rsidTr="00F45EE6">
        <w:trPr>
          <w:trHeight w:val="144"/>
          <w:jc w:val="center"/>
        </w:trPr>
        <w:tc>
          <w:tcPr>
            <w:tcW w:w="639" w:type="pct"/>
            <w:shd w:val="clear" w:color="auto" w:fill="auto"/>
            <w:vAlign w:val="center"/>
          </w:tcPr>
          <w:p w14:paraId="25121325"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Artículo 8</w:t>
            </w:r>
          </w:p>
        </w:tc>
        <w:tc>
          <w:tcPr>
            <w:tcW w:w="4361" w:type="pct"/>
            <w:shd w:val="clear" w:color="auto" w:fill="auto"/>
            <w:vAlign w:val="center"/>
          </w:tcPr>
          <w:p w14:paraId="41752970"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Se ocupa de las zonas aún no urbanizadas, restringiendo los nuevos desarrollos, fomentando el uso agrícola y haciendo hincapié en la protección de los olivos, en particular de los árboles de más de 10 metros de altura.</w:t>
            </w:r>
          </w:p>
        </w:tc>
      </w:tr>
      <w:tr w:rsidR="00F45EE6" w:rsidRPr="0040630D" w14:paraId="25A15AE6" w14:textId="77777777" w:rsidTr="00F45EE6">
        <w:trPr>
          <w:trHeight w:val="144"/>
          <w:jc w:val="center"/>
        </w:trPr>
        <w:tc>
          <w:tcPr>
            <w:tcW w:w="639" w:type="pct"/>
            <w:shd w:val="clear" w:color="auto" w:fill="auto"/>
            <w:vAlign w:val="center"/>
            <w:hideMark/>
          </w:tcPr>
          <w:p w14:paraId="5810423F"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Artículo 9</w:t>
            </w:r>
          </w:p>
        </w:tc>
        <w:tc>
          <w:tcPr>
            <w:tcW w:w="4361" w:type="pct"/>
            <w:shd w:val="clear" w:color="auto" w:fill="auto"/>
            <w:vAlign w:val="center"/>
            <w:hideMark/>
          </w:tcPr>
          <w:p w14:paraId="02CA4AB9"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Determina la compatibilidad de los usos dentro del centro histórico (por ejemplo, mataderos, carpinterías, herrerías, reparación de coches, no son compatibles), y tiene en cuenta cuestiones medioambientales, como la contaminación acústica, las vibraciones, los olores y los residuos urbanos.</w:t>
            </w:r>
          </w:p>
        </w:tc>
      </w:tr>
      <w:tr w:rsidR="00F45EE6" w:rsidRPr="0040630D" w14:paraId="4313065E" w14:textId="77777777" w:rsidTr="00F45EE6">
        <w:trPr>
          <w:trHeight w:val="144"/>
          <w:jc w:val="center"/>
        </w:trPr>
        <w:tc>
          <w:tcPr>
            <w:tcW w:w="639" w:type="pct"/>
            <w:shd w:val="clear" w:color="auto" w:fill="auto"/>
            <w:vAlign w:val="center"/>
          </w:tcPr>
          <w:p w14:paraId="3A28EC2B"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Artículo 10</w:t>
            </w:r>
          </w:p>
        </w:tc>
        <w:tc>
          <w:tcPr>
            <w:tcW w:w="4361" w:type="pct"/>
            <w:shd w:val="clear" w:color="auto" w:fill="auto"/>
            <w:vAlign w:val="center"/>
          </w:tcPr>
          <w:p w14:paraId="4EF90A75"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Define las "condiciones volumétricas y dimensionales de la urbanización", incluido el control de alturas, retranqueos, cobertura de parcelas, salientes de fachadas, balcones y aparcamientos.</w:t>
            </w:r>
          </w:p>
        </w:tc>
      </w:tr>
      <w:tr w:rsidR="00F45EE6" w:rsidRPr="0040630D" w14:paraId="0E8586CC" w14:textId="77777777" w:rsidTr="00F45EE6">
        <w:trPr>
          <w:trHeight w:val="144"/>
          <w:jc w:val="center"/>
        </w:trPr>
        <w:tc>
          <w:tcPr>
            <w:tcW w:w="639" w:type="pct"/>
            <w:shd w:val="clear" w:color="auto" w:fill="auto"/>
            <w:vAlign w:val="center"/>
          </w:tcPr>
          <w:p w14:paraId="4BE81226"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Artículo 11</w:t>
            </w:r>
          </w:p>
        </w:tc>
        <w:tc>
          <w:tcPr>
            <w:tcW w:w="4361" w:type="pct"/>
            <w:shd w:val="clear" w:color="auto" w:fill="auto"/>
            <w:vAlign w:val="center"/>
          </w:tcPr>
          <w:p w14:paraId="210D1905"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Califica (de 1 a 5) los edificios patrimoniales en función de las necesidades de conservación y los permisos de urbanización. Los edificios de grado 1, por ejemplo, no pueden demolerse debido a su autenticidad; deben cumplir unas normas de conservación estrictas y no pueden utilizarse para la industria o el comercio.</w:t>
            </w:r>
          </w:p>
        </w:tc>
      </w:tr>
      <w:tr w:rsidR="00F45EE6" w:rsidRPr="0040630D" w14:paraId="091E3903" w14:textId="77777777" w:rsidTr="00F45EE6">
        <w:trPr>
          <w:trHeight w:val="144"/>
          <w:jc w:val="center"/>
        </w:trPr>
        <w:tc>
          <w:tcPr>
            <w:tcW w:w="639" w:type="pct"/>
            <w:shd w:val="clear" w:color="auto" w:fill="auto"/>
            <w:vAlign w:val="center"/>
          </w:tcPr>
          <w:p w14:paraId="3390F981"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Artículo 14</w:t>
            </w:r>
          </w:p>
        </w:tc>
        <w:tc>
          <w:tcPr>
            <w:tcW w:w="4361" w:type="pct"/>
            <w:shd w:val="clear" w:color="auto" w:fill="auto"/>
            <w:vAlign w:val="center"/>
          </w:tcPr>
          <w:p w14:paraId="5BC0A8F2"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Habla de "espacios urbanos especiales" como Sahat Al-Ain y la plaza Al Maydan y de normativas específicas aplicables a los espacios públicos abiertos.</w:t>
            </w:r>
          </w:p>
        </w:tc>
      </w:tr>
      <w:tr w:rsidR="00F45EE6" w:rsidRPr="0040630D" w14:paraId="0AF2447C" w14:textId="77777777" w:rsidTr="00F45EE6">
        <w:trPr>
          <w:trHeight w:val="144"/>
          <w:jc w:val="center"/>
        </w:trPr>
        <w:tc>
          <w:tcPr>
            <w:tcW w:w="639" w:type="pct"/>
            <w:shd w:val="clear" w:color="auto" w:fill="auto"/>
            <w:vAlign w:val="center"/>
          </w:tcPr>
          <w:p w14:paraId="677DED8C" w14:textId="77777777" w:rsidR="00F45EE6" w:rsidRPr="0040630D" w:rsidRDefault="00F45EE6" w:rsidP="00E27988">
            <w:pPr>
              <w:spacing w:line="276" w:lineRule="auto"/>
              <w:jc w:val="both"/>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Artículo 15</w:t>
            </w:r>
          </w:p>
        </w:tc>
        <w:tc>
          <w:tcPr>
            <w:tcW w:w="4361" w:type="pct"/>
            <w:shd w:val="clear" w:color="auto" w:fill="auto"/>
            <w:vAlign w:val="center"/>
          </w:tcPr>
          <w:p w14:paraId="650EFC4F" w14:textId="77777777" w:rsidR="00F45EE6" w:rsidRPr="0040630D" w:rsidRDefault="00F45EE6" w:rsidP="00E27988">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 xml:space="preserve">Trata la expropiación y la indemnización a los propietarios para garantizar una compensación acorde con el valor de mercado a las propiedades sujetas a normas de conservación estrictas. </w:t>
            </w:r>
          </w:p>
        </w:tc>
      </w:tr>
    </w:tbl>
    <w:p w14:paraId="0B39FE1A" w14:textId="77777777" w:rsidR="00F45EE6" w:rsidRPr="0040630D" w:rsidRDefault="00F45EE6" w:rsidP="0040630D">
      <w:pPr>
        <w:spacing w:line="276" w:lineRule="auto"/>
        <w:rPr>
          <w:rFonts w:asciiTheme="minorBidi" w:hAnsiTheme="minorBidi"/>
          <w:sz w:val="20"/>
          <w:szCs w:val="20"/>
        </w:rPr>
      </w:pPr>
    </w:p>
    <w:p w14:paraId="4AD5CFA3"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b/>
          <w:bCs/>
          <w:sz w:val="20"/>
          <w:szCs w:val="20"/>
          <w:lang w:val="es"/>
        </w:rPr>
        <w:t xml:space="preserve">Sistema de Información Geográfica (GIS) </w:t>
      </w:r>
      <w:r w:rsidRPr="0040630D">
        <w:rPr>
          <w:rFonts w:asciiTheme="minorBidi" w:hAnsiTheme="minorBidi"/>
          <w:i/>
          <w:iCs/>
          <w:sz w:val="20"/>
          <w:szCs w:val="20"/>
          <w:lang w:val="es"/>
        </w:rPr>
        <w:t>(sectorial):</w:t>
      </w:r>
      <w:r w:rsidRPr="0040630D">
        <w:rPr>
          <w:rFonts w:asciiTheme="minorBidi" w:hAnsiTheme="minorBidi"/>
          <w:sz w:val="20"/>
          <w:szCs w:val="20"/>
          <w:lang w:val="es"/>
        </w:rPr>
        <w:t xml:space="preserve"> Se elaboró un SIG para el centro histórico "que incluye la parcelación, el levantamiento de planos de edificios y tejados, el número de plantas, la propiedad, el material utilizado, la fecha de construcción y el uso actual". Se inspeccionaron unos 4 400 edificios, incluidos todos los del centro histórico". El GIS ha ayudado a elaborar un "Manual para la conservación del centro histórico de As-Salt", así como otros esfuerzos de conservación.</w:t>
      </w:r>
    </w:p>
    <w:p w14:paraId="078B6FCB" w14:textId="77777777" w:rsidR="00F45EE6" w:rsidRPr="0040630D" w:rsidRDefault="00F45EE6" w:rsidP="0040630D">
      <w:pPr>
        <w:spacing w:line="276" w:lineRule="auto"/>
        <w:jc w:val="both"/>
        <w:rPr>
          <w:rFonts w:asciiTheme="minorBidi" w:hAnsiTheme="minorBidi"/>
          <w:sz w:val="20"/>
          <w:szCs w:val="20"/>
        </w:rPr>
      </w:pPr>
    </w:p>
    <w:p w14:paraId="0B4C6E7B" w14:textId="77777777" w:rsidR="00F45EE6" w:rsidRPr="0040630D" w:rsidRDefault="00F45EE6" w:rsidP="0040630D">
      <w:pPr>
        <w:spacing w:line="276" w:lineRule="auto"/>
        <w:jc w:val="both"/>
        <w:rPr>
          <w:rFonts w:asciiTheme="minorBidi" w:hAnsiTheme="minorBidi"/>
          <w:sz w:val="20"/>
          <w:szCs w:val="20"/>
        </w:rPr>
      </w:pPr>
      <w:r w:rsidRPr="0040630D">
        <w:rPr>
          <w:rFonts w:asciiTheme="minorBidi" w:hAnsiTheme="minorBidi"/>
          <w:b/>
          <w:bCs/>
          <w:sz w:val="20"/>
          <w:szCs w:val="20"/>
          <w:lang w:val="es"/>
        </w:rPr>
        <w:t xml:space="preserve">Unidad de Proyectos de Desarrollo de la Ciudad de As-Salt </w:t>
      </w:r>
      <w:r w:rsidRPr="0040630D">
        <w:rPr>
          <w:rFonts w:asciiTheme="minorBidi" w:hAnsiTheme="minorBidi"/>
          <w:i/>
          <w:iCs/>
          <w:sz w:val="20"/>
          <w:szCs w:val="20"/>
          <w:lang w:val="es"/>
        </w:rPr>
        <w:t>(transversal):</w:t>
      </w:r>
      <w:r w:rsidRPr="0040630D">
        <w:rPr>
          <w:rFonts w:asciiTheme="minorBidi" w:hAnsiTheme="minorBidi"/>
          <w:sz w:val="20"/>
          <w:szCs w:val="20"/>
          <w:lang w:val="es"/>
        </w:rPr>
        <w:t xml:space="preserve"> El municipio de As-Salt ha creado recientemente la Unidad de Proyectos de Desarrollo para coordinar los esfuerzos de salvaguardia, conservación y gestión del centro histórico. La unidad ha elaborado una normativa para los permisos de demolición, alteración y obras de conservación y rehabilitación dentro del centro histórico. Proporciona recomendaciones a la Comisión de Planificación Local sobre la gestión del patrimonio cultural y realiza la supervisión y el seguimiento de proyectos en el núcleo histórico. Ha recibido financiación de entidades intersectoriales como el Ministerio de Turismo, el Ministerio de Planificación y Cooperación Internacional, el Ministerio de Gobernanza Local, el Ministerio de Hacienda, organismos donantes internacionales y locales, y el municipio de As-Salt.</w:t>
      </w:r>
    </w:p>
    <w:p w14:paraId="0E370CD9" w14:textId="77777777" w:rsidR="00F45EE6" w:rsidRPr="0040630D" w:rsidRDefault="00F45EE6" w:rsidP="0040630D">
      <w:pPr>
        <w:spacing w:line="276" w:lineRule="auto"/>
        <w:jc w:val="both"/>
        <w:rPr>
          <w:rFonts w:asciiTheme="minorBidi" w:hAnsiTheme="minorBidi"/>
          <w:sz w:val="20"/>
          <w:szCs w:val="20"/>
        </w:rPr>
      </w:pPr>
    </w:p>
    <w:p w14:paraId="70F4A218" w14:textId="77777777" w:rsidR="00F45EE6" w:rsidRDefault="00F45EE6" w:rsidP="0040630D">
      <w:pPr>
        <w:spacing w:line="276" w:lineRule="auto"/>
        <w:jc w:val="both"/>
        <w:rPr>
          <w:rFonts w:asciiTheme="minorBidi" w:hAnsiTheme="minorBidi"/>
          <w:sz w:val="20"/>
          <w:szCs w:val="20"/>
          <w:lang w:val="es"/>
        </w:rPr>
      </w:pPr>
      <w:r w:rsidRPr="0040630D">
        <w:rPr>
          <w:rFonts w:asciiTheme="minorBidi" w:hAnsiTheme="minorBidi"/>
          <w:b/>
          <w:bCs/>
          <w:sz w:val="20"/>
          <w:szCs w:val="20"/>
          <w:lang w:val="es"/>
        </w:rPr>
        <w:t>Memorándum de Acuerdos</w:t>
      </w:r>
      <w:r w:rsidRPr="0040630D">
        <w:rPr>
          <w:rFonts w:asciiTheme="minorBidi" w:hAnsiTheme="minorBidi"/>
          <w:sz w:val="20"/>
          <w:szCs w:val="20"/>
          <w:lang w:val="es"/>
        </w:rPr>
        <w:t xml:space="preserve"> </w:t>
      </w:r>
      <w:r w:rsidRPr="0040630D">
        <w:rPr>
          <w:rFonts w:asciiTheme="minorBidi" w:hAnsiTheme="minorBidi"/>
          <w:i/>
          <w:iCs/>
          <w:sz w:val="20"/>
          <w:szCs w:val="20"/>
          <w:lang w:val="es"/>
        </w:rPr>
        <w:t>(transversal)</w:t>
      </w:r>
      <w:r w:rsidRPr="0040630D">
        <w:rPr>
          <w:rFonts w:asciiTheme="minorBidi" w:hAnsiTheme="minorBidi"/>
          <w:sz w:val="20"/>
          <w:szCs w:val="20"/>
          <w:lang w:val="es"/>
        </w:rPr>
        <w:t>: El municipio de As-Salt y múltiples proveedores de infraestructuras y servicios, como la Compañía Jordana de Electricidad, han firmado memorandos "para coordinar esfuerzos y colaborar en la mejora de los espacios públicos prestando atención a las cuestiones de integridad visual y adoptar medidas para minimizar el impacto de los proyectos de infraestructuras de redes de telecomunicaciones en el centro urbano histórico".</w:t>
      </w:r>
    </w:p>
    <w:p w14:paraId="1F2CFC97" w14:textId="77777777" w:rsidR="0040630D" w:rsidRPr="0040630D" w:rsidRDefault="0040630D" w:rsidP="0040630D">
      <w:pPr>
        <w:spacing w:line="276" w:lineRule="auto"/>
        <w:jc w:val="both"/>
        <w:rPr>
          <w:rFonts w:asciiTheme="minorBidi" w:hAnsiTheme="minorBidi"/>
          <w:sz w:val="20"/>
          <w:szCs w:val="20"/>
        </w:rPr>
      </w:pPr>
    </w:p>
    <w:p w14:paraId="73FB5492" w14:textId="77777777" w:rsidR="00F45EE6" w:rsidRPr="0040630D" w:rsidRDefault="00F45EE6" w:rsidP="006375F5">
      <w:pPr>
        <w:pStyle w:val="Texte1"/>
        <w:numPr>
          <w:ilvl w:val="0"/>
          <w:numId w:val="5"/>
        </w:numPr>
        <w:spacing w:line="276" w:lineRule="auto"/>
        <w:rPr>
          <w:rFonts w:asciiTheme="minorBidi" w:hAnsiTheme="minorBidi" w:cstheme="minorBidi"/>
          <w:b/>
          <w:bCs/>
          <w:color w:val="0177D4"/>
          <w:lang w:val="es-ES"/>
        </w:rPr>
      </w:pPr>
      <w:r w:rsidRPr="0040630D">
        <w:rPr>
          <w:rFonts w:asciiTheme="minorBidi" w:hAnsiTheme="minorBidi" w:cstheme="minorBidi"/>
          <w:b/>
          <w:bCs/>
          <w:color w:val="2F59F1"/>
          <w:lang w:val="es"/>
        </w:rPr>
        <w:t>LECCIONES CLAVE DEL PLAN DE GESTIÓN DE LA CONSERVACIÓN</w:t>
      </w:r>
    </w:p>
    <w:p w14:paraId="0BE86DC9" w14:textId="77777777" w:rsidR="00F45EE6" w:rsidRPr="0040630D" w:rsidRDefault="00F45EE6" w:rsidP="0040630D">
      <w:pPr>
        <w:spacing w:line="276" w:lineRule="auto"/>
        <w:rPr>
          <w:rFonts w:asciiTheme="minorBidi" w:hAnsiTheme="minorBidi"/>
          <w:sz w:val="20"/>
          <w:szCs w:val="20"/>
        </w:rPr>
      </w:pPr>
    </w:p>
    <w:p w14:paraId="6EC87E86" w14:textId="77777777" w:rsidR="00F45EE6" w:rsidRPr="0040630D" w:rsidRDefault="00F45EE6" w:rsidP="0040630D">
      <w:pPr>
        <w:spacing w:line="276" w:lineRule="auto"/>
        <w:rPr>
          <w:rFonts w:asciiTheme="minorBidi" w:hAnsiTheme="minorBidi"/>
          <w:sz w:val="20"/>
          <w:szCs w:val="20"/>
        </w:rPr>
      </w:pPr>
      <w:r w:rsidRPr="0040630D">
        <w:rPr>
          <w:rFonts w:asciiTheme="minorBidi" w:hAnsiTheme="minorBidi"/>
          <w:sz w:val="20"/>
          <w:szCs w:val="20"/>
          <w:lang w:val="es"/>
        </w:rPr>
        <w:t xml:space="preserve">En la siguiente tabla se presentan las lecciones clave del Plan de Gestión de la Conservación de As-Salt: </w:t>
      </w:r>
    </w:p>
    <w:p w14:paraId="1CAAD7F6" w14:textId="77777777" w:rsidR="00F45EE6" w:rsidRPr="0040630D" w:rsidRDefault="00F45EE6" w:rsidP="0040630D">
      <w:pPr>
        <w:spacing w:line="276" w:lineRule="auto"/>
        <w:rPr>
          <w:rFonts w:asciiTheme="minorBidi" w:hAnsiTheme="minorBidi"/>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41"/>
        <w:gridCol w:w="7387"/>
      </w:tblGrid>
      <w:tr w:rsidR="00F45EE6" w:rsidRPr="0040630D" w14:paraId="6029DA1B" w14:textId="77777777" w:rsidTr="0040630D">
        <w:trPr>
          <w:trHeight w:val="340"/>
          <w:jc w:val="center"/>
        </w:trPr>
        <w:tc>
          <w:tcPr>
            <w:tcW w:w="560" w:type="pct"/>
            <w:shd w:val="clear" w:color="auto" w:fill="2F59F1"/>
            <w:vAlign w:val="center"/>
            <w:hideMark/>
          </w:tcPr>
          <w:p w14:paraId="612BC6D1" w14:textId="77777777" w:rsidR="00F45EE6" w:rsidRPr="0040630D" w:rsidRDefault="00F45EE6" w:rsidP="0040630D">
            <w:pPr>
              <w:spacing w:line="276" w:lineRule="auto"/>
              <w:jc w:val="center"/>
              <w:rPr>
                <w:rFonts w:asciiTheme="minorBidi" w:eastAsia="Times New Roman" w:hAnsiTheme="minorBidi"/>
                <w:b/>
                <w:bCs/>
                <w:color w:val="FFFFFF" w:themeColor="background1"/>
                <w:sz w:val="20"/>
                <w:szCs w:val="20"/>
              </w:rPr>
            </w:pPr>
            <w:r w:rsidRPr="0040630D">
              <w:rPr>
                <w:rFonts w:asciiTheme="minorBidi" w:eastAsia="Times New Roman" w:hAnsiTheme="minorBidi"/>
                <w:b/>
                <w:bCs/>
                <w:color w:val="FFFFFF" w:themeColor="background1"/>
                <w:sz w:val="20"/>
                <w:szCs w:val="20"/>
                <w:lang w:val="es"/>
              </w:rPr>
              <w:lastRenderedPageBreak/>
              <w:t xml:space="preserve">Componente </w:t>
            </w:r>
          </w:p>
        </w:tc>
        <w:tc>
          <w:tcPr>
            <w:tcW w:w="4440" w:type="pct"/>
            <w:shd w:val="clear" w:color="auto" w:fill="2F59F1"/>
            <w:vAlign w:val="center"/>
            <w:hideMark/>
          </w:tcPr>
          <w:p w14:paraId="67772095" w14:textId="77777777" w:rsidR="00F45EE6" w:rsidRPr="0040630D" w:rsidRDefault="00F45EE6" w:rsidP="0040630D">
            <w:pPr>
              <w:spacing w:line="276" w:lineRule="auto"/>
              <w:jc w:val="center"/>
              <w:rPr>
                <w:rFonts w:asciiTheme="minorBidi" w:eastAsia="Times New Roman" w:hAnsiTheme="minorBidi"/>
                <w:b/>
                <w:bCs/>
                <w:color w:val="FFFFFF" w:themeColor="background1"/>
                <w:sz w:val="20"/>
                <w:szCs w:val="20"/>
              </w:rPr>
            </w:pPr>
            <w:r w:rsidRPr="0040630D">
              <w:rPr>
                <w:rFonts w:asciiTheme="minorBidi" w:eastAsia="Times New Roman" w:hAnsiTheme="minorBidi"/>
                <w:b/>
                <w:bCs/>
                <w:color w:val="FFFFFF" w:themeColor="background1"/>
                <w:sz w:val="20"/>
                <w:szCs w:val="20"/>
                <w:lang w:val="es"/>
              </w:rPr>
              <w:t>Lección clave</w:t>
            </w:r>
          </w:p>
        </w:tc>
      </w:tr>
      <w:tr w:rsidR="00F45EE6" w:rsidRPr="0040630D" w14:paraId="599AC24A" w14:textId="77777777" w:rsidTr="000418F9">
        <w:trPr>
          <w:trHeight w:val="144"/>
          <w:jc w:val="center"/>
        </w:trPr>
        <w:tc>
          <w:tcPr>
            <w:tcW w:w="560" w:type="pct"/>
            <w:shd w:val="clear" w:color="auto" w:fill="auto"/>
            <w:vAlign w:val="center"/>
            <w:hideMark/>
          </w:tcPr>
          <w:p w14:paraId="40A11FD1" w14:textId="77777777" w:rsidR="00F45EE6" w:rsidRPr="0040630D" w:rsidRDefault="00F45EE6" w:rsidP="0040630D">
            <w:pPr>
              <w:spacing w:line="276" w:lineRule="auto"/>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Estructuras urbanas</w:t>
            </w:r>
          </w:p>
        </w:tc>
        <w:tc>
          <w:tcPr>
            <w:tcW w:w="4440" w:type="pct"/>
            <w:shd w:val="clear" w:color="auto" w:fill="auto"/>
            <w:vAlign w:val="center"/>
            <w:hideMark/>
          </w:tcPr>
          <w:p w14:paraId="004E5EE2" w14:textId="77777777" w:rsidR="00F45EE6" w:rsidRPr="0040630D" w:rsidRDefault="00F45EE6" w:rsidP="0040630D">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 xml:space="preserve">El plan establece varias políticas y estrategias relacionadas con las estructuras urbanas de la metodología para la incorporación del PCI en la planificación urbana. En particular, aborda los espacios públicos como medio clave para salvaguardar el patrimonio vivo en el núcleo histórico; examina varios aspectos socioeconómicos, como la promoción del turismo patrimonial, que puede servir como forma de empleo y actividad generadora de ingresos; y la integración de los proveedores de servicios en las estrategias de conservación de la zona histórica, todo lo cual refleja cómo las estructuras de planificación urbana pueden contribuir eficazmente a salvaguardar el PCI.  </w:t>
            </w:r>
          </w:p>
        </w:tc>
      </w:tr>
      <w:tr w:rsidR="00F45EE6" w:rsidRPr="0040630D" w14:paraId="0E6325A9" w14:textId="77777777" w:rsidTr="000418F9">
        <w:trPr>
          <w:trHeight w:val="144"/>
          <w:jc w:val="center"/>
        </w:trPr>
        <w:tc>
          <w:tcPr>
            <w:tcW w:w="560" w:type="pct"/>
            <w:shd w:val="clear" w:color="auto" w:fill="auto"/>
            <w:vAlign w:val="center"/>
            <w:hideMark/>
          </w:tcPr>
          <w:p w14:paraId="211C87F3" w14:textId="77777777" w:rsidR="00F45EE6" w:rsidRPr="0040630D" w:rsidRDefault="00F45EE6" w:rsidP="0040630D">
            <w:pPr>
              <w:spacing w:line="276" w:lineRule="auto"/>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Coordinación multisectorial</w:t>
            </w:r>
          </w:p>
        </w:tc>
        <w:tc>
          <w:tcPr>
            <w:tcW w:w="4440" w:type="pct"/>
            <w:shd w:val="clear" w:color="auto" w:fill="auto"/>
            <w:vAlign w:val="center"/>
            <w:hideMark/>
          </w:tcPr>
          <w:p w14:paraId="5E9828D4" w14:textId="77777777" w:rsidR="00F45EE6" w:rsidRPr="0040630D" w:rsidRDefault="00F45EE6" w:rsidP="0040630D">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 xml:space="preserve"> El plan fue elaborado por un grupo de trabajo compuesto por interesados de diversas organizaciones y procedencias, lo que ayuda a reunir a sectores que a menudo operan aislados unos de otros. También identifica a las partes interesadas de diversa naturaleza (por ejemplo, organizaciones religiosas, propietarios de tierras) que deben participar para su aplicación, lo que refleja el proceso multidisciplinar de salvaguardia del patrimonio vivo en contextos urbanos.  </w:t>
            </w:r>
          </w:p>
        </w:tc>
      </w:tr>
      <w:tr w:rsidR="00F45EE6" w:rsidRPr="0040630D" w14:paraId="2A3412A3" w14:textId="77777777" w:rsidTr="000418F9">
        <w:trPr>
          <w:trHeight w:val="144"/>
          <w:jc w:val="center"/>
        </w:trPr>
        <w:tc>
          <w:tcPr>
            <w:tcW w:w="560" w:type="pct"/>
            <w:shd w:val="clear" w:color="auto" w:fill="auto"/>
            <w:vAlign w:val="center"/>
            <w:hideMark/>
          </w:tcPr>
          <w:p w14:paraId="0CA8734E" w14:textId="77777777" w:rsidR="00F45EE6" w:rsidRPr="0040630D" w:rsidRDefault="00F45EE6" w:rsidP="0040630D">
            <w:pPr>
              <w:spacing w:line="276" w:lineRule="auto"/>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Participación social</w:t>
            </w:r>
          </w:p>
        </w:tc>
        <w:tc>
          <w:tcPr>
            <w:tcW w:w="4440" w:type="pct"/>
            <w:shd w:val="clear" w:color="auto" w:fill="auto"/>
            <w:vAlign w:val="center"/>
            <w:hideMark/>
          </w:tcPr>
          <w:p w14:paraId="355C1F93" w14:textId="77777777" w:rsidR="00F45EE6" w:rsidRPr="0040630D" w:rsidRDefault="00F45EE6" w:rsidP="0040630D">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 xml:space="preserve">El plan supuso la consulta de diversas partes interesadas, incluidos los sectores público y privado, grupos religiosos, expertos en la materia y otras personas relacionadas con el sector cultural. Los procesos participativos son fundamentales para incorporar el PCI a la planificación urbana y para garantizar que las distintas opiniones y voces se reflejen en los planes urbanos. </w:t>
            </w:r>
          </w:p>
        </w:tc>
      </w:tr>
      <w:tr w:rsidR="00F45EE6" w:rsidRPr="0040630D" w14:paraId="258EC12A" w14:textId="77777777" w:rsidTr="000418F9">
        <w:trPr>
          <w:trHeight w:val="144"/>
          <w:jc w:val="center"/>
        </w:trPr>
        <w:tc>
          <w:tcPr>
            <w:tcW w:w="560" w:type="pct"/>
            <w:shd w:val="clear" w:color="auto" w:fill="auto"/>
            <w:vAlign w:val="center"/>
            <w:hideMark/>
          </w:tcPr>
          <w:p w14:paraId="2ABBAE97" w14:textId="77777777" w:rsidR="00F45EE6" w:rsidRPr="0040630D" w:rsidRDefault="00F45EE6" w:rsidP="0040630D">
            <w:pPr>
              <w:spacing w:line="276" w:lineRule="auto"/>
              <w:rPr>
                <w:rFonts w:asciiTheme="minorBidi" w:eastAsia="Times New Roman" w:hAnsiTheme="minorBidi"/>
                <w:b/>
                <w:bCs/>
                <w:color w:val="000000"/>
                <w:sz w:val="20"/>
                <w:szCs w:val="20"/>
              </w:rPr>
            </w:pPr>
            <w:r w:rsidRPr="0040630D">
              <w:rPr>
                <w:rFonts w:asciiTheme="minorBidi" w:eastAsia="Times New Roman" w:hAnsiTheme="minorBidi"/>
                <w:b/>
                <w:bCs/>
                <w:color w:val="000000"/>
                <w:sz w:val="20"/>
                <w:szCs w:val="20"/>
                <w:lang w:val="es"/>
              </w:rPr>
              <w:t>Herramientas o mecanismos de aplicación</w:t>
            </w:r>
          </w:p>
        </w:tc>
        <w:tc>
          <w:tcPr>
            <w:tcW w:w="4440" w:type="pct"/>
            <w:shd w:val="clear" w:color="auto" w:fill="auto"/>
            <w:vAlign w:val="center"/>
            <w:hideMark/>
          </w:tcPr>
          <w:p w14:paraId="7D25933F" w14:textId="77777777" w:rsidR="00F45EE6" w:rsidRPr="0040630D" w:rsidRDefault="00F45EE6" w:rsidP="0040630D">
            <w:pPr>
              <w:spacing w:line="276" w:lineRule="auto"/>
              <w:jc w:val="both"/>
              <w:rPr>
                <w:rFonts w:asciiTheme="minorBidi" w:eastAsia="Times New Roman" w:hAnsiTheme="minorBidi"/>
                <w:color w:val="000000"/>
                <w:sz w:val="20"/>
                <w:szCs w:val="20"/>
              </w:rPr>
            </w:pPr>
            <w:r w:rsidRPr="0040630D">
              <w:rPr>
                <w:rFonts w:asciiTheme="minorBidi" w:eastAsia="Times New Roman" w:hAnsiTheme="minorBidi"/>
                <w:color w:val="000000"/>
                <w:sz w:val="20"/>
                <w:szCs w:val="20"/>
                <w:lang w:val="es"/>
              </w:rPr>
              <w:t xml:space="preserve"> El plan va acompañado de varias herramientas y mecanismos sectoriales y transversales que ayudan a hacerlo operativo y facilitan su aplicación. Herramientas como la definición de una Zona de Propiedad y Amortiguación y el desarrollo de la Normativa especial del centro urbano dan soporte legal al plan y establecen normativas especiales de uso del suelo y edificación; mientras que mecanismos como la creación de la Unidad de Proyectos de Desarrollo de As-Salt City y la firma de Memorandos de Acuerdo con proveedores de servicios reflejan el tipo de acuerdo institucional clave para avanzar en los esfuerzos de salvaguarda. </w:t>
            </w:r>
          </w:p>
        </w:tc>
      </w:tr>
    </w:tbl>
    <w:p w14:paraId="65FA2EED" w14:textId="77777777" w:rsidR="00F45EE6" w:rsidRPr="0040630D" w:rsidRDefault="00F45EE6" w:rsidP="0040630D">
      <w:pPr>
        <w:pStyle w:val="Texte1"/>
        <w:spacing w:line="276" w:lineRule="auto"/>
        <w:ind w:left="0"/>
        <w:rPr>
          <w:rFonts w:asciiTheme="minorBidi" w:hAnsiTheme="minorBidi" w:cstheme="minorBidi"/>
          <w:color w:val="0177D4"/>
          <w:lang w:val="es-ES"/>
        </w:rPr>
      </w:pPr>
    </w:p>
    <w:p w14:paraId="709523AC" w14:textId="13E8D32D" w:rsidR="00F45EE6" w:rsidRPr="0040630D" w:rsidRDefault="00F45EE6" w:rsidP="006375F5">
      <w:pPr>
        <w:pStyle w:val="Texte1"/>
        <w:numPr>
          <w:ilvl w:val="0"/>
          <w:numId w:val="5"/>
        </w:numPr>
        <w:spacing w:line="276" w:lineRule="auto"/>
        <w:rPr>
          <w:rFonts w:asciiTheme="minorBidi" w:hAnsiTheme="minorBidi" w:cstheme="minorBidi"/>
          <w:b/>
          <w:bCs/>
          <w:color w:val="2F59F1"/>
        </w:rPr>
      </w:pPr>
      <w:r w:rsidRPr="0040630D">
        <w:rPr>
          <w:rFonts w:asciiTheme="minorBidi" w:hAnsiTheme="minorBidi" w:cstheme="minorBidi"/>
          <w:b/>
          <w:bCs/>
          <w:color w:val="2F59F1"/>
          <w:lang w:val="es"/>
        </w:rPr>
        <w:t>CONCLUSIÓN</w:t>
      </w:r>
    </w:p>
    <w:p w14:paraId="24867F43" w14:textId="77777777" w:rsidR="00F45EE6" w:rsidRPr="0040630D" w:rsidRDefault="00F45EE6" w:rsidP="0040630D">
      <w:pPr>
        <w:spacing w:line="276" w:lineRule="auto"/>
        <w:rPr>
          <w:rFonts w:asciiTheme="minorBidi" w:hAnsiTheme="minorBidi"/>
          <w:sz w:val="20"/>
          <w:szCs w:val="20"/>
        </w:rPr>
      </w:pPr>
    </w:p>
    <w:p w14:paraId="56CCF7E4" w14:textId="77777777" w:rsidR="00F45EE6" w:rsidRDefault="00F45EE6" w:rsidP="0040630D">
      <w:pPr>
        <w:spacing w:line="276" w:lineRule="auto"/>
        <w:jc w:val="both"/>
        <w:rPr>
          <w:rFonts w:asciiTheme="minorBidi" w:hAnsiTheme="minorBidi"/>
          <w:sz w:val="20"/>
          <w:szCs w:val="20"/>
          <w:lang w:val="es"/>
        </w:rPr>
      </w:pPr>
      <w:r w:rsidRPr="0040630D">
        <w:rPr>
          <w:rFonts w:asciiTheme="minorBidi" w:hAnsiTheme="minorBidi"/>
          <w:sz w:val="20"/>
          <w:szCs w:val="20"/>
          <w:lang w:val="es"/>
        </w:rPr>
        <w:t xml:space="preserve">El Plan de Gestión de la Conservación demuestra cómo los gobiernos municipales pueden elaborar planes para zonas urbanas específicas con un significado cultural de alto valor, como el núcleo histórico de As-Salt, de forma que los procesos de planificación urbana contribuyan a salvaguardar el patrimonio. Además, el plan ilustra el tipo de herramientas o mecanismos jurídicos, institucionales y de otro tipo que pueden contribuir a garantizar la aplicación y el cumplimiento de estos planes, y ejemplifica que en los procesos de salvaguardia en contextos urbanos pueden y deben participar partes interesadas de muy diversa índole para garantizar el cumplimiento de los objetivos de un plan. En ese sentido, el Plan de Gestión de la Conservación de As-Salt es un caso que muestra cómo el urbanismo y la cultura pueden integrarse de forma práctica y viable. </w:t>
      </w:r>
    </w:p>
    <w:p w14:paraId="0D01B789" w14:textId="77777777" w:rsidR="00335F57" w:rsidRDefault="00335F57" w:rsidP="0040630D">
      <w:pPr>
        <w:spacing w:line="276" w:lineRule="auto"/>
        <w:jc w:val="both"/>
        <w:rPr>
          <w:rFonts w:asciiTheme="minorBidi" w:hAnsiTheme="minorBidi"/>
          <w:sz w:val="20"/>
          <w:szCs w:val="20"/>
          <w:lang w:val="es"/>
        </w:rPr>
      </w:pPr>
    </w:p>
    <w:p w14:paraId="66DA5204" w14:textId="319CBB83" w:rsidR="00335F57" w:rsidRPr="00335F57" w:rsidRDefault="00335F57" w:rsidP="0040630D">
      <w:pPr>
        <w:spacing w:line="276" w:lineRule="auto"/>
        <w:jc w:val="both"/>
        <w:rPr>
          <w:rFonts w:asciiTheme="minorBidi" w:hAnsiTheme="minorBidi"/>
          <w:b/>
          <w:bCs/>
          <w:sz w:val="20"/>
          <w:szCs w:val="20"/>
        </w:rPr>
      </w:pPr>
      <w:r w:rsidRPr="00335F57">
        <w:rPr>
          <w:rFonts w:asciiTheme="minorBidi" w:hAnsiTheme="minorBidi"/>
          <w:b/>
          <w:bCs/>
          <w:sz w:val="20"/>
          <w:szCs w:val="20"/>
          <w:lang w:val="es"/>
        </w:rPr>
        <w:t>REFERENCIAS</w:t>
      </w:r>
    </w:p>
    <w:p w14:paraId="33442570" w14:textId="77777777" w:rsidR="00F45EE6" w:rsidRDefault="00F45EE6" w:rsidP="0040630D">
      <w:pPr>
        <w:pStyle w:val="Texte1"/>
        <w:spacing w:line="276" w:lineRule="auto"/>
        <w:ind w:left="0"/>
        <w:rPr>
          <w:rFonts w:asciiTheme="minorBidi" w:hAnsiTheme="minorBidi" w:cstheme="minorBidi"/>
          <w:lang w:val="es-ES"/>
        </w:rPr>
      </w:pPr>
    </w:p>
    <w:p w14:paraId="07834063" w14:textId="4445111B" w:rsidR="00335F57" w:rsidRPr="0008578D" w:rsidRDefault="00335F57" w:rsidP="00335F57">
      <w:pPr>
        <w:pStyle w:val="Texte1"/>
        <w:spacing w:line="276" w:lineRule="auto"/>
        <w:ind w:left="0"/>
        <w:rPr>
          <w:b/>
          <w:bCs/>
          <w:lang w:val="es-ES"/>
        </w:rPr>
      </w:pPr>
      <w:r w:rsidRPr="0008578D">
        <w:rPr>
          <w:rFonts w:asciiTheme="minorBidi" w:hAnsiTheme="minorBidi" w:cstheme="minorBidi"/>
          <w:lang w:val="es-ES"/>
        </w:rPr>
        <w:t xml:space="preserve">As-Salt – </w:t>
      </w:r>
      <w:r w:rsidR="0008578D" w:rsidRPr="0008578D">
        <w:rPr>
          <w:rFonts w:asciiTheme="minorBidi" w:hAnsiTheme="minorBidi" w:cstheme="minorBidi"/>
          <w:lang w:val="es-ES"/>
        </w:rPr>
        <w:t>Plan de gestión de</w:t>
      </w:r>
      <w:r w:rsidR="0008578D">
        <w:rPr>
          <w:rFonts w:asciiTheme="minorBidi" w:hAnsiTheme="minorBidi" w:cstheme="minorBidi"/>
          <w:lang w:val="es-ES"/>
        </w:rPr>
        <w:t xml:space="preserve"> la conservación</w:t>
      </w:r>
      <w:r w:rsidRPr="0008578D">
        <w:rPr>
          <w:rFonts w:asciiTheme="minorBidi" w:hAnsiTheme="minorBidi" w:cstheme="minorBidi"/>
          <w:lang w:val="es-ES"/>
        </w:rPr>
        <w:t xml:space="preserve">: </w:t>
      </w:r>
      <w:hyperlink r:id="rId10" w:history="1">
        <w:r w:rsidRPr="0008578D">
          <w:rPr>
            <w:rStyle w:val="Hyperlink"/>
            <w:rFonts w:asciiTheme="minorBidi" w:hAnsiTheme="minorBidi" w:cstheme="minorBidi"/>
            <w:lang w:val="es-ES"/>
          </w:rPr>
          <w:t>https://whc.unesco.or</w:t>
        </w:r>
        <w:r w:rsidRPr="0008578D">
          <w:rPr>
            <w:rStyle w:val="Hyperlink"/>
            <w:rFonts w:asciiTheme="minorBidi" w:hAnsiTheme="minorBidi" w:cstheme="minorBidi"/>
            <w:lang w:val="es-ES"/>
          </w:rPr>
          <w:t>g/en/list/689/documents/</w:t>
        </w:r>
      </w:hyperlink>
    </w:p>
    <w:p w14:paraId="62845204" w14:textId="77777777" w:rsidR="00335F57" w:rsidRPr="0008578D" w:rsidRDefault="00335F57" w:rsidP="0040630D">
      <w:pPr>
        <w:pStyle w:val="Texte1"/>
        <w:spacing w:line="276" w:lineRule="auto"/>
        <w:ind w:left="0"/>
        <w:rPr>
          <w:rFonts w:asciiTheme="minorBidi" w:hAnsiTheme="minorBidi" w:cstheme="minorBidi"/>
          <w:lang w:val="es-ES"/>
        </w:rPr>
      </w:pPr>
    </w:p>
    <w:sectPr w:rsidR="00335F57" w:rsidRPr="0008578D" w:rsidSect="00335F57">
      <w:headerReference w:type="even" r:id="rId11"/>
      <w:headerReference w:type="default" r:id="rId12"/>
      <w:footerReference w:type="even" r:id="rId13"/>
      <w:footerReference w:type="default" r:id="rId14"/>
      <w:headerReference w:type="first" r:id="rId15"/>
      <w:footerReference w:type="first" r:id="rId16"/>
      <w:pgSz w:w="12240" w:h="15840"/>
      <w:pgMar w:top="1417" w:right="1701" w:bottom="1417" w:left="1701" w:header="708" w:footer="562"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182D3D" w14:textId="77777777" w:rsidR="000E5031" w:rsidRDefault="000E5031" w:rsidP="00DF3895">
      <w:r>
        <w:separator/>
      </w:r>
    </w:p>
  </w:endnote>
  <w:endnote w:type="continuationSeparator" w:id="0">
    <w:p w14:paraId="1D6E5E22" w14:textId="77777777" w:rsidR="000E5031" w:rsidRDefault="000E5031" w:rsidP="00DF38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Lucida Grande">
    <w:altName w:val="Segoe UI"/>
    <w:charset w:val="00"/>
    <w:family w:val="swiss"/>
    <w:pitch w:val="variable"/>
    <w:sig w:usb0="E1000AEF" w:usb1="5000A1FF" w:usb2="00000000" w:usb3="00000000" w:csb0="000001BF" w:csb1="00000000"/>
  </w:font>
  <w:font w:name="Times">
    <w:altName w:val="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9BEBD6" w14:textId="2A661F8E" w:rsidR="006375F5" w:rsidRDefault="006375F5" w:rsidP="006375F5"/>
  <w:p w14:paraId="6FA0511D" w14:textId="7ABE5786" w:rsidR="00E60756" w:rsidRDefault="006375F5" w:rsidP="00E60756">
    <w:r w:rsidRPr="001165F6">
      <w:rPr>
        <w:rFonts w:ascii="Arial" w:eastAsia="SimSun" w:hAnsi="Arial" w:cs="Arial"/>
        <w:snapToGrid w:val="0"/>
        <w:color w:val="000000"/>
        <w:sz w:val="16"/>
        <w:szCs w:val="16"/>
        <w:lang w:val="es-ES" w:eastAsia="zh-CN"/>
      </w:rPr>
      <w:tab/>
    </w:r>
  </w:p>
  <w:p w14:paraId="33B3797D" w14:textId="6F530219" w:rsidR="006375F5" w:rsidRPr="001165F6" w:rsidRDefault="006375F5" w:rsidP="006375F5">
    <w:pPr>
      <w:pBdr>
        <w:between w:val="nil"/>
      </w:pBdr>
      <w:tabs>
        <w:tab w:val="left" w:pos="567"/>
        <w:tab w:val="center" w:pos="4423"/>
        <w:tab w:val="right" w:pos="8845"/>
      </w:tabs>
      <w:snapToGrid w:val="0"/>
      <w:rPr>
        <w:rFonts w:ascii="Arial" w:eastAsia="Arial" w:hAnsi="Arial" w:cs="Arial"/>
        <w:snapToGrid w:val="0"/>
        <w:color w:val="000000"/>
        <w:sz w:val="16"/>
        <w:szCs w:val="16"/>
        <w:lang w:val="es-ES" w:eastAsia="zh-CN"/>
      </w:rPr>
    </w:pPr>
  </w:p>
  <w:p w14:paraId="337E3538" w14:textId="09CC88FE" w:rsidR="00AA7F96" w:rsidRPr="00AA7F96" w:rsidRDefault="005B6351" w:rsidP="00AA7F96">
    <w:pPr>
      <w:pStyle w:val="Footer"/>
      <w:rPr>
        <w:rFonts w:asciiTheme="minorBidi" w:hAnsiTheme="minorBidi"/>
        <w:sz w:val="16"/>
        <w:szCs w:val="16"/>
        <w:lang w:val="es"/>
      </w:rPr>
    </w:pPr>
    <w:r>
      <w:rPr>
        <w:rFonts w:asciiTheme="minorBidi" w:hAnsiTheme="minorBidi"/>
        <w:sz w:val="16"/>
        <w:szCs w:val="16"/>
        <w:lang w:val="es"/>
      </w:rPr>
      <w:tab/>
    </w:r>
  </w:p>
  <w:p w14:paraId="64FB8411" w14:textId="2ED655A4" w:rsidR="0040630D" w:rsidRPr="00791B56" w:rsidRDefault="0040630D" w:rsidP="0040630D">
    <w:pPr>
      <w:pStyle w:val="Footer"/>
      <w:rPr>
        <w:rFonts w:ascii="Arial" w:hAnsi="Arial" w:cs="Arial"/>
        <w:sz w:val="16"/>
        <w:szCs w:val="16"/>
      </w:rPr>
    </w:pPr>
    <w:r w:rsidRPr="00877321">
      <w:rPr>
        <w:rFonts w:ascii="Arial" w:hAnsi="Arial" w:cs="Arial"/>
        <w:sz w:val="16"/>
        <w:szCs w:val="16"/>
      </w:rPr>
      <w:tab/>
    </w:r>
    <w:r w:rsidRPr="00877321">
      <w:rPr>
        <w:rFonts w:ascii="Arial" w:hAnsi="Arial" w:cs="Arial"/>
        <w:sz w:val="16"/>
        <w:szCs w:val="16"/>
      </w:rPr>
      <w:tab/>
    </w:r>
  </w:p>
  <w:p w14:paraId="6F1581EC" w14:textId="78F8E8BB" w:rsidR="005B6351" w:rsidRPr="00A1188E" w:rsidRDefault="005B6351" w:rsidP="001639B4">
    <w:pPr>
      <w:tabs>
        <w:tab w:val="center" w:pos="4536"/>
        <w:tab w:val="right" w:pos="8820"/>
      </w:tabs>
      <w:rPr>
        <w:rFonts w:asciiTheme="minorBidi" w:hAnsiTheme="minorBidi"/>
        <w:sz w:val="16"/>
        <w:szCs w:val="16"/>
      </w:rPr>
    </w:pPr>
    <w:r>
      <w:rPr>
        <w:rFonts w:asciiTheme="minorBidi" w:hAnsiTheme="minorBidi"/>
        <w:sz w:val="16"/>
        <w:szCs w:val="16"/>
        <w:lang w:val="es"/>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B6E2FC" w14:textId="77777777" w:rsidR="00335F57" w:rsidRDefault="00335F57" w:rsidP="00335F57">
    <w:r w:rsidRPr="001165F6">
      <w:rPr>
        <w:rFonts w:ascii="Arial" w:eastAsia="SimSun" w:hAnsi="Arial" w:cs="Arial"/>
        <w:noProof/>
        <w:snapToGrid w:val="0"/>
        <w:color w:val="000000"/>
        <w:sz w:val="16"/>
        <w:szCs w:val="16"/>
        <w:lang w:val="en-GB" w:eastAsia="zh-CN"/>
      </w:rPr>
      <w:drawing>
        <wp:anchor distT="0" distB="0" distL="114300" distR="114300" simplePos="0" relativeHeight="251671552" behindDoc="0" locked="0" layoutInCell="1" allowOverlap="1" wp14:anchorId="4E1EDB14" wp14:editId="0A6037A5">
          <wp:simplePos x="0" y="0"/>
          <wp:positionH relativeFrom="column">
            <wp:posOffset>4842510</wp:posOffset>
          </wp:positionH>
          <wp:positionV relativeFrom="page">
            <wp:posOffset>9170670</wp:posOffset>
          </wp:positionV>
          <wp:extent cx="750570" cy="457200"/>
          <wp:effectExtent l="0" t="0" r="0" b="0"/>
          <wp:wrapSquare wrapText="bothSides"/>
          <wp:docPr id="1147730901" name="Picture 2" descr="A black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46344" name="Picture 2" descr="A black and white logo&#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0570" cy="457200"/>
                  </a:xfrm>
                  <a:prstGeom prst="rect">
                    <a:avLst/>
                  </a:prstGeom>
                  <a:noFill/>
                  <a:ln>
                    <a:noFill/>
                  </a:ln>
                </pic:spPr>
              </pic:pic>
            </a:graphicData>
          </a:graphic>
        </wp:anchor>
      </w:drawing>
    </w:r>
  </w:p>
  <w:p w14:paraId="392EA93A" w14:textId="77777777" w:rsidR="00335F57" w:rsidRPr="00E60756" w:rsidRDefault="00335F57" w:rsidP="00335F57">
    <w:pPr>
      <w:rPr>
        <w:rFonts w:ascii="Arial" w:eastAsia="SimSun" w:hAnsi="Arial" w:cs="Arial"/>
        <w:snapToGrid w:val="0"/>
        <w:color w:val="000000"/>
        <w:sz w:val="16"/>
        <w:szCs w:val="16"/>
        <w:lang w:val="es-ES" w:eastAsia="zh-CN"/>
      </w:rPr>
    </w:pPr>
    <w:r w:rsidRPr="001165F6">
      <w:rPr>
        <w:rFonts w:ascii="Arial" w:eastAsia="SimSun" w:hAnsi="Arial" w:cs="Arial"/>
        <w:snapToGrid w:val="0"/>
        <w:color w:val="000000"/>
        <w:sz w:val="16"/>
        <w:szCs w:val="16"/>
        <w:lang w:val="es-ES" w:eastAsia="zh-CN"/>
      </w:rPr>
      <w:t>U</w:t>
    </w:r>
    <w:r>
      <w:rPr>
        <w:rFonts w:ascii="Arial" w:eastAsia="SimSun" w:hAnsi="Arial" w:cs="Arial"/>
        <w:snapToGrid w:val="0"/>
        <w:color w:val="000000"/>
        <w:sz w:val="16"/>
        <w:szCs w:val="16"/>
        <w:lang w:val="es-ES" w:eastAsia="zh-CN"/>
      </w:rPr>
      <w:t>C</w:t>
    </w:r>
    <w:r w:rsidRPr="001165F6">
      <w:rPr>
        <w:rFonts w:ascii="Arial" w:eastAsia="SimSun" w:hAnsi="Arial" w:cs="Arial"/>
        <w:snapToGrid w:val="0"/>
        <w:color w:val="000000"/>
        <w:sz w:val="16"/>
        <w:szCs w:val="16"/>
        <w:lang w:val="es-ES" w:eastAsia="zh-CN"/>
      </w:rPr>
      <w:t>-v1.0-</w:t>
    </w:r>
    <w:r>
      <w:rPr>
        <w:rFonts w:ascii="Arial" w:eastAsia="SimSun" w:hAnsi="Arial" w:cs="Arial"/>
        <w:snapToGrid w:val="0"/>
        <w:color w:val="000000"/>
        <w:sz w:val="16"/>
        <w:szCs w:val="16"/>
        <w:lang w:val="es-ES" w:eastAsia="zh-CN"/>
      </w:rPr>
      <w:t>CS4</w:t>
    </w:r>
    <w:r w:rsidRPr="001165F6">
      <w:rPr>
        <w:rFonts w:ascii="Arial" w:eastAsia="SimSun" w:hAnsi="Arial" w:cs="Arial"/>
        <w:snapToGrid w:val="0"/>
        <w:color w:val="000000"/>
        <w:sz w:val="16"/>
        <w:szCs w:val="16"/>
        <w:lang w:val="es-ES" w:eastAsia="zh-CN"/>
      </w:rPr>
      <w:t>-ES</w:t>
    </w:r>
    <w:r>
      <w:rPr>
        <w:rFonts w:ascii="Arial" w:eastAsia="SimSun" w:hAnsi="Arial" w:cs="Arial"/>
        <w:snapToGrid w:val="0"/>
        <w:color w:val="000000"/>
        <w:sz w:val="16"/>
        <w:szCs w:val="16"/>
        <w:lang w:val="es-ES" w:eastAsia="zh-CN"/>
      </w:rPr>
      <w:t xml:space="preserve">                    </w:t>
    </w:r>
    <w:r w:rsidRPr="001165F6">
      <w:rPr>
        <w:rFonts w:ascii="Arial" w:eastAsia="SimSun" w:hAnsi="Arial" w:cs="Arial"/>
        <w:snapToGrid w:val="0"/>
        <w:color w:val="000000"/>
        <w:sz w:val="16"/>
        <w:szCs w:val="16"/>
        <w:lang w:val="es-ES" w:eastAsia="zh-CN"/>
      </w:rPr>
      <w:tab/>
      <w:t>© UNESCO - Prohibida su reproducción sin autorizació</w:t>
    </w:r>
    <w:r>
      <w:rPr>
        <w:rFonts w:ascii="Arial" w:eastAsia="SimSun" w:hAnsi="Arial" w:cs="Arial"/>
        <w:snapToGrid w:val="0"/>
        <w:color w:val="000000"/>
        <w:sz w:val="16"/>
        <w:szCs w:val="16"/>
        <w:lang w:val="es-ES" w:eastAsia="zh-CN"/>
      </w:rPr>
      <w:t>n</w:t>
    </w:r>
  </w:p>
  <w:p w14:paraId="00230CBD" w14:textId="7AA7E23C" w:rsidR="005B6351" w:rsidRPr="00E93351" w:rsidRDefault="005B6351" w:rsidP="00E93351">
    <w:pPr>
      <w:tabs>
        <w:tab w:val="center" w:pos="4536"/>
        <w:tab w:val="right" w:pos="9072"/>
      </w:tabs>
      <w:snapToGrid w:val="0"/>
      <w:spacing w:before="120" w:after="120"/>
      <w:jc w:val="both"/>
      <w:rPr>
        <w:rFonts w:ascii="Arial" w:eastAsia="SimSun" w:hAnsi="Arial" w:cs="Times New Roman"/>
        <w:noProof/>
        <w:sz w:val="16"/>
        <w:szCs w:val="16"/>
      </w:rPr>
    </w:pPr>
    <w:r>
      <w:rPr>
        <w:lang w:val="es"/>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6108EB" w14:textId="77777777" w:rsidR="0040630D" w:rsidRDefault="0040630D" w:rsidP="0040630D">
    <w:pPr>
      <w:pStyle w:val="Footer"/>
      <w:rPr>
        <w:rFonts w:ascii="Arial" w:hAnsi="Arial" w:cs="Arial"/>
        <w:sz w:val="16"/>
        <w:szCs w:val="16"/>
      </w:rPr>
    </w:pPr>
  </w:p>
  <w:p w14:paraId="7D5523BA" w14:textId="77777777" w:rsidR="00E60756" w:rsidRDefault="00E60756" w:rsidP="00E60756">
    <w:r w:rsidRPr="001165F6">
      <w:rPr>
        <w:rFonts w:ascii="Arial" w:eastAsia="SimSun" w:hAnsi="Arial" w:cs="Arial"/>
        <w:noProof/>
        <w:snapToGrid w:val="0"/>
        <w:color w:val="000000"/>
        <w:sz w:val="16"/>
        <w:szCs w:val="16"/>
        <w:lang w:val="en-GB" w:eastAsia="zh-CN"/>
      </w:rPr>
      <w:drawing>
        <wp:anchor distT="0" distB="0" distL="114300" distR="114300" simplePos="0" relativeHeight="251665408" behindDoc="0" locked="0" layoutInCell="1" allowOverlap="1" wp14:anchorId="6BCF849A" wp14:editId="3934A2CE">
          <wp:simplePos x="0" y="0"/>
          <wp:positionH relativeFrom="column">
            <wp:posOffset>4885055</wp:posOffset>
          </wp:positionH>
          <wp:positionV relativeFrom="page">
            <wp:posOffset>8840894</wp:posOffset>
          </wp:positionV>
          <wp:extent cx="750570" cy="457200"/>
          <wp:effectExtent l="0" t="0" r="0" b="0"/>
          <wp:wrapSquare wrapText="bothSides"/>
          <wp:docPr id="1892779598" name="Picture 2" descr="A black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46344" name="Picture 2" descr="A black and white logo&#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0570" cy="457200"/>
                  </a:xfrm>
                  <a:prstGeom prst="rect">
                    <a:avLst/>
                  </a:prstGeom>
                  <a:noFill/>
                  <a:ln>
                    <a:noFill/>
                  </a:ln>
                </pic:spPr>
              </pic:pic>
            </a:graphicData>
          </a:graphic>
        </wp:anchor>
      </w:drawing>
    </w:r>
  </w:p>
  <w:p w14:paraId="2869E929" w14:textId="1B798632" w:rsidR="006375F5" w:rsidRPr="00E60756" w:rsidRDefault="00E60756" w:rsidP="00E60756">
    <w:pPr>
      <w:rPr>
        <w:rFonts w:ascii="Arial" w:eastAsia="SimSun" w:hAnsi="Arial" w:cs="Arial"/>
        <w:snapToGrid w:val="0"/>
        <w:color w:val="000000"/>
        <w:sz w:val="16"/>
        <w:szCs w:val="16"/>
        <w:lang w:val="es-ES" w:eastAsia="zh-CN"/>
      </w:rPr>
    </w:pPr>
    <w:r w:rsidRPr="001165F6">
      <w:rPr>
        <w:rFonts w:ascii="Arial" w:eastAsia="SimSun" w:hAnsi="Arial" w:cs="Arial"/>
        <w:snapToGrid w:val="0"/>
        <w:color w:val="000000"/>
        <w:sz w:val="16"/>
        <w:szCs w:val="16"/>
        <w:lang w:val="es-ES" w:eastAsia="zh-CN"/>
      </w:rPr>
      <w:t>U</w:t>
    </w:r>
    <w:r>
      <w:rPr>
        <w:rFonts w:ascii="Arial" w:eastAsia="SimSun" w:hAnsi="Arial" w:cs="Arial"/>
        <w:snapToGrid w:val="0"/>
        <w:color w:val="000000"/>
        <w:sz w:val="16"/>
        <w:szCs w:val="16"/>
        <w:lang w:val="es-ES" w:eastAsia="zh-CN"/>
      </w:rPr>
      <w:t>C</w:t>
    </w:r>
    <w:r w:rsidRPr="001165F6">
      <w:rPr>
        <w:rFonts w:ascii="Arial" w:eastAsia="SimSun" w:hAnsi="Arial" w:cs="Arial"/>
        <w:snapToGrid w:val="0"/>
        <w:color w:val="000000"/>
        <w:sz w:val="16"/>
        <w:szCs w:val="16"/>
        <w:lang w:val="es-ES" w:eastAsia="zh-CN"/>
      </w:rPr>
      <w:t>-v1.0-</w:t>
    </w:r>
    <w:r>
      <w:rPr>
        <w:rFonts w:ascii="Arial" w:eastAsia="SimSun" w:hAnsi="Arial" w:cs="Arial"/>
        <w:snapToGrid w:val="0"/>
        <w:color w:val="000000"/>
        <w:sz w:val="16"/>
        <w:szCs w:val="16"/>
        <w:lang w:val="es-ES" w:eastAsia="zh-CN"/>
      </w:rPr>
      <w:t>CS</w:t>
    </w:r>
    <w:r>
      <w:rPr>
        <w:rFonts w:ascii="Arial" w:eastAsia="SimSun" w:hAnsi="Arial" w:cs="Arial"/>
        <w:snapToGrid w:val="0"/>
        <w:color w:val="000000"/>
        <w:sz w:val="16"/>
        <w:szCs w:val="16"/>
        <w:lang w:val="es-ES" w:eastAsia="zh-CN"/>
      </w:rPr>
      <w:t>4</w:t>
    </w:r>
    <w:r w:rsidRPr="001165F6">
      <w:rPr>
        <w:rFonts w:ascii="Arial" w:eastAsia="SimSun" w:hAnsi="Arial" w:cs="Arial"/>
        <w:snapToGrid w:val="0"/>
        <w:color w:val="000000"/>
        <w:sz w:val="16"/>
        <w:szCs w:val="16"/>
        <w:lang w:val="es-ES" w:eastAsia="zh-CN"/>
      </w:rPr>
      <w:t>-ES</w:t>
    </w:r>
    <w:r>
      <w:rPr>
        <w:rFonts w:ascii="Arial" w:eastAsia="SimSun" w:hAnsi="Arial" w:cs="Arial"/>
        <w:snapToGrid w:val="0"/>
        <w:color w:val="000000"/>
        <w:sz w:val="16"/>
        <w:szCs w:val="16"/>
        <w:lang w:val="es-ES" w:eastAsia="zh-CN"/>
      </w:rPr>
      <w:t xml:space="preserve">                    </w:t>
    </w:r>
    <w:r w:rsidRPr="001165F6">
      <w:rPr>
        <w:rFonts w:ascii="Arial" w:eastAsia="SimSun" w:hAnsi="Arial" w:cs="Arial"/>
        <w:snapToGrid w:val="0"/>
        <w:color w:val="000000"/>
        <w:sz w:val="16"/>
        <w:szCs w:val="16"/>
        <w:lang w:val="es-ES" w:eastAsia="zh-CN"/>
      </w:rPr>
      <w:tab/>
      <w:t>© UNESCO - Prohibida su reproducción sin autorizació</w:t>
    </w:r>
    <w:r>
      <w:rPr>
        <w:rFonts w:ascii="Arial" w:eastAsia="SimSun" w:hAnsi="Arial" w:cs="Arial"/>
        <w:snapToGrid w:val="0"/>
        <w:color w:val="000000"/>
        <w:sz w:val="16"/>
        <w:szCs w:val="16"/>
        <w:lang w:val="es-ES" w:eastAsia="zh-CN"/>
      </w:rPr>
      <w:t>n</w:t>
    </w:r>
  </w:p>
  <w:p w14:paraId="02228637" w14:textId="17F9C1C6" w:rsidR="006375F5" w:rsidRPr="001165F6" w:rsidRDefault="006375F5" w:rsidP="006375F5">
    <w:pPr>
      <w:pBdr>
        <w:between w:val="nil"/>
      </w:pBdr>
      <w:tabs>
        <w:tab w:val="left" w:pos="567"/>
        <w:tab w:val="center" w:pos="4423"/>
        <w:tab w:val="right" w:pos="8845"/>
      </w:tabs>
      <w:snapToGrid w:val="0"/>
      <w:rPr>
        <w:rFonts w:ascii="Arial" w:eastAsia="Arial" w:hAnsi="Arial" w:cs="Arial"/>
        <w:snapToGrid w:val="0"/>
        <w:color w:val="000000"/>
        <w:sz w:val="16"/>
        <w:szCs w:val="16"/>
        <w:lang w:val="es-ES" w:eastAsia="zh-CN"/>
      </w:rPr>
    </w:pPr>
    <w:r w:rsidRPr="001165F6">
      <w:rPr>
        <w:rFonts w:ascii="Arial" w:eastAsia="SimSun" w:hAnsi="Arial" w:cs="Arial"/>
        <w:snapToGrid w:val="0"/>
        <w:color w:val="000000"/>
        <w:sz w:val="16"/>
        <w:szCs w:val="16"/>
        <w:lang w:val="es-ES" w:eastAsia="zh-CN"/>
      </w:rPr>
      <w:tab/>
    </w:r>
  </w:p>
  <w:p w14:paraId="28192B50" w14:textId="638B980D" w:rsidR="0040630D" w:rsidRPr="00791B56" w:rsidRDefault="0040630D" w:rsidP="0040630D">
    <w:pPr>
      <w:pStyle w:val="Footer"/>
      <w:rPr>
        <w:rFonts w:ascii="Arial" w:hAnsi="Arial" w:cs="Arial"/>
        <w:sz w:val="16"/>
        <w:szCs w:val="16"/>
      </w:rPr>
    </w:pPr>
    <w:r w:rsidRPr="00877321">
      <w:rPr>
        <w:rFonts w:ascii="Arial" w:hAnsi="Arial" w:cs="Arial"/>
        <w:sz w:val="16"/>
        <w:szCs w:val="16"/>
      </w:rPr>
      <w:tab/>
    </w:r>
    <w:r w:rsidRPr="00877321">
      <w:rPr>
        <w:rFonts w:ascii="Arial" w:hAnsi="Arial" w:cs="Arial"/>
        <w:sz w:val="16"/>
        <w:szCs w:val="16"/>
      </w:rPr>
      <w:tab/>
    </w:r>
  </w:p>
  <w:p w14:paraId="689F529C" w14:textId="2F1FD2A8" w:rsidR="0040630D" w:rsidRDefault="0040630D" w:rsidP="0040630D">
    <w:pPr>
      <w:pStyle w:val="Footer"/>
    </w:pPr>
  </w:p>
  <w:p w14:paraId="43310D81" w14:textId="77777777" w:rsidR="0040630D" w:rsidRPr="007C1312" w:rsidRDefault="0040630D" w:rsidP="0040630D">
    <w:pPr>
      <w:tabs>
        <w:tab w:val="center" w:pos="4536"/>
        <w:tab w:val="right" w:pos="9072"/>
      </w:tabs>
      <w:rPr>
        <w:rFonts w:ascii="Arial" w:hAnsi="Arial" w:cs="Arial"/>
        <w:sz w:val="16"/>
        <w:szCs w:val="16"/>
      </w:rPr>
    </w:pPr>
    <w:r>
      <w:rPr>
        <w:rFonts w:asciiTheme="minorBidi" w:hAnsiTheme="minorBidi"/>
        <w:sz w:val="16"/>
        <w:szCs w:val="16"/>
        <w:lang w:val="es"/>
      </w:rPr>
      <w:tab/>
    </w:r>
  </w:p>
  <w:p w14:paraId="517F6CC6" w14:textId="3C29BBDF" w:rsidR="005B6351" w:rsidRPr="007C1312" w:rsidRDefault="00C06CDE" w:rsidP="00C06CDE">
    <w:pPr>
      <w:tabs>
        <w:tab w:val="center" w:pos="4536"/>
        <w:tab w:val="right" w:pos="9072"/>
      </w:tabs>
      <w:rPr>
        <w:rFonts w:ascii="Arial" w:hAnsi="Arial" w:cs="Arial"/>
        <w:sz w:val="16"/>
        <w:szCs w:val="16"/>
      </w:rPr>
    </w:pPr>
    <w:r>
      <w:rPr>
        <w:lang w:val="es"/>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B07476" w14:textId="77777777" w:rsidR="000E5031" w:rsidRDefault="000E5031" w:rsidP="00DF3895">
      <w:r>
        <w:separator/>
      </w:r>
    </w:p>
  </w:footnote>
  <w:footnote w:type="continuationSeparator" w:id="0">
    <w:p w14:paraId="74DBA442" w14:textId="77777777" w:rsidR="000E5031" w:rsidRDefault="000E5031" w:rsidP="00DF38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EC2395" w14:textId="7078CAF1" w:rsidR="00E60756" w:rsidRPr="00E60756" w:rsidRDefault="00E60756" w:rsidP="00E60756">
    <w:pPr>
      <w:pStyle w:val="Header"/>
      <w:ind w:right="360"/>
      <w:rPr>
        <w:rFonts w:ascii="Arial" w:hAnsi="Arial"/>
        <w:sz w:val="16"/>
        <w:szCs w:val="16"/>
        <w:lang w:val="en-US"/>
      </w:rPr>
    </w:pPr>
    <w:r w:rsidRPr="00E44852">
      <w:rPr>
        <w:rFonts w:ascii="Arial" w:hAnsi="Arial"/>
        <w:sz w:val="16"/>
        <w:szCs w:val="16"/>
        <w:lang w:val="en-US"/>
      </w:rPr>
      <w:t>LHE/25/PRO URB-1/6</w:t>
    </w:r>
  </w:p>
  <w:p w14:paraId="61EA02C3" w14:textId="19E7C137" w:rsidR="0040630D" w:rsidRPr="0040630D" w:rsidRDefault="0040630D" w:rsidP="0040630D">
    <w:pPr>
      <w:pStyle w:val="Header"/>
      <w:ind w:right="680"/>
      <w:rPr>
        <w:rFonts w:asciiTheme="minorBidi" w:hAnsiTheme="minorBidi"/>
        <w:sz w:val="16"/>
        <w:szCs w:val="16"/>
        <w:lang w:val="es-ES"/>
      </w:rPr>
    </w:pPr>
    <w:r w:rsidRPr="0040630D">
      <w:rPr>
        <w:rFonts w:asciiTheme="minorBidi" w:hAnsiTheme="minorBidi"/>
        <w:sz w:val="16"/>
        <w:szCs w:val="16"/>
        <w:lang w:val="es-ES"/>
      </w:rPr>
      <w:t>Unidad 3: Abordaje práctico para</w:t>
    </w:r>
    <w:r>
      <w:rPr>
        <w:rFonts w:asciiTheme="minorBidi" w:hAnsiTheme="minorBidi"/>
        <w:sz w:val="16"/>
        <w:szCs w:val="16"/>
        <w:lang w:val="es-ES"/>
      </w:rPr>
      <w:t xml:space="preserve"> la salvaguardia del patrimonio vivo en contextos urbanos </w:t>
    </w:r>
    <w:r w:rsidRPr="0040630D">
      <w:rPr>
        <w:rFonts w:asciiTheme="minorBidi" w:hAnsiTheme="minorBidi"/>
        <w:sz w:val="16"/>
        <w:szCs w:val="16"/>
        <w:lang w:val="es-ES"/>
      </w:rPr>
      <w:t xml:space="preserve">      </w:t>
    </w:r>
    <w:r>
      <w:rPr>
        <w:rFonts w:asciiTheme="minorBidi" w:hAnsiTheme="minorBidi"/>
        <w:sz w:val="16"/>
        <w:szCs w:val="16"/>
        <w:lang w:val="es-ES"/>
      </w:rPr>
      <w:t xml:space="preserve">   Caso de estudio 4 </w:t>
    </w:r>
  </w:p>
  <w:p w14:paraId="2C2309AB" w14:textId="5B4F2EA0" w:rsidR="005B6351" w:rsidRPr="0040630D" w:rsidRDefault="005B6351" w:rsidP="00A61186">
    <w:pPr>
      <w:pStyle w:val="Header"/>
      <w:ind w:right="360"/>
      <w:rPr>
        <w:rFonts w:asciiTheme="minorBidi" w:hAnsiTheme="minorBidi"/>
        <w:sz w:val="16"/>
        <w:szCs w:val="16"/>
        <w:lang w:val="es-E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B8D937" w14:textId="77777777" w:rsidR="00694B40" w:rsidRPr="00694B40" w:rsidRDefault="00694B40" w:rsidP="00694B40">
    <w:pPr>
      <w:pStyle w:val="Header"/>
      <w:ind w:right="360"/>
      <w:rPr>
        <w:rFonts w:ascii="Arial" w:hAnsi="Arial"/>
        <w:sz w:val="16"/>
        <w:szCs w:val="16"/>
        <w:lang w:val="es-ES"/>
      </w:rPr>
    </w:pPr>
    <w:r w:rsidRPr="00694B40">
      <w:rPr>
        <w:rFonts w:ascii="Arial" w:hAnsi="Arial"/>
        <w:sz w:val="16"/>
        <w:szCs w:val="16"/>
        <w:lang w:val="es-ES"/>
      </w:rPr>
      <w:t>LHE/25/PRO URB-1/6</w:t>
    </w:r>
  </w:p>
  <w:p w14:paraId="2B71B334" w14:textId="77777777" w:rsidR="00694B40" w:rsidRPr="0040630D" w:rsidRDefault="00694B40" w:rsidP="00694B40">
    <w:pPr>
      <w:pStyle w:val="Header"/>
      <w:ind w:right="680"/>
      <w:rPr>
        <w:rFonts w:asciiTheme="minorBidi" w:hAnsiTheme="minorBidi"/>
        <w:sz w:val="16"/>
        <w:szCs w:val="16"/>
        <w:lang w:val="es-ES"/>
      </w:rPr>
    </w:pPr>
    <w:r w:rsidRPr="0040630D">
      <w:rPr>
        <w:rFonts w:asciiTheme="minorBidi" w:hAnsiTheme="minorBidi"/>
        <w:sz w:val="16"/>
        <w:szCs w:val="16"/>
        <w:lang w:val="es-ES"/>
      </w:rPr>
      <w:t>Unidad 3: Abordaje práctico para</w:t>
    </w:r>
    <w:r>
      <w:rPr>
        <w:rFonts w:asciiTheme="minorBidi" w:hAnsiTheme="minorBidi"/>
        <w:sz w:val="16"/>
        <w:szCs w:val="16"/>
        <w:lang w:val="es-ES"/>
      </w:rPr>
      <w:t xml:space="preserve"> la salvaguardia del patrimonio vivo en contextos urbanos </w:t>
    </w:r>
    <w:r w:rsidRPr="0040630D">
      <w:rPr>
        <w:rFonts w:asciiTheme="minorBidi" w:hAnsiTheme="minorBidi"/>
        <w:sz w:val="16"/>
        <w:szCs w:val="16"/>
        <w:lang w:val="es-ES"/>
      </w:rPr>
      <w:t xml:space="preserve">      </w:t>
    </w:r>
    <w:r>
      <w:rPr>
        <w:rFonts w:asciiTheme="minorBidi" w:hAnsiTheme="minorBidi"/>
        <w:sz w:val="16"/>
        <w:szCs w:val="16"/>
        <w:lang w:val="es-ES"/>
      </w:rPr>
      <w:t xml:space="preserve">   Caso de estudio 4 </w:t>
    </w:r>
  </w:p>
  <w:p w14:paraId="6EDF5494" w14:textId="2A916B5E" w:rsidR="0040630D" w:rsidRPr="006375F5" w:rsidRDefault="0040630D" w:rsidP="00694B40">
    <w:pPr>
      <w:tabs>
        <w:tab w:val="left" w:pos="567"/>
      </w:tabs>
      <w:snapToGrid w:val="0"/>
      <w:spacing w:before="120" w:after="120"/>
      <w:ind w:right="330"/>
      <w:contextualSpacing/>
      <w:jc w:val="right"/>
      <w:rPr>
        <w:rFonts w:ascii="Arial" w:eastAsia="SimSun" w:hAnsi="Arial" w:cs="Arial"/>
        <w:b/>
        <w:snapToGrid w:val="0"/>
        <w:sz w:val="22"/>
        <w:szCs w:val="22"/>
        <w:lang w:val="es-ES" w:eastAsia="zh-CN"/>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FD6BE" w14:textId="77777777" w:rsidR="00335F57" w:rsidRDefault="00335F57" w:rsidP="00335F57">
    <w:r w:rsidRPr="001165F6">
      <w:rPr>
        <w:rFonts w:ascii="Arial" w:eastAsia="SimSun" w:hAnsi="Arial" w:cs="Arial"/>
        <w:noProof/>
        <w:snapToGrid w:val="0"/>
        <w:sz w:val="22"/>
        <w:szCs w:val="22"/>
        <w:lang w:val="en-GB" w:eastAsia="zh-CN"/>
      </w:rPr>
      <w:drawing>
        <wp:anchor distT="0" distB="0" distL="114300" distR="114300" simplePos="0" relativeHeight="251669504" behindDoc="0" locked="0" layoutInCell="1" allowOverlap="1" wp14:anchorId="16EF8FCD" wp14:editId="7F6C7772">
          <wp:simplePos x="0" y="0"/>
          <wp:positionH relativeFrom="column">
            <wp:posOffset>-11430</wp:posOffset>
          </wp:positionH>
          <wp:positionV relativeFrom="paragraph">
            <wp:posOffset>165100</wp:posOffset>
          </wp:positionV>
          <wp:extent cx="1668780" cy="1311910"/>
          <wp:effectExtent l="0" t="0" r="7620" b="2540"/>
          <wp:wrapSquare wrapText="bothSides"/>
          <wp:docPr id="1076486174" name="Picture 1" descr="A blue and white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6486174" name="Picture 1" descr="A blue and white logo&#10;&#10;AI-generated content may be incorrec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8780" cy="13119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A6DFA88" w14:textId="77777777" w:rsidR="00335F57" w:rsidRPr="00197E20" w:rsidRDefault="00335F57" w:rsidP="00335F57">
    <w:pPr>
      <w:tabs>
        <w:tab w:val="left" w:pos="567"/>
      </w:tabs>
      <w:snapToGrid w:val="0"/>
      <w:spacing w:before="120" w:after="120"/>
      <w:jc w:val="right"/>
      <w:rPr>
        <w:rFonts w:ascii="Arial" w:eastAsia="SimSun" w:hAnsi="Arial" w:cs="Arial"/>
        <w:snapToGrid w:val="0"/>
        <w:sz w:val="22"/>
        <w:lang w:val="en-US" w:eastAsia="zh-CN"/>
      </w:rPr>
    </w:pPr>
    <w:r w:rsidRPr="00197E20">
      <w:rPr>
        <w:rFonts w:ascii="Arial" w:eastAsia="SimSun" w:hAnsi="Arial" w:cs="Arial"/>
        <w:b/>
        <w:snapToGrid w:val="0"/>
        <w:sz w:val="44"/>
        <w:szCs w:val="44"/>
        <w:lang w:val="pt-PT" w:eastAsia="zh-CN"/>
      </w:rPr>
      <w:t>PRO URB</w:t>
    </w:r>
  </w:p>
  <w:p w14:paraId="18312680" w14:textId="77777777" w:rsidR="00335F57" w:rsidRPr="00197E20" w:rsidRDefault="00335F57" w:rsidP="00335F57">
    <w:pPr>
      <w:tabs>
        <w:tab w:val="left" w:pos="567"/>
      </w:tabs>
      <w:snapToGrid w:val="0"/>
      <w:spacing w:before="120" w:after="120"/>
      <w:ind w:right="220"/>
      <w:jc w:val="right"/>
      <w:rPr>
        <w:rFonts w:ascii="Arial" w:eastAsia="SimSun" w:hAnsi="Arial" w:cs="Arial"/>
        <w:snapToGrid w:val="0"/>
        <w:sz w:val="22"/>
        <w:lang w:val="en-US" w:eastAsia="zh-CN"/>
      </w:rPr>
    </w:pPr>
  </w:p>
  <w:p w14:paraId="309EAFFA" w14:textId="77777777" w:rsidR="00335F57" w:rsidRPr="00197E20" w:rsidRDefault="00335F57" w:rsidP="00335F57">
    <w:pPr>
      <w:tabs>
        <w:tab w:val="left" w:pos="567"/>
      </w:tabs>
      <w:snapToGrid w:val="0"/>
      <w:spacing w:before="120" w:after="120"/>
      <w:contextualSpacing/>
      <w:jc w:val="right"/>
      <w:rPr>
        <w:rFonts w:ascii="Arial" w:eastAsia="SimSun" w:hAnsi="Arial" w:cs="Arial"/>
        <w:b/>
        <w:snapToGrid w:val="0"/>
        <w:sz w:val="22"/>
        <w:szCs w:val="22"/>
        <w:lang w:val="en-US" w:eastAsia="zh-CN"/>
      </w:rPr>
    </w:pPr>
    <w:bookmarkStart w:id="7" w:name="_Hlk191396793"/>
  </w:p>
  <w:bookmarkEnd w:id="7"/>
  <w:p w14:paraId="52D1DB7E" w14:textId="77777777" w:rsidR="00335F57" w:rsidRPr="001165F6" w:rsidRDefault="00335F57" w:rsidP="00335F57">
    <w:pPr>
      <w:tabs>
        <w:tab w:val="left" w:pos="567"/>
      </w:tabs>
      <w:snapToGrid w:val="0"/>
      <w:spacing w:before="120" w:after="120"/>
      <w:contextualSpacing/>
      <w:jc w:val="right"/>
      <w:rPr>
        <w:rFonts w:ascii="Arial" w:eastAsia="SimSun" w:hAnsi="Arial" w:cs="Arial"/>
        <w:b/>
        <w:snapToGrid w:val="0"/>
        <w:sz w:val="22"/>
        <w:szCs w:val="22"/>
        <w:lang w:val="pt-PT" w:eastAsia="zh-CN"/>
      </w:rPr>
    </w:pPr>
    <w:r w:rsidRPr="001165F6">
      <w:rPr>
        <w:rFonts w:ascii="Arial" w:eastAsia="SimSun" w:hAnsi="Arial" w:cs="Arial"/>
        <w:b/>
        <w:snapToGrid w:val="0"/>
        <w:sz w:val="22"/>
        <w:szCs w:val="22"/>
        <w:lang w:val="pt-PT" w:eastAsia="zh-CN"/>
      </w:rPr>
      <w:t>LHE/25/</w:t>
    </w:r>
    <w:bookmarkStart w:id="8" w:name="_Hlk94624970"/>
    <w:r w:rsidRPr="001165F6">
      <w:rPr>
        <w:rFonts w:ascii="Arial" w:eastAsia="SimSun" w:hAnsi="Arial" w:cs="Arial"/>
        <w:b/>
        <w:snapToGrid w:val="0"/>
        <w:sz w:val="22"/>
        <w:szCs w:val="22"/>
        <w:lang w:val="pt-PT" w:eastAsia="zh-CN"/>
      </w:rPr>
      <w:t>PRO URB/</w:t>
    </w:r>
    <w:r>
      <w:rPr>
        <w:rFonts w:ascii="Arial" w:eastAsia="SimSun" w:hAnsi="Arial" w:cs="Arial"/>
        <w:b/>
        <w:snapToGrid w:val="0"/>
        <w:sz w:val="22"/>
        <w:szCs w:val="22"/>
        <w:lang w:val="pt-PT" w:eastAsia="zh-CN"/>
      </w:rPr>
      <w:t>6</w:t>
    </w:r>
  </w:p>
  <w:bookmarkEnd w:id="8"/>
  <w:p w14:paraId="57DE4A29" w14:textId="77777777" w:rsidR="00335F57" w:rsidRPr="001165F6" w:rsidRDefault="00335F57" w:rsidP="00335F57">
    <w:pPr>
      <w:tabs>
        <w:tab w:val="left" w:pos="567"/>
      </w:tabs>
      <w:snapToGrid w:val="0"/>
      <w:spacing w:before="120" w:after="120"/>
      <w:contextualSpacing/>
      <w:jc w:val="right"/>
      <w:rPr>
        <w:rFonts w:ascii="Arial" w:eastAsia="SimSun" w:hAnsi="Arial" w:cs="Arial"/>
        <w:b/>
        <w:snapToGrid w:val="0"/>
        <w:sz w:val="22"/>
        <w:szCs w:val="22"/>
        <w:lang w:val="pt-PT" w:eastAsia="ko-KR"/>
      </w:rPr>
    </w:pPr>
    <w:r w:rsidRPr="001165F6">
      <w:rPr>
        <w:rFonts w:ascii="Arial" w:eastAsia="SimSun" w:hAnsi="Arial" w:cs="Arial"/>
        <w:b/>
        <w:snapToGrid w:val="0"/>
        <w:sz w:val="22"/>
        <w:szCs w:val="22"/>
        <w:lang w:val="pt-PT" w:eastAsia="zh-CN"/>
      </w:rPr>
      <w:t xml:space="preserve">París, </w:t>
    </w:r>
    <w:r>
      <w:rPr>
        <w:rFonts w:ascii="Arial" w:eastAsia="SimSun" w:hAnsi="Arial" w:cs="Arial"/>
        <w:b/>
        <w:snapToGrid w:val="0"/>
        <w:sz w:val="22"/>
        <w:szCs w:val="22"/>
        <w:lang w:val="pt-PT" w:eastAsia="zh-CN"/>
      </w:rPr>
      <w:t>1 de abril</w:t>
    </w:r>
    <w:r w:rsidRPr="001165F6">
      <w:rPr>
        <w:rFonts w:ascii="Arial" w:eastAsia="SimSun" w:hAnsi="Arial" w:cs="Arial"/>
        <w:b/>
        <w:snapToGrid w:val="0"/>
        <w:sz w:val="22"/>
        <w:szCs w:val="22"/>
        <w:lang w:val="pt-PT" w:eastAsia="zh-CN"/>
      </w:rPr>
      <w:t xml:space="preserve"> de 2025</w:t>
    </w:r>
  </w:p>
  <w:p w14:paraId="05CFFB7D" w14:textId="77777777" w:rsidR="00335F57" w:rsidRPr="0081694E" w:rsidRDefault="00335F57" w:rsidP="00335F57">
    <w:pPr>
      <w:tabs>
        <w:tab w:val="left" w:pos="567"/>
      </w:tabs>
      <w:snapToGrid w:val="0"/>
      <w:spacing w:before="120" w:after="120"/>
      <w:contextualSpacing/>
      <w:jc w:val="right"/>
      <w:rPr>
        <w:rFonts w:ascii="Arial" w:eastAsia="SimSun" w:hAnsi="Arial" w:cs="Arial"/>
        <w:b/>
        <w:snapToGrid w:val="0"/>
        <w:sz w:val="22"/>
        <w:szCs w:val="22"/>
        <w:lang w:val="es-ES" w:eastAsia="zh-CN"/>
      </w:rPr>
    </w:pPr>
    <w:r w:rsidRPr="001165F6">
      <w:rPr>
        <w:rFonts w:ascii="Arial" w:eastAsia="SimSun" w:hAnsi="Arial" w:cs="Arial"/>
        <w:b/>
        <w:snapToGrid w:val="0"/>
        <w:sz w:val="22"/>
        <w:szCs w:val="22"/>
        <w:lang w:val="es-ES" w:eastAsia="zh-CN"/>
      </w:rPr>
      <w:t>Original: Inglé</w:t>
    </w:r>
    <w:r>
      <w:rPr>
        <w:rFonts w:ascii="Arial" w:eastAsia="SimSun" w:hAnsi="Arial" w:cs="Arial"/>
        <w:b/>
        <w:snapToGrid w:val="0"/>
        <w:sz w:val="22"/>
        <w:szCs w:val="22"/>
        <w:lang w:val="es-ES" w:eastAsia="zh-CN"/>
      </w:rPr>
      <w:t>s</w:t>
    </w:r>
  </w:p>
  <w:p w14:paraId="00883B85" w14:textId="37F286E0" w:rsidR="005B6351" w:rsidRPr="0040630D" w:rsidRDefault="005B6351" w:rsidP="00CA5914">
    <w:pPr>
      <w:pStyle w:val="Header"/>
      <w:ind w:right="360"/>
      <w:rPr>
        <w:rFonts w:asciiTheme="minorBidi" w:hAnsiTheme="minorBidi"/>
        <w:sz w:val="16"/>
        <w:szCs w:val="16"/>
        <w:lang w:val="es-E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41B2BAE2"/>
    <w:lvl w:ilvl="0">
      <w:start w:val="1"/>
      <w:numFmt w:val="bullet"/>
      <w:pStyle w:val="Niveauducommentaire11"/>
      <w:lvlText w:val=""/>
      <w:lvlJc w:val="left"/>
      <w:pPr>
        <w:tabs>
          <w:tab w:val="num" w:pos="0"/>
        </w:tabs>
        <w:ind w:left="0" w:firstLine="0"/>
      </w:pPr>
      <w:rPr>
        <w:rFonts w:ascii="Symbol" w:hAnsi="Symbol" w:hint="default"/>
      </w:rPr>
    </w:lvl>
    <w:lvl w:ilvl="1">
      <w:start w:val="1"/>
      <w:numFmt w:val="bullet"/>
      <w:pStyle w:val="Niveauducommentaire21"/>
      <w:lvlText w:val=""/>
      <w:lvlJc w:val="left"/>
      <w:pPr>
        <w:tabs>
          <w:tab w:val="num" w:pos="720"/>
        </w:tabs>
        <w:ind w:left="1080" w:hanging="360"/>
      </w:pPr>
      <w:rPr>
        <w:rFonts w:ascii="Symbol" w:hAnsi="Symbol" w:hint="default"/>
      </w:rPr>
    </w:lvl>
    <w:lvl w:ilvl="2">
      <w:start w:val="1"/>
      <w:numFmt w:val="bullet"/>
      <w:pStyle w:val="Niveauducommentaire31"/>
      <w:lvlText w:val="o"/>
      <w:lvlJc w:val="left"/>
      <w:pPr>
        <w:tabs>
          <w:tab w:val="num" w:pos="1440"/>
        </w:tabs>
        <w:ind w:left="1800" w:hanging="360"/>
      </w:pPr>
      <w:rPr>
        <w:rFonts w:ascii="Courier New" w:hAnsi="Courier New" w:cs="Courier New" w:hint="default"/>
      </w:rPr>
    </w:lvl>
    <w:lvl w:ilvl="3">
      <w:start w:val="1"/>
      <w:numFmt w:val="bullet"/>
      <w:pStyle w:val="Niveauducommentaire41"/>
      <w:lvlText w:val=""/>
      <w:lvlJc w:val="left"/>
      <w:pPr>
        <w:tabs>
          <w:tab w:val="num" w:pos="2160"/>
        </w:tabs>
        <w:ind w:left="2520" w:hanging="360"/>
      </w:pPr>
      <w:rPr>
        <w:rFonts w:ascii="Wingdings" w:hAnsi="Wingdings" w:hint="default"/>
      </w:rPr>
    </w:lvl>
    <w:lvl w:ilvl="4">
      <w:start w:val="1"/>
      <w:numFmt w:val="bullet"/>
      <w:pStyle w:val="Niveauducommentaire51"/>
      <w:lvlText w:val=""/>
      <w:lvlJc w:val="left"/>
      <w:pPr>
        <w:tabs>
          <w:tab w:val="num" w:pos="2880"/>
        </w:tabs>
        <w:ind w:left="3240" w:hanging="360"/>
      </w:pPr>
      <w:rPr>
        <w:rFonts w:ascii="Wingdings" w:hAnsi="Wingdings" w:hint="default"/>
      </w:rPr>
    </w:lvl>
    <w:lvl w:ilvl="5">
      <w:start w:val="1"/>
      <w:numFmt w:val="bullet"/>
      <w:pStyle w:val="Niveauducommentaire61"/>
      <w:lvlText w:val=""/>
      <w:lvlJc w:val="left"/>
      <w:pPr>
        <w:tabs>
          <w:tab w:val="num" w:pos="3600"/>
        </w:tabs>
        <w:ind w:left="3960" w:hanging="360"/>
      </w:pPr>
      <w:rPr>
        <w:rFonts w:ascii="Symbol" w:hAnsi="Symbol" w:hint="default"/>
      </w:rPr>
    </w:lvl>
    <w:lvl w:ilvl="6">
      <w:start w:val="1"/>
      <w:numFmt w:val="bullet"/>
      <w:pStyle w:val="Niveauducommentaire71"/>
      <w:lvlText w:val="o"/>
      <w:lvlJc w:val="left"/>
      <w:pPr>
        <w:tabs>
          <w:tab w:val="num" w:pos="4320"/>
        </w:tabs>
        <w:ind w:left="4680" w:hanging="360"/>
      </w:pPr>
      <w:rPr>
        <w:rFonts w:ascii="Courier New" w:hAnsi="Courier New" w:cs="Courier New" w:hint="default"/>
      </w:rPr>
    </w:lvl>
    <w:lvl w:ilvl="7">
      <w:start w:val="1"/>
      <w:numFmt w:val="bullet"/>
      <w:pStyle w:val="Niveauducommentaire81"/>
      <w:lvlText w:val=""/>
      <w:lvlJc w:val="left"/>
      <w:pPr>
        <w:tabs>
          <w:tab w:val="num" w:pos="5040"/>
        </w:tabs>
        <w:ind w:left="5400" w:hanging="360"/>
      </w:pPr>
      <w:rPr>
        <w:rFonts w:ascii="Wingdings" w:hAnsi="Wingdings" w:hint="default"/>
      </w:rPr>
    </w:lvl>
    <w:lvl w:ilvl="8">
      <w:start w:val="1"/>
      <w:numFmt w:val="bullet"/>
      <w:pStyle w:val="Niveauducommentaire91"/>
      <w:lvlText w:val=""/>
      <w:lvlJc w:val="left"/>
      <w:pPr>
        <w:tabs>
          <w:tab w:val="num" w:pos="5760"/>
        </w:tabs>
        <w:ind w:left="6120" w:hanging="360"/>
      </w:pPr>
      <w:rPr>
        <w:rFonts w:ascii="Wingdings" w:hAnsi="Wingdings" w:hint="default"/>
      </w:rPr>
    </w:lvl>
  </w:abstractNum>
  <w:abstractNum w:abstractNumId="1" w15:restartNumberingAfterBreak="0">
    <w:nsid w:val="0E847D7F"/>
    <w:multiLevelType w:val="hybridMultilevel"/>
    <w:tmpl w:val="4B08CD10"/>
    <w:lvl w:ilvl="0" w:tplc="325C787C">
      <w:start w:val="1"/>
      <w:numFmt w:val="bullet"/>
      <w:pStyle w:val="Enutiret"/>
      <w:lvlText w:val="–"/>
      <w:lvlJc w:val="left"/>
      <w:pPr>
        <w:tabs>
          <w:tab w:val="num" w:pos="1134"/>
        </w:tabs>
        <w:ind w:left="1134" w:hanging="283"/>
      </w:pPr>
      <w:rPr>
        <w:rFonts w:ascii="Arial" w:hAnsi="Arial" w:hint="default"/>
        <w:color w:val="auto"/>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0B807A9"/>
    <w:multiLevelType w:val="multilevel"/>
    <w:tmpl w:val="0C0A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 w15:restartNumberingAfterBreak="0">
    <w:nsid w:val="236102B1"/>
    <w:multiLevelType w:val="hybridMultilevel"/>
    <w:tmpl w:val="BEDEDF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5F07BFE"/>
    <w:multiLevelType w:val="hybridMultilevel"/>
    <w:tmpl w:val="1A1C2972"/>
    <w:lvl w:ilvl="0" w:tplc="6FB8652A">
      <w:start w:val="1"/>
      <w:numFmt w:val="decimal"/>
      <w:pStyle w:val="COMParabodytext"/>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488B2F5E"/>
    <w:multiLevelType w:val="hybridMultilevel"/>
    <w:tmpl w:val="05866902"/>
    <w:lvl w:ilvl="0" w:tplc="09960E88">
      <w:start w:val="1"/>
      <w:numFmt w:val="decimal"/>
      <w:lvlText w:val="%1)"/>
      <w:lvlJc w:val="left"/>
      <w:pPr>
        <w:ind w:left="720" w:hanging="360"/>
      </w:pPr>
      <w:rPr>
        <w:rFonts w:hint="default"/>
        <w:b/>
        <w:bCs/>
        <w:sz w:val="20"/>
        <w:szCs w:val="2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55185291"/>
    <w:multiLevelType w:val="hybridMultilevel"/>
    <w:tmpl w:val="99083F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5FC6B54"/>
    <w:multiLevelType w:val="hybridMultilevel"/>
    <w:tmpl w:val="559254EA"/>
    <w:lvl w:ilvl="0" w:tplc="034E260A">
      <w:start w:val="1"/>
      <w:numFmt w:val="decimal"/>
      <w:lvlText w:val="%1."/>
      <w:lvlJc w:val="left"/>
      <w:pPr>
        <w:ind w:left="720" w:hanging="360"/>
      </w:pPr>
      <w:rPr>
        <w:rFonts w:hint="default"/>
        <w:color w:val="2F59F1"/>
        <w:sz w:val="20"/>
        <w:szCs w:val="2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5A680C98"/>
    <w:multiLevelType w:val="hybridMultilevel"/>
    <w:tmpl w:val="B058C5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27A1F51"/>
    <w:multiLevelType w:val="multilevel"/>
    <w:tmpl w:val="58123AB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996"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791851092">
    <w:abstractNumId w:val="0"/>
  </w:num>
  <w:num w:numId="2" w16cid:durableId="2133160302">
    <w:abstractNumId w:val="2"/>
  </w:num>
  <w:num w:numId="3" w16cid:durableId="1334334039">
    <w:abstractNumId w:val="1"/>
  </w:num>
  <w:num w:numId="4" w16cid:durableId="2030714014">
    <w:abstractNumId w:val="4"/>
  </w:num>
  <w:num w:numId="5" w16cid:durableId="24601111">
    <w:abstractNumId w:val="7"/>
  </w:num>
  <w:num w:numId="6" w16cid:durableId="1646545726">
    <w:abstractNumId w:val="9"/>
  </w:num>
  <w:num w:numId="7" w16cid:durableId="1400637742">
    <w:abstractNumId w:val="5"/>
  </w:num>
  <w:num w:numId="8" w16cid:durableId="1923641787">
    <w:abstractNumId w:val="6"/>
  </w:num>
  <w:num w:numId="9" w16cid:durableId="1953973107">
    <w:abstractNumId w:val="8"/>
  </w:num>
  <w:num w:numId="10" w16cid:durableId="417792267">
    <w:abstractNumId w:val="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5F7C"/>
    <w:rsid w:val="00002CA0"/>
    <w:rsid w:val="000139FB"/>
    <w:rsid w:val="0002294A"/>
    <w:rsid w:val="000249F4"/>
    <w:rsid w:val="00024D22"/>
    <w:rsid w:val="000351A8"/>
    <w:rsid w:val="000360D9"/>
    <w:rsid w:val="00036901"/>
    <w:rsid w:val="00046D61"/>
    <w:rsid w:val="00050E2B"/>
    <w:rsid w:val="0005380C"/>
    <w:rsid w:val="00057DFE"/>
    <w:rsid w:val="000634BB"/>
    <w:rsid w:val="00063639"/>
    <w:rsid w:val="00063D1F"/>
    <w:rsid w:val="00063FAA"/>
    <w:rsid w:val="00064194"/>
    <w:rsid w:val="000670E0"/>
    <w:rsid w:val="00073544"/>
    <w:rsid w:val="00075F07"/>
    <w:rsid w:val="00077BF9"/>
    <w:rsid w:val="00080585"/>
    <w:rsid w:val="00080673"/>
    <w:rsid w:val="000812A9"/>
    <w:rsid w:val="00082F7E"/>
    <w:rsid w:val="0008578D"/>
    <w:rsid w:val="00086AF9"/>
    <w:rsid w:val="00087F74"/>
    <w:rsid w:val="00091889"/>
    <w:rsid w:val="00096753"/>
    <w:rsid w:val="00097FDE"/>
    <w:rsid w:val="000A096D"/>
    <w:rsid w:val="000A276C"/>
    <w:rsid w:val="000A2D13"/>
    <w:rsid w:val="000B308D"/>
    <w:rsid w:val="000B4B00"/>
    <w:rsid w:val="000B63F6"/>
    <w:rsid w:val="000B7892"/>
    <w:rsid w:val="000C5064"/>
    <w:rsid w:val="000D41EE"/>
    <w:rsid w:val="000E0D19"/>
    <w:rsid w:val="000E0E7A"/>
    <w:rsid w:val="000E0FBB"/>
    <w:rsid w:val="000E146A"/>
    <w:rsid w:val="000E43AB"/>
    <w:rsid w:val="000E48A3"/>
    <w:rsid w:val="000E5031"/>
    <w:rsid w:val="000E5D36"/>
    <w:rsid w:val="000E6A70"/>
    <w:rsid w:val="000E7664"/>
    <w:rsid w:val="000E7D57"/>
    <w:rsid w:val="000F3A2F"/>
    <w:rsid w:val="000F4669"/>
    <w:rsid w:val="00100E76"/>
    <w:rsid w:val="00101215"/>
    <w:rsid w:val="0010264F"/>
    <w:rsid w:val="001064C4"/>
    <w:rsid w:val="001101E5"/>
    <w:rsid w:val="00115DC7"/>
    <w:rsid w:val="00124465"/>
    <w:rsid w:val="0012589A"/>
    <w:rsid w:val="00127260"/>
    <w:rsid w:val="00130ABE"/>
    <w:rsid w:val="001327C7"/>
    <w:rsid w:val="001358C9"/>
    <w:rsid w:val="00137A53"/>
    <w:rsid w:val="00141390"/>
    <w:rsid w:val="001444C7"/>
    <w:rsid w:val="00145870"/>
    <w:rsid w:val="00145AAD"/>
    <w:rsid w:val="001461DE"/>
    <w:rsid w:val="00146AD0"/>
    <w:rsid w:val="00147584"/>
    <w:rsid w:val="00147E01"/>
    <w:rsid w:val="001520AA"/>
    <w:rsid w:val="001527A3"/>
    <w:rsid w:val="00160CBD"/>
    <w:rsid w:val="001639B4"/>
    <w:rsid w:val="00165AEA"/>
    <w:rsid w:val="00166BF5"/>
    <w:rsid w:val="0016738A"/>
    <w:rsid w:val="0016764C"/>
    <w:rsid w:val="00170436"/>
    <w:rsid w:val="00171AA7"/>
    <w:rsid w:val="0017767E"/>
    <w:rsid w:val="00180232"/>
    <w:rsid w:val="00181888"/>
    <w:rsid w:val="00185D2F"/>
    <w:rsid w:val="00197B68"/>
    <w:rsid w:val="001A01E8"/>
    <w:rsid w:val="001A527E"/>
    <w:rsid w:val="001A697B"/>
    <w:rsid w:val="001A70A9"/>
    <w:rsid w:val="001A731B"/>
    <w:rsid w:val="001B2E7D"/>
    <w:rsid w:val="001B5FB4"/>
    <w:rsid w:val="001B6B8F"/>
    <w:rsid w:val="001B6BB8"/>
    <w:rsid w:val="001C08EA"/>
    <w:rsid w:val="001C3750"/>
    <w:rsid w:val="001C38F6"/>
    <w:rsid w:val="001C41AE"/>
    <w:rsid w:val="001C4DB2"/>
    <w:rsid w:val="001D0846"/>
    <w:rsid w:val="001D0A96"/>
    <w:rsid w:val="001D0F97"/>
    <w:rsid w:val="001D1EE0"/>
    <w:rsid w:val="001D4A8B"/>
    <w:rsid w:val="001D57CB"/>
    <w:rsid w:val="001D6C39"/>
    <w:rsid w:val="001D7653"/>
    <w:rsid w:val="001E3002"/>
    <w:rsid w:val="001E4CE7"/>
    <w:rsid w:val="001F0CA8"/>
    <w:rsid w:val="001F7CA2"/>
    <w:rsid w:val="0020060F"/>
    <w:rsid w:val="00216786"/>
    <w:rsid w:val="002169C6"/>
    <w:rsid w:val="00217B2D"/>
    <w:rsid w:val="00217DE9"/>
    <w:rsid w:val="002206FE"/>
    <w:rsid w:val="00220ADE"/>
    <w:rsid w:val="00222630"/>
    <w:rsid w:val="0022326F"/>
    <w:rsid w:val="0023001D"/>
    <w:rsid w:val="00230B4B"/>
    <w:rsid w:val="002316FB"/>
    <w:rsid w:val="00235580"/>
    <w:rsid w:val="002379B3"/>
    <w:rsid w:val="0024727A"/>
    <w:rsid w:val="002477B6"/>
    <w:rsid w:val="00247DC2"/>
    <w:rsid w:val="002519B6"/>
    <w:rsid w:val="00253C91"/>
    <w:rsid w:val="002540F3"/>
    <w:rsid w:val="00257114"/>
    <w:rsid w:val="00257BA7"/>
    <w:rsid w:val="0026188A"/>
    <w:rsid w:val="00266936"/>
    <w:rsid w:val="0027344F"/>
    <w:rsid w:val="0027491E"/>
    <w:rsid w:val="00275400"/>
    <w:rsid w:val="00277013"/>
    <w:rsid w:val="00281031"/>
    <w:rsid w:val="00290774"/>
    <w:rsid w:val="00290ECC"/>
    <w:rsid w:val="002917CA"/>
    <w:rsid w:val="00296422"/>
    <w:rsid w:val="002A3DED"/>
    <w:rsid w:val="002A4394"/>
    <w:rsid w:val="002A5AEB"/>
    <w:rsid w:val="002A6AD9"/>
    <w:rsid w:val="002A7414"/>
    <w:rsid w:val="002A7563"/>
    <w:rsid w:val="002B17E4"/>
    <w:rsid w:val="002B215F"/>
    <w:rsid w:val="002B3D3F"/>
    <w:rsid w:val="002B4230"/>
    <w:rsid w:val="002B64E6"/>
    <w:rsid w:val="002B76AD"/>
    <w:rsid w:val="002C3245"/>
    <w:rsid w:val="002C3D82"/>
    <w:rsid w:val="002C3EE7"/>
    <w:rsid w:val="002C40FB"/>
    <w:rsid w:val="002D2FD4"/>
    <w:rsid w:val="002D316B"/>
    <w:rsid w:val="002E147F"/>
    <w:rsid w:val="002E2553"/>
    <w:rsid w:val="002E2C4A"/>
    <w:rsid w:val="002E311B"/>
    <w:rsid w:val="002E5AD7"/>
    <w:rsid w:val="002E5F72"/>
    <w:rsid w:val="002F12AF"/>
    <w:rsid w:val="002F5F73"/>
    <w:rsid w:val="0030742A"/>
    <w:rsid w:val="003130A9"/>
    <w:rsid w:val="00314005"/>
    <w:rsid w:val="003153B3"/>
    <w:rsid w:val="00315488"/>
    <w:rsid w:val="00316A4C"/>
    <w:rsid w:val="0032196E"/>
    <w:rsid w:val="0032248E"/>
    <w:rsid w:val="00322FF3"/>
    <w:rsid w:val="00323DF7"/>
    <w:rsid w:val="003255DC"/>
    <w:rsid w:val="00327769"/>
    <w:rsid w:val="0033147E"/>
    <w:rsid w:val="00335F57"/>
    <w:rsid w:val="00336417"/>
    <w:rsid w:val="00340171"/>
    <w:rsid w:val="00340B9C"/>
    <w:rsid w:val="00341C1E"/>
    <w:rsid w:val="003440B8"/>
    <w:rsid w:val="0035358B"/>
    <w:rsid w:val="00355BF4"/>
    <w:rsid w:val="00357828"/>
    <w:rsid w:val="00361671"/>
    <w:rsid w:val="0036602A"/>
    <w:rsid w:val="00372318"/>
    <w:rsid w:val="0037552B"/>
    <w:rsid w:val="00375CCE"/>
    <w:rsid w:val="0038131A"/>
    <w:rsid w:val="00382EDD"/>
    <w:rsid w:val="00392481"/>
    <w:rsid w:val="003953DD"/>
    <w:rsid w:val="003A178E"/>
    <w:rsid w:val="003A1FB3"/>
    <w:rsid w:val="003A619B"/>
    <w:rsid w:val="003A6FB8"/>
    <w:rsid w:val="003A7D60"/>
    <w:rsid w:val="003B057F"/>
    <w:rsid w:val="003B0630"/>
    <w:rsid w:val="003B20AD"/>
    <w:rsid w:val="003B4E67"/>
    <w:rsid w:val="003B7102"/>
    <w:rsid w:val="003B7C5E"/>
    <w:rsid w:val="003B7D78"/>
    <w:rsid w:val="003C1FCE"/>
    <w:rsid w:val="003C3616"/>
    <w:rsid w:val="003D211A"/>
    <w:rsid w:val="003D51C3"/>
    <w:rsid w:val="003D721E"/>
    <w:rsid w:val="003D7875"/>
    <w:rsid w:val="003E0068"/>
    <w:rsid w:val="003E1A19"/>
    <w:rsid w:val="003E6951"/>
    <w:rsid w:val="003F43A7"/>
    <w:rsid w:val="003F5136"/>
    <w:rsid w:val="003F6353"/>
    <w:rsid w:val="0040630D"/>
    <w:rsid w:val="004064BE"/>
    <w:rsid w:val="0041257B"/>
    <w:rsid w:val="00415F08"/>
    <w:rsid w:val="0042279B"/>
    <w:rsid w:val="00423332"/>
    <w:rsid w:val="004237EC"/>
    <w:rsid w:val="00423F04"/>
    <w:rsid w:val="004250CA"/>
    <w:rsid w:val="0042510C"/>
    <w:rsid w:val="004267D4"/>
    <w:rsid w:val="00426878"/>
    <w:rsid w:val="00430565"/>
    <w:rsid w:val="004311E6"/>
    <w:rsid w:val="00435621"/>
    <w:rsid w:val="00442C4B"/>
    <w:rsid w:val="004440E0"/>
    <w:rsid w:val="0044602A"/>
    <w:rsid w:val="004469A6"/>
    <w:rsid w:val="004475E1"/>
    <w:rsid w:val="0045298D"/>
    <w:rsid w:val="004603C7"/>
    <w:rsid w:val="004613A5"/>
    <w:rsid w:val="004620BD"/>
    <w:rsid w:val="0046225F"/>
    <w:rsid w:val="0046518B"/>
    <w:rsid w:val="00470B15"/>
    <w:rsid w:val="004710D9"/>
    <w:rsid w:val="004714D0"/>
    <w:rsid w:val="00472273"/>
    <w:rsid w:val="00476E06"/>
    <w:rsid w:val="00477F3F"/>
    <w:rsid w:val="00480FA1"/>
    <w:rsid w:val="0048466F"/>
    <w:rsid w:val="0048494F"/>
    <w:rsid w:val="00484C59"/>
    <w:rsid w:val="00487AD9"/>
    <w:rsid w:val="00490F0F"/>
    <w:rsid w:val="00492156"/>
    <w:rsid w:val="0049255D"/>
    <w:rsid w:val="00492A4B"/>
    <w:rsid w:val="00497E8F"/>
    <w:rsid w:val="004B14E6"/>
    <w:rsid w:val="004B19DB"/>
    <w:rsid w:val="004B30CE"/>
    <w:rsid w:val="004B56D9"/>
    <w:rsid w:val="004C23D3"/>
    <w:rsid w:val="004C3ACA"/>
    <w:rsid w:val="004D14F2"/>
    <w:rsid w:val="004D5FF8"/>
    <w:rsid w:val="004D7795"/>
    <w:rsid w:val="004F33A2"/>
    <w:rsid w:val="004F4977"/>
    <w:rsid w:val="004F4A4F"/>
    <w:rsid w:val="004F5AB5"/>
    <w:rsid w:val="0050110C"/>
    <w:rsid w:val="0050390F"/>
    <w:rsid w:val="005102B4"/>
    <w:rsid w:val="0051378B"/>
    <w:rsid w:val="0051745D"/>
    <w:rsid w:val="00520DC2"/>
    <w:rsid w:val="00523F18"/>
    <w:rsid w:val="00536A5D"/>
    <w:rsid w:val="00537EA7"/>
    <w:rsid w:val="00542695"/>
    <w:rsid w:val="00547EF6"/>
    <w:rsid w:val="00551AA6"/>
    <w:rsid w:val="005525D3"/>
    <w:rsid w:val="00553143"/>
    <w:rsid w:val="005544C2"/>
    <w:rsid w:val="00561979"/>
    <w:rsid w:val="0056480B"/>
    <w:rsid w:val="00567024"/>
    <w:rsid w:val="0057044A"/>
    <w:rsid w:val="00571892"/>
    <w:rsid w:val="00573BEE"/>
    <w:rsid w:val="0057506D"/>
    <w:rsid w:val="00577EF0"/>
    <w:rsid w:val="005855FF"/>
    <w:rsid w:val="0058733D"/>
    <w:rsid w:val="00592171"/>
    <w:rsid w:val="00594578"/>
    <w:rsid w:val="005965DC"/>
    <w:rsid w:val="005A2500"/>
    <w:rsid w:val="005A3969"/>
    <w:rsid w:val="005A48D9"/>
    <w:rsid w:val="005A735F"/>
    <w:rsid w:val="005A793C"/>
    <w:rsid w:val="005B0C5D"/>
    <w:rsid w:val="005B278A"/>
    <w:rsid w:val="005B2DBC"/>
    <w:rsid w:val="005B6351"/>
    <w:rsid w:val="005C0AE0"/>
    <w:rsid w:val="005C2390"/>
    <w:rsid w:val="005C2CEE"/>
    <w:rsid w:val="005C55BE"/>
    <w:rsid w:val="005D296E"/>
    <w:rsid w:val="005D75A7"/>
    <w:rsid w:val="005D7639"/>
    <w:rsid w:val="005E106E"/>
    <w:rsid w:val="005E185A"/>
    <w:rsid w:val="005E46BF"/>
    <w:rsid w:val="005F0CD5"/>
    <w:rsid w:val="005F15DC"/>
    <w:rsid w:val="00601D63"/>
    <w:rsid w:val="006061F2"/>
    <w:rsid w:val="00613F5A"/>
    <w:rsid w:val="006141BE"/>
    <w:rsid w:val="006154A5"/>
    <w:rsid w:val="00615BB3"/>
    <w:rsid w:val="00620515"/>
    <w:rsid w:val="00621456"/>
    <w:rsid w:val="00631694"/>
    <w:rsid w:val="00635B54"/>
    <w:rsid w:val="00635F2F"/>
    <w:rsid w:val="0063644F"/>
    <w:rsid w:val="006375F5"/>
    <w:rsid w:val="006406E3"/>
    <w:rsid w:val="00643208"/>
    <w:rsid w:val="006450AC"/>
    <w:rsid w:val="006477B3"/>
    <w:rsid w:val="00655476"/>
    <w:rsid w:val="006601D3"/>
    <w:rsid w:val="006622D2"/>
    <w:rsid w:val="00664F90"/>
    <w:rsid w:val="00665A6B"/>
    <w:rsid w:val="006669DF"/>
    <w:rsid w:val="0067115E"/>
    <w:rsid w:val="00682719"/>
    <w:rsid w:val="00683AB0"/>
    <w:rsid w:val="0068617F"/>
    <w:rsid w:val="00686FE8"/>
    <w:rsid w:val="006925EA"/>
    <w:rsid w:val="00694B40"/>
    <w:rsid w:val="006A21D6"/>
    <w:rsid w:val="006A3E08"/>
    <w:rsid w:val="006A4C53"/>
    <w:rsid w:val="006B16DC"/>
    <w:rsid w:val="006B5242"/>
    <w:rsid w:val="006C0695"/>
    <w:rsid w:val="006C2E4E"/>
    <w:rsid w:val="006D1C81"/>
    <w:rsid w:val="006D1FFF"/>
    <w:rsid w:val="006D296E"/>
    <w:rsid w:val="006D3F99"/>
    <w:rsid w:val="006D4C15"/>
    <w:rsid w:val="006D681C"/>
    <w:rsid w:val="006E0E4C"/>
    <w:rsid w:val="006E4893"/>
    <w:rsid w:val="006F0ED0"/>
    <w:rsid w:val="006F2167"/>
    <w:rsid w:val="006F3DDC"/>
    <w:rsid w:val="0070010B"/>
    <w:rsid w:val="00700E4A"/>
    <w:rsid w:val="0070641D"/>
    <w:rsid w:val="007073C9"/>
    <w:rsid w:val="00712E23"/>
    <w:rsid w:val="007176F8"/>
    <w:rsid w:val="00721519"/>
    <w:rsid w:val="00724723"/>
    <w:rsid w:val="007258D4"/>
    <w:rsid w:val="00727322"/>
    <w:rsid w:val="00730738"/>
    <w:rsid w:val="00731A34"/>
    <w:rsid w:val="0074039A"/>
    <w:rsid w:val="0074753C"/>
    <w:rsid w:val="007544AA"/>
    <w:rsid w:val="00755836"/>
    <w:rsid w:val="00757DBD"/>
    <w:rsid w:val="00757DCC"/>
    <w:rsid w:val="00760CEC"/>
    <w:rsid w:val="00761381"/>
    <w:rsid w:val="00773C33"/>
    <w:rsid w:val="007749CD"/>
    <w:rsid w:val="0077644D"/>
    <w:rsid w:val="00780CDA"/>
    <w:rsid w:val="00780F47"/>
    <w:rsid w:val="00781051"/>
    <w:rsid w:val="0078109B"/>
    <w:rsid w:val="00781300"/>
    <w:rsid w:val="00791042"/>
    <w:rsid w:val="00794780"/>
    <w:rsid w:val="00796813"/>
    <w:rsid w:val="00797B8C"/>
    <w:rsid w:val="007A406A"/>
    <w:rsid w:val="007B0978"/>
    <w:rsid w:val="007B64EA"/>
    <w:rsid w:val="007C1312"/>
    <w:rsid w:val="007C1E25"/>
    <w:rsid w:val="007C3360"/>
    <w:rsid w:val="007C706C"/>
    <w:rsid w:val="007C78DC"/>
    <w:rsid w:val="007D2FF7"/>
    <w:rsid w:val="007D58F5"/>
    <w:rsid w:val="007D63FA"/>
    <w:rsid w:val="007D7D18"/>
    <w:rsid w:val="007E2AD1"/>
    <w:rsid w:val="007E4360"/>
    <w:rsid w:val="007E73F4"/>
    <w:rsid w:val="007E777D"/>
    <w:rsid w:val="007F413E"/>
    <w:rsid w:val="0080043A"/>
    <w:rsid w:val="00800C38"/>
    <w:rsid w:val="0080117F"/>
    <w:rsid w:val="00801801"/>
    <w:rsid w:val="00801C8E"/>
    <w:rsid w:val="00807543"/>
    <w:rsid w:val="008075AD"/>
    <w:rsid w:val="00807B82"/>
    <w:rsid w:val="00807CEE"/>
    <w:rsid w:val="00810D85"/>
    <w:rsid w:val="00811C36"/>
    <w:rsid w:val="00811F62"/>
    <w:rsid w:val="0081520D"/>
    <w:rsid w:val="008205FF"/>
    <w:rsid w:val="0082337B"/>
    <w:rsid w:val="00833B0F"/>
    <w:rsid w:val="00837EEC"/>
    <w:rsid w:val="008402C1"/>
    <w:rsid w:val="008406A6"/>
    <w:rsid w:val="00840D60"/>
    <w:rsid w:val="0084749E"/>
    <w:rsid w:val="008479E0"/>
    <w:rsid w:val="00847F7F"/>
    <w:rsid w:val="00853461"/>
    <w:rsid w:val="00854088"/>
    <w:rsid w:val="008543F6"/>
    <w:rsid w:val="00855DDB"/>
    <w:rsid w:val="00856902"/>
    <w:rsid w:val="00860354"/>
    <w:rsid w:val="00860A5F"/>
    <w:rsid w:val="00865515"/>
    <w:rsid w:val="00866428"/>
    <w:rsid w:val="0087106A"/>
    <w:rsid w:val="00872748"/>
    <w:rsid w:val="00873653"/>
    <w:rsid w:val="00873EF1"/>
    <w:rsid w:val="0087561F"/>
    <w:rsid w:val="0087594E"/>
    <w:rsid w:val="00876D8D"/>
    <w:rsid w:val="0087772C"/>
    <w:rsid w:val="00886439"/>
    <w:rsid w:val="00887B29"/>
    <w:rsid w:val="008912E5"/>
    <w:rsid w:val="0089452A"/>
    <w:rsid w:val="008957B7"/>
    <w:rsid w:val="008968C7"/>
    <w:rsid w:val="008A03FB"/>
    <w:rsid w:val="008A5FEA"/>
    <w:rsid w:val="008A66F8"/>
    <w:rsid w:val="008A7D6E"/>
    <w:rsid w:val="008B0BFF"/>
    <w:rsid w:val="008B2DC0"/>
    <w:rsid w:val="008B40F7"/>
    <w:rsid w:val="008B561D"/>
    <w:rsid w:val="008B5FB2"/>
    <w:rsid w:val="008B771B"/>
    <w:rsid w:val="008C07F6"/>
    <w:rsid w:val="008C159D"/>
    <w:rsid w:val="008C1F11"/>
    <w:rsid w:val="008C3C5B"/>
    <w:rsid w:val="008D5D23"/>
    <w:rsid w:val="008D74F6"/>
    <w:rsid w:val="008E1264"/>
    <w:rsid w:val="008E1449"/>
    <w:rsid w:val="008E3221"/>
    <w:rsid w:val="008E6156"/>
    <w:rsid w:val="008E75B7"/>
    <w:rsid w:val="008E7D83"/>
    <w:rsid w:val="008E7D8E"/>
    <w:rsid w:val="008F1560"/>
    <w:rsid w:val="008F2E93"/>
    <w:rsid w:val="008F42CF"/>
    <w:rsid w:val="008F657F"/>
    <w:rsid w:val="00903AF4"/>
    <w:rsid w:val="009046A2"/>
    <w:rsid w:val="00905CF0"/>
    <w:rsid w:val="00914001"/>
    <w:rsid w:val="00915FF5"/>
    <w:rsid w:val="009169EF"/>
    <w:rsid w:val="009210A8"/>
    <w:rsid w:val="00924EB6"/>
    <w:rsid w:val="00925790"/>
    <w:rsid w:val="0093097D"/>
    <w:rsid w:val="0093413C"/>
    <w:rsid w:val="00935F6E"/>
    <w:rsid w:val="0093616B"/>
    <w:rsid w:val="009408E4"/>
    <w:rsid w:val="00943945"/>
    <w:rsid w:val="00947EF6"/>
    <w:rsid w:val="00950B44"/>
    <w:rsid w:val="00953CB1"/>
    <w:rsid w:val="00960D9B"/>
    <w:rsid w:val="009647A6"/>
    <w:rsid w:val="00973CF8"/>
    <w:rsid w:val="00974155"/>
    <w:rsid w:val="0097629F"/>
    <w:rsid w:val="00980605"/>
    <w:rsid w:val="00984C22"/>
    <w:rsid w:val="0098671D"/>
    <w:rsid w:val="009907A2"/>
    <w:rsid w:val="00992441"/>
    <w:rsid w:val="00996E2D"/>
    <w:rsid w:val="00997250"/>
    <w:rsid w:val="009A2A67"/>
    <w:rsid w:val="009B02FF"/>
    <w:rsid w:val="009B0DB1"/>
    <w:rsid w:val="009B2489"/>
    <w:rsid w:val="009B5AA1"/>
    <w:rsid w:val="009B5C88"/>
    <w:rsid w:val="009B6B27"/>
    <w:rsid w:val="009B79D9"/>
    <w:rsid w:val="009C153C"/>
    <w:rsid w:val="009C19BC"/>
    <w:rsid w:val="009D0DC4"/>
    <w:rsid w:val="009D3C6D"/>
    <w:rsid w:val="009D4610"/>
    <w:rsid w:val="009D64B4"/>
    <w:rsid w:val="009D790D"/>
    <w:rsid w:val="009E0BA5"/>
    <w:rsid w:val="009E6855"/>
    <w:rsid w:val="009F1A79"/>
    <w:rsid w:val="009F5B79"/>
    <w:rsid w:val="00A01BC7"/>
    <w:rsid w:val="00A0251A"/>
    <w:rsid w:val="00A052A9"/>
    <w:rsid w:val="00A063F1"/>
    <w:rsid w:val="00A1188E"/>
    <w:rsid w:val="00A11F6B"/>
    <w:rsid w:val="00A2514F"/>
    <w:rsid w:val="00A267C4"/>
    <w:rsid w:val="00A30465"/>
    <w:rsid w:val="00A30D67"/>
    <w:rsid w:val="00A31560"/>
    <w:rsid w:val="00A334BB"/>
    <w:rsid w:val="00A33BA9"/>
    <w:rsid w:val="00A33FEB"/>
    <w:rsid w:val="00A400B9"/>
    <w:rsid w:val="00A41D24"/>
    <w:rsid w:val="00A45CCC"/>
    <w:rsid w:val="00A46118"/>
    <w:rsid w:val="00A5282D"/>
    <w:rsid w:val="00A54B0D"/>
    <w:rsid w:val="00A571D0"/>
    <w:rsid w:val="00A61186"/>
    <w:rsid w:val="00A613BA"/>
    <w:rsid w:val="00A64443"/>
    <w:rsid w:val="00A6745F"/>
    <w:rsid w:val="00A703E5"/>
    <w:rsid w:val="00A70D49"/>
    <w:rsid w:val="00A832FA"/>
    <w:rsid w:val="00A83525"/>
    <w:rsid w:val="00A91A80"/>
    <w:rsid w:val="00A93138"/>
    <w:rsid w:val="00A93B07"/>
    <w:rsid w:val="00A947A6"/>
    <w:rsid w:val="00A977F3"/>
    <w:rsid w:val="00AA13E6"/>
    <w:rsid w:val="00AA36D7"/>
    <w:rsid w:val="00AA5BD4"/>
    <w:rsid w:val="00AA6288"/>
    <w:rsid w:val="00AA7F96"/>
    <w:rsid w:val="00AB0076"/>
    <w:rsid w:val="00AB1A73"/>
    <w:rsid w:val="00AB4020"/>
    <w:rsid w:val="00AB6FD4"/>
    <w:rsid w:val="00AC1A7F"/>
    <w:rsid w:val="00AC1DD2"/>
    <w:rsid w:val="00AC25D2"/>
    <w:rsid w:val="00AC6229"/>
    <w:rsid w:val="00AD0D3B"/>
    <w:rsid w:val="00AD166C"/>
    <w:rsid w:val="00AD3523"/>
    <w:rsid w:val="00AD40C7"/>
    <w:rsid w:val="00AD5493"/>
    <w:rsid w:val="00AD589A"/>
    <w:rsid w:val="00AE06D2"/>
    <w:rsid w:val="00AE225E"/>
    <w:rsid w:val="00AE3205"/>
    <w:rsid w:val="00AE6B77"/>
    <w:rsid w:val="00AF6B1C"/>
    <w:rsid w:val="00B05685"/>
    <w:rsid w:val="00B066C3"/>
    <w:rsid w:val="00B0779D"/>
    <w:rsid w:val="00B107CF"/>
    <w:rsid w:val="00B11CB8"/>
    <w:rsid w:val="00B13ECF"/>
    <w:rsid w:val="00B14AA4"/>
    <w:rsid w:val="00B172DB"/>
    <w:rsid w:val="00B20FA7"/>
    <w:rsid w:val="00B2104D"/>
    <w:rsid w:val="00B21A3D"/>
    <w:rsid w:val="00B2722A"/>
    <w:rsid w:val="00B27F36"/>
    <w:rsid w:val="00B31101"/>
    <w:rsid w:val="00B3226C"/>
    <w:rsid w:val="00B349E2"/>
    <w:rsid w:val="00B37FDA"/>
    <w:rsid w:val="00B40A44"/>
    <w:rsid w:val="00B41095"/>
    <w:rsid w:val="00B5307F"/>
    <w:rsid w:val="00B539EF"/>
    <w:rsid w:val="00B60027"/>
    <w:rsid w:val="00B608C2"/>
    <w:rsid w:val="00B656BD"/>
    <w:rsid w:val="00B6593F"/>
    <w:rsid w:val="00B666E4"/>
    <w:rsid w:val="00B67086"/>
    <w:rsid w:val="00B70105"/>
    <w:rsid w:val="00B70243"/>
    <w:rsid w:val="00B71C49"/>
    <w:rsid w:val="00B7481E"/>
    <w:rsid w:val="00B76E65"/>
    <w:rsid w:val="00B81597"/>
    <w:rsid w:val="00B82215"/>
    <w:rsid w:val="00B942F5"/>
    <w:rsid w:val="00B94903"/>
    <w:rsid w:val="00B94A92"/>
    <w:rsid w:val="00B96292"/>
    <w:rsid w:val="00BA7C10"/>
    <w:rsid w:val="00BB1318"/>
    <w:rsid w:val="00BB49FA"/>
    <w:rsid w:val="00BB5A0B"/>
    <w:rsid w:val="00BB6093"/>
    <w:rsid w:val="00BB6AD3"/>
    <w:rsid w:val="00BC072B"/>
    <w:rsid w:val="00BC7973"/>
    <w:rsid w:val="00BD1A62"/>
    <w:rsid w:val="00BD1C9F"/>
    <w:rsid w:val="00BD279E"/>
    <w:rsid w:val="00BD4FD2"/>
    <w:rsid w:val="00BD6370"/>
    <w:rsid w:val="00BE0685"/>
    <w:rsid w:val="00BE0A27"/>
    <w:rsid w:val="00BE3E31"/>
    <w:rsid w:val="00BE3EEF"/>
    <w:rsid w:val="00BE5BD6"/>
    <w:rsid w:val="00BE7400"/>
    <w:rsid w:val="00BF07A6"/>
    <w:rsid w:val="00BF2BB2"/>
    <w:rsid w:val="00BF309A"/>
    <w:rsid w:val="00BF5ED3"/>
    <w:rsid w:val="00BF75A8"/>
    <w:rsid w:val="00C0097F"/>
    <w:rsid w:val="00C00E05"/>
    <w:rsid w:val="00C06CDE"/>
    <w:rsid w:val="00C070FE"/>
    <w:rsid w:val="00C17B41"/>
    <w:rsid w:val="00C21125"/>
    <w:rsid w:val="00C21507"/>
    <w:rsid w:val="00C216E5"/>
    <w:rsid w:val="00C225B1"/>
    <w:rsid w:val="00C24B72"/>
    <w:rsid w:val="00C26C9F"/>
    <w:rsid w:val="00C37ABC"/>
    <w:rsid w:val="00C41CE0"/>
    <w:rsid w:val="00C457BC"/>
    <w:rsid w:val="00C463C3"/>
    <w:rsid w:val="00C56C31"/>
    <w:rsid w:val="00C57D62"/>
    <w:rsid w:val="00C6082C"/>
    <w:rsid w:val="00C63134"/>
    <w:rsid w:val="00C64781"/>
    <w:rsid w:val="00C64FD7"/>
    <w:rsid w:val="00C66A94"/>
    <w:rsid w:val="00C67302"/>
    <w:rsid w:val="00C711EB"/>
    <w:rsid w:val="00C77B72"/>
    <w:rsid w:val="00C80656"/>
    <w:rsid w:val="00C808E9"/>
    <w:rsid w:val="00C8154D"/>
    <w:rsid w:val="00C86365"/>
    <w:rsid w:val="00C9080E"/>
    <w:rsid w:val="00C9455F"/>
    <w:rsid w:val="00C96E61"/>
    <w:rsid w:val="00C9707E"/>
    <w:rsid w:val="00CA13D1"/>
    <w:rsid w:val="00CA18F3"/>
    <w:rsid w:val="00CA5914"/>
    <w:rsid w:val="00CB082D"/>
    <w:rsid w:val="00CB5BA6"/>
    <w:rsid w:val="00CB6632"/>
    <w:rsid w:val="00CB7010"/>
    <w:rsid w:val="00CC00B2"/>
    <w:rsid w:val="00CC1AE2"/>
    <w:rsid w:val="00CC339D"/>
    <w:rsid w:val="00CC5E83"/>
    <w:rsid w:val="00CD2533"/>
    <w:rsid w:val="00CD4A7F"/>
    <w:rsid w:val="00CE01BE"/>
    <w:rsid w:val="00CE10BA"/>
    <w:rsid w:val="00CE2BB7"/>
    <w:rsid w:val="00CF1C6F"/>
    <w:rsid w:val="00CF347F"/>
    <w:rsid w:val="00CF5ACA"/>
    <w:rsid w:val="00D0000C"/>
    <w:rsid w:val="00D011B1"/>
    <w:rsid w:val="00D01E0B"/>
    <w:rsid w:val="00D07AA7"/>
    <w:rsid w:val="00D11A43"/>
    <w:rsid w:val="00D11BB2"/>
    <w:rsid w:val="00D20390"/>
    <w:rsid w:val="00D2215F"/>
    <w:rsid w:val="00D25F91"/>
    <w:rsid w:val="00D314C9"/>
    <w:rsid w:val="00D31EC5"/>
    <w:rsid w:val="00D34976"/>
    <w:rsid w:val="00D37527"/>
    <w:rsid w:val="00D420F4"/>
    <w:rsid w:val="00D42143"/>
    <w:rsid w:val="00D44470"/>
    <w:rsid w:val="00D453EF"/>
    <w:rsid w:val="00D50B59"/>
    <w:rsid w:val="00D524E5"/>
    <w:rsid w:val="00D544AE"/>
    <w:rsid w:val="00D55D60"/>
    <w:rsid w:val="00D571C8"/>
    <w:rsid w:val="00D64213"/>
    <w:rsid w:val="00D66460"/>
    <w:rsid w:val="00D74076"/>
    <w:rsid w:val="00D75624"/>
    <w:rsid w:val="00D7757F"/>
    <w:rsid w:val="00D77760"/>
    <w:rsid w:val="00D80E1F"/>
    <w:rsid w:val="00D80EBE"/>
    <w:rsid w:val="00D81989"/>
    <w:rsid w:val="00D84E7A"/>
    <w:rsid w:val="00D87FC9"/>
    <w:rsid w:val="00D9026F"/>
    <w:rsid w:val="00D933CA"/>
    <w:rsid w:val="00D9394F"/>
    <w:rsid w:val="00D95270"/>
    <w:rsid w:val="00D96E86"/>
    <w:rsid w:val="00DA1304"/>
    <w:rsid w:val="00DA348E"/>
    <w:rsid w:val="00DA7B37"/>
    <w:rsid w:val="00DB15D0"/>
    <w:rsid w:val="00DB1672"/>
    <w:rsid w:val="00DB1F30"/>
    <w:rsid w:val="00DB5643"/>
    <w:rsid w:val="00DB5F7C"/>
    <w:rsid w:val="00DB6336"/>
    <w:rsid w:val="00DC13CF"/>
    <w:rsid w:val="00DC28EF"/>
    <w:rsid w:val="00DC606A"/>
    <w:rsid w:val="00DC6955"/>
    <w:rsid w:val="00DD012B"/>
    <w:rsid w:val="00DD1000"/>
    <w:rsid w:val="00DD1CB7"/>
    <w:rsid w:val="00DD38B3"/>
    <w:rsid w:val="00DE7968"/>
    <w:rsid w:val="00DF0B75"/>
    <w:rsid w:val="00DF1EDA"/>
    <w:rsid w:val="00DF330A"/>
    <w:rsid w:val="00DF3895"/>
    <w:rsid w:val="00DF4E45"/>
    <w:rsid w:val="00DF52F4"/>
    <w:rsid w:val="00DF6CA0"/>
    <w:rsid w:val="00E00282"/>
    <w:rsid w:val="00E0431F"/>
    <w:rsid w:val="00E14760"/>
    <w:rsid w:val="00E25DB3"/>
    <w:rsid w:val="00E26F97"/>
    <w:rsid w:val="00E27988"/>
    <w:rsid w:val="00E320A9"/>
    <w:rsid w:val="00E34013"/>
    <w:rsid w:val="00E35FE1"/>
    <w:rsid w:val="00E44F1E"/>
    <w:rsid w:val="00E45971"/>
    <w:rsid w:val="00E46BFC"/>
    <w:rsid w:val="00E47590"/>
    <w:rsid w:val="00E47E4C"/>
    <w:rsid w:val="00E52072"/>
    <w:rsid w:val="00E55F09"/>
    <w:rsid w:val="00E56503"/>
    <w:rsid w:val="00E56505"/>
    <w:rsid w:val="00E567B9"/>
    <w:rsid w:val="00E603AC"/>
    <w:rsid w:val="00E60756"/>
    <w:rsid w:val="00E62ACC"/>
    <w:rsid w:val="00E6380F"/>
    <w:rsid w:val="00E7079A"/>
    <w:rsid w:val="00E75B95"/>
    <w:rsid w:val="00E76965"/>
    <w:rsid w:val="00E813E9"/>
    <w:rsid w:val="00E82BD6"/>
    <w:rsid w:val="00E87E02"/>
    <w:rsid w:val="00E91EF2"/>
    <w:rsid w:val="00E923C1"/>
    <w:rsid w:val="00E93351"/>
    <w:rsid w:val="00E94721"/>
    <w:rsid w:val="00E96EB5"/>
    <w:rsid w:val="00E972AC"/>
    <w:rsid w:val="00E97CC7"/>
    <w:rsid w:val="00EA1341"/>
    <w:rsid w:val="00EA24E0"/>
    <w:rsid w:val="00EA52E4"/>
    <w:rsid w:val="00EC12F1"/>
    <w:rsid w:val="00EC1F34"/>
    <w:rsid w:val="00EC2DD9"/>
    <w:rsid w:val="00EC4C0B"/>
    <w:rsid w:val="00EC6D32"/>
    <w:rsid w:val="00ED3809"/>
    <w:rsid w:val="00ED58F5"/>
    <w:rsid w:val="00ED6175"/>
    <w:rsid w:val="00EE674F"/>
    <w:rsid w:val="00EF2EB3"/>
    <w:rsid w:val="00EF37D9"/>
    <w:rsid w:val="00EF3A56"/>
    <w:rsid w:val="00EF3DB9"/>
    <w:rsid w:val="00EF47B7"/>
    <w:rsid w:val="00F00C27"/>
    <w:rsid w:val="00F053F6"/>
    <w:rsid w:val="00F06A8A"/>
    <w:rsid w:val="00F110DD"/>
    <w:rsid w:val="00F16A3F"/>
    <w:rsid w:val="00F17C9C"/>
    <w:rsid w:val="00F2022A"/>
    <w:rsid w:val="00F22DA2"/>
    <w:rsid w:val="00F24A74"/>
    <w:rsid w:val="00F2518C"/>
    <w:rsid w:val="00F3233D"/>
    <w:rsid w:val="00F33207"/>
    <w:rsid w:val="00F40F06"/>
    <w:rsid w:val="00F4586A"/>
    <w:rsid w:val="00F45D53"/>
    <w:rsid w:val="00F45EE6"/>
    <w:rsid w:val="00F469D6"/>
    <w:rsid w:val="00F51BDC"/>
    <w:rsid w:val="00F53AC6"/>
    <w:rsid w:val="00F56AD0"/>
    <w:rsid w:val="00F56D47"/>
    <w:rsid w:val="00F61FDF"/>
    <w:rsid w:val="00F63873"/>
    <w:rsid w:val="00F72725"/>
    <w:rsid w:val="00F7387B"/>
    <w:rsid w:val="00F81079"/>
    <w:rsid w:val="00F81F3B"/>
    <w:rsid w:val="00F835D8"/>
    <w:rsid w:val="00F84694"/>
    <w:rsid w:val="00F850B0"/>
    <w:rsid w:val="00F8788B"/>
    <w:rsid w:val="00F91E0F"/>
    <w:rsid w:val="00F954DD"/>
    <w:rsid w:val="00F96F4E"/>
    <w:rsid w:val="00FA5A74"/>
    <w:rsid w:val="00FB18BF"/>
    <w:rsid w:val="00FB2391"/>
    <w:rsid w:val="00FB3EAC"/>
    <w:rsid w:val="00FB4330"/>
    <w:rsid w:val="00FB7260"/>
    <w:rsid w:val="00FB7541"/>
    <w:rsid w:val="00FC0077"/>
    <w:rsid w:val="00FC6144"/>
    <w:rsid w:val="00FD3D55"/>
    <w:rsid w:val="00FD5D92"/>
    <w:rsid w:val="00FD64E0"/>
    <w:rsid w:val="00FD689E"/>
    <w:rsid w:val="00FE18D6"/>
    <w:rsid w:val="00FE3478"/>
    <w:rsid w:val="00FE367D"/>
    <w:rsid w:val="00FE3DFA"/>
    <w:rsid w:val="00FE50A0"/>
    <w:rsid w:val="00FF1C76"/>
    <w:rsid w:val="00FF48CA"/>
    <w:rsid w:val="00FF51EA"/>
  </w:rsids>
  <m:mathPr>
    <m:mathFont m:val="Cambria Math"/>
    <m:brkBin m:val="before"/>
    <m:brkBinSub m:val="--"/>
    <m:smallFrac/>
    <m:dispDef/>
    <m:lMargin m:val="0"/>
    <m:rMargin m:val="0"/>
    <m:defJc m:val="centerGroup"/>
    <m:wrapIndent m:val="1440"/>
    <m:intLim m:val="subSup"/>
    <m:naryLim m:val="undOvr"/>
  </m:mathPr>
  <w:themeFontLang w:val="es-ES_tradnl"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CB2E3B5"/>
  <w15:docId w15:val="{99001A4C-355F-4DDE-89BA-4AA26E7C60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34BB"/>
  </w:style>
  <w:style w:type="paragraph" w:styleId="Heading1">
    <w:name w:val="heading 1"/>
    <w:basedOn w:val="Normal"/>
    <w:next w:val="Normal"/>
    <w:link w:val="Heading1Char"/>
    <w:uiPriority w:val="9"/>
    <w:qFormat/>
    <w:rsid w:val="00553143"/>
    <w:pPr>
      <w:keepNext/>
      <w:keepLines/>
      <w:numPr>
        <w:numId w:val="2"/>
      </w:numPr>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553143"/>
    <w:pPr>
      <w:keepNext/>
      <w:keepLines/>
      <w:numPr>
        <w:ilvl w:val="1"/>
        <w:numId w:val="2"/>
      </w:numPr>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53143"/>
    <w:pPr>
      <w:keepNext/>
      <w:keepLines/>
      <w:numPr>
        <w:ilvl w:val="2"/>
        <w:numId w:val="2"/>
      </w:numPr>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qFormat/>
    <w:rsid w:val="000634BB"/>
    <w:pPr>
      <w:keepNext/>
      <w:keepLines/>
      <w:snapToGrid w:val="0"/>
      <w:spacing w:before="480" w:after="240" w:line="300" w:lineRule="exact"/>
      <w:outlineLvl w:val="3"/>
    </w:pPr>
    <w:rPr>
      <w:rFonts w:ascii="Arial" w:eastAsia="Times New Roman" w:hAnsi="Arial" w:cs="Arial"/>
      <w:b/>
      <w:bCs/>
      <w:caps/>
      <w:sz w:val="20"/>
      <w:lang w:val="fr-FR" w:eastAsia="en-US"/>
    </w:rPr>
  </w:style>
  <w:style w:type="paragraph" w:styleId="Heading5">
    <w:name w:val="heading 5"/>
    <w:basedOn w:val="Normal"/>
    <w:next w:val="Normal"/>
    <w:link w:val="Heading5Char"/>
    <w:uiPriority w:val="9"/>
    <w:semiHidden/>
    <w:unhideWhenUsed/>
    <w:qFormat/>
    <w:rsid w:val="00553143"/>
    <w:pPr>
      <w:keepNext/>
      <w:keepLines/>
      <w:numPr>
        <w:ilvl w:val="4"/>
        <w:numId w:val="2"/>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553143"/>
    <w:pPr>
      <w:keepNext/>
      <w:keepLines/>
      <w:numPr>
        <w:ilvl w:val="5"/>
        <w:numId w:val="2"/>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553143"/>
    <w:pPr>
      <w:keepNext/>
      <w:keepLines/>
      <w:numPr>
        <w:ilvl w:val="6"/>
        <w:numId w:val="2"/>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553143"/>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553143"/>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B5F7C"/>
    <w:pPr>
      <w:ind w:left="720"/>
      <w:contextualSpacing/>
    </w:pPr>
  </w:style>
  <w:style w:type="paragraph" w:customStyle="1" w:styleId="Niveauducommentaire11">
    <w:name w:val="Niveau du commentaire : 11"/>
    <w:basedOn w:val="Normal"/>
    <w:uiPriority w:val="99"/>
    <w:unhideWhenUsed/>
    <w:rsid w:val="00553143"/>
    <w:pPr>
      <w:keepNext/>
      <w:numPr>
        <w:numId w:val="1"/>
      </w:numPr>
      <w:contextualSpacing/>
      <w:outlineLvl w:val="0"/>
    </w:pPr>
    <w:rPr>
      <w:rFonts w:ascii="Verdana" w:hAnsi="Verdana"/>
    </w:rPr>
  </w:style>
  <w:style w:type="paragraph" w:customStyle="1" w:styleId="Niveauducommentaire21">
    <w:name w:val="Niveau du commentaire : 21"/>
    <w:basedOn w:val="Normal"/>
    <w:uiPriority w:val="99"/>
    <w:unhideWhenUsed/>
    <w:rsid w:val="00553143"/>
    <w:pPr>
      <w:keepNext/>
      <w:numPr>
        <w:ilvl w:val="1"/>
        <w:numId w:val="1"/>
      </w:numPr>
      <w:contextualSpacing/>
      <w:outlineLvl w:val="1"/>
    </w:pPr>
    <w:rPr>
      <w:rFonts w:ascii="Verdana" w:hAnsi="Verdana"/>
    </w:rPr>
  </w:style>
  <w:style w:type="paragraph" w:customStyle="1" w:styleId="Niveauducommentaire31">
    <w:name w:val="Niveau du commentaire : 31"/>
    <w:basedOn w:val="Normal"/>
    <w:uiPriority w:val="99"/>
    <w:unhideWhenUsed/>
    <w:rsid w:val="00553143"/>
    <w:pPr>
      <w:keepNext/>
      <w:numPr>
        <w:ilvl w:val="2"/>
        <w:numId w:val="1"/>
      </w:numPr>
      <w:contextualSpacing/>
      <w:outlineLvl w:val="2"/>
    </w:pPr>
    <w:rPr>
      <w:rFonts w:ascii="Verdana" w:hAnsi="Verdana"/>
    </w:rPr>
  </w:style>
  <w:style w:type="paragraph" w:customStyle="1" w:styleId="Niveauducommentaire41">
    <w:name w:val="Niveau du commentaire : 41"/>
    <w:basedOn w:val="Normal"/>
    <w:uiPriority w:val="99"/>
    <w:unhideWhenUsed/>
    <w:rsid w:val="00553143"/>
    <w:pPr>
      <w:keepNext/>
      <w:numPr>
        <w:ilvl w:val="3"/>
        <w:numId w:val="1"/>
      </w:numPr>
      <w:contextualSpacing/>
      <w:outlineLvl w:val="3"/>
    </w:pPr>
    <w:rPr>
      <w:rFonts w:ascii="Verdana" w:hAnsi="Verdana"/>
    </w:rPr>
  </w:style>
  <w:style w:type="paragraph" w:customStyle="1" w:styleId="Niveauducommentaire51">
    <w:name w:val="Niveau du commentaire : 51"/>
    <w:basedOn w:val="Normal"/>
    <w:uiPriority w:val="99"/>
    <w:semiHidden/>
    <w:unhideWhenUsed/>
    <w:rsid w:val="00553143"/>
    <w:pPr>
      <w:keepNext/>
      <w:numPr>
        <w:ilvl w:val="4"/>
        <w:numId w:val="1"/>
      </w:numPr>
      <w:contextualSpacing/>
      <w:outlineLvl w:val="4"/>
    </w:pPr>
    <w:rPr>
      <w:rFonts w:ascii="Verdana" w:hAnsi="Verdana"/>
    </w:rPr>
  </w:style>
  <w:style w:type="paragraph" w:customStyle="1" w:styleId="Niveauducommentaire61">
    <w:name w:val="Niveau du commentaire : 61"/>
    <w:basedOn w:val="Normal"/>
    <w:uiPriority w:val="99"/>
    <w:unhideWhenUsed/>
    <w:rsid w:val="00553143"/>
    <w:pPr>
      <w:keepNext/>
      <w:numPr>
        <w:ilvl w:val="5"/>
        <w:numId w:val="1"/>
      </w:numPr>
      <w:contextualSpacing/>
      <w:outlineLvl w:val="5"/>
    </w:pPr>
    <w:rPr>
      <w:rFonts w:ascii="Verdana" w:hAnsi="Verdana"/>
    </w:rPr>
  </w:style>
  <w:style w:type="paragraph" w:customStyle="1" w:styleId="Niveauducommentaire71">
    <w:name w:val="Niveau du commentaire : 71"/>
    <w:basedOn w:val="Normal"/>
    <w:uiPriority w:val="99"/>
    <w:semiHidden/>
    <w:unhideWhenUsed/>
    <w:rsid w:val="00553143"/>
    <w:pPr>
      <w:keepNext/>
      <w:numPr>
        <w:ilvl w:val="6"/>
        <w:numId w:val="1"/>
      </w:numPr>
      <w:contextualSpacing/>
      <w:outlineLvl w:val="6"/>
    </w:pPr>
    <w:rPr>
      <w:rFonts w:ascii="Verdana" w:hAnsi="Verdana"/>
    </w:rPr>
  </w:style>
  <w:style w:type="paragraph" w:customStyle="1" w:styleId="Niveauducommentaire81">
    <w:name w:val="Niveau du commentaire : 81"/>
    <w:basedOn w:val="Normal"/>
    <w:uiPriority w:val="99"/>
    <w:semiHidden/>
    <w:unhideWhenUsed/>
    <w:rsid w:val="00553143"/>
    <w:pPr>
      <w:keepNext/>
      <w:numPr>
        <w:ilvl w:val="7"/>
        <w:numId w:val="1"/>
      </w:numPr>
      <w:contextualSpacing/>
      <w:outlineLvl w:val="7"/>
    </w:pPr>
    <w:rPr>
      <w:rFonts w:ascii="Verdana" w:hAnsi="Verdana"/>
    </w:rPr>
  </w:style>
  <w:style w:type="paragraph" w:customStyle="1" w:styleId="Niveauducommentaire91">
    <w:name w:val="Niveau du commentaire : 91"/>
    <w:basedOn w:val="Normal"/>
    <w:uiPriority w:val="99"/>
    <w:semiHidden/>
    <w:unhideWhenUsed/>
    <w:rsid w:val="00553143"/>
    <w:pPr>
      <w:keepNext/>
      <w:numPr>
        <w:ilvl w:val="8"/>
        <w:numId w:val="1"/>
      </w:numPr>
      <w:contextualSpacing/>
      <w:outlineLvl w:val="8"/>
    </w:pPr>
    <w:rPr>
      <w:rFonts w:ascii="Verdana" w:hAnsi="Verdana"/>
    </w:rPr>
  </w:style>
  <w:style w:type="character" w:customStyle="1" w:styleId="Heading1Char">
    <w:name w:val="Heading 1 Char"/>
    <w:basedOn w:val="DefaultParagraphFont"/>
    <w:link w:val="Heading1"/>
    <w:uiPriority w:val="9"/>
    <w:rsid w:val="00553143"/>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rsid w:val="00553143"/>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553143"/>
    <w:rPr>
      <w:rFonts w:asciiTheme="majorHAnsi" w:eastAsiaTheme="majorEastAsia" w:hAnsiTheme="majorHAnsi" w:cstheme="majorBidi"/>
      <w:b/>
      <w:bCs/>
      <w:color w:val="4F81BD" w:themeColor="accent1"/>
    </w:rPr>
  </w:style>
  <w:style w:type="character" w:customStyle="1" w:styleId="Heading4Char">
    <w:name w:val="Heading 4 Char"/>
    <w:link w:val="Heading4"/>
    <w:uiPriority w:val="9"/>
    <w:rsid w:val="000634BB"/>
    <w:rPr>
      <w:rFonts w:ascii="Arial" w:eastAsia="Times New Roman" w:hAnsi="Arial" w:cs="Arial"/>
      <w:b/>
      <w:bCs/>
      <w:caps/>
      <w:sz w:val="20"/>
      <w:lang w:val="fr-FR" w:eastAsia="en-US"/>
    </w:rPr>
  </w:style>
  <w:style w:type="character" w:customStyle="1" w:styleId="Heading5Char">
    <w:name w:val="Heading 5 Char"/>
    <w:basedOn w:val="DefaultParagraphFont"/>
    <w:link w:val="Heading5"/>
    <w:uiPriority w:val="9"/>
    <w:semiHidden/>
    <w:rsid w:val="00553143"/>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553143"/>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553143"/>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553143"/>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53143"/>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unhideWhenUsed/>
    <w:rsid w:val="00DF389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F3895"/>
    <w:rPr>
      <w:rFonts w:ascii="Lucida Grande" w:hAnsi="Lucida Grande" w:cs="Lucida Grande"/>
      <w:sz w:val="18"/>
      <w:szCs w:val="18"/>
    </w:rPr>
  </w:style>
  <w:style w:type="paragraph" w:styleId="FootnoteText">
    <w:name w:val="footnote text"/>
    <w:basedOn w:val="Normal"/>
    <w:link w:val="FootnoteTextChar"/>
    <w:uiPriority w:val="99"/>
    <w:unhideWhenUsed/>
    <w:rsid w:val="00E76965"/>
    <w:rPr>
      <w:rFonts w:ascii="Arial" w:hAnsi="Arial"/>
      <w:sz w:val="16"/>
    </w:rPr>
  </w:style>
  <w:style w:type="character" w:customStyle="1" w:styleId="FootnoteTextChar">
    <w:name w:val="Footnote Text Char"/>
    <w:basedOn w:val="DefaultParagraphFont"/>
    <w:link w:val="FootnoteText"/>
    <w:uiPriority w:val="99"/>
    <w:rsid w:val="00E76965"/>
    <w:rPr>
      <w:rFonts w:ascii="Arial" w:hAnsi="Arial"/>
      <w:sz w:val="16"/>
    </w:rPr>
  </w:style>
  <w:style w:type="character" w:styleId="FootnoteReference">
    <w:name w:val="footnote reference"/>
    <w:basedOn w:val="DefaultParagraphFont"/>
    <w:uiPriority w:val="99"/>
    <w:unhideWhenUsed/>
    <w:rsid w:val="00DF3895"/>
    <w:rPr>
      <w:vertAlign w:val="superscript"/>
    </w:rPr>
  </w:style>
  <w:style w:type="paragraph" w:styleId="NormalWeb">
    <w:name w:val="Normal (Web)"/>
    <w:basedOn w:val="Normal"/>
    <w:uiPriority w:val="99"/>
    <w:unhideWhenUsed/>
    <w:rsid w:val="00DF3895"/>
    <w:pPr>
      <w:spacing w:before="100" w:beforeAutospacing="1" w:after="100" w:afterAutospacing="1"/>
    </w:pPr>
    <w:rPr>
      <w:rFonts w:ascii="Times" w:hAnsi="Times" w:cs="Times New Roman"/>
      <w:sz w:val="20"/>
      <w:szCs w:val="20"/>
    </w:rPr>
  </w:style>
  <w:style w:type="character" w:styleId="CommentReference">
    <w:name w:val="annotation reference"/>
    <w:basedOn w:val="DefaultParagraphFont"/>
    <w:uiPriority w:val="99"/>
    <w:semiHidden/>
    <w:unhideWhenUsed/>
    <w:rsid w:val="00DF3895"/>
    <w:rPr>
      <w:sz w:val="18"/>
      <w:szCs w:val="18"/>
    </w:rPr>
  </w:style>
  <w:style w:type="paragraph" w:styleId="CommentText">
    <w:name w:val="annotation text"/>
    <w:basedOn w:val="Normal"/>
    <w:link w:val="CommentTextChar"/>
    <w:uiPriority w:val="99"/>
    <w:unhideWhenUsed/>
    <w:rsid w:val="00DF3895"/>
  </w:style>
  <w:style w:type="character" w:customStyle="1" w:styleId="CommentTextChar">
    <w:name w:val="Comment Text Char"/>
    <w:basedOn w:val="DefaultParagraphFont"/>
    <w:link w:val="CommentText"/>
    <w:uiPriority w:val="99"/>
    <w:rsid w:val="00DF3895"/>
  </w:style>
  <w:style w:type="character" w:customStyle="1" w:styleId="st1">
    <w:name w:val="st1"/>
    <w:rsid w:val="00DF3895"/>
  </w:style>
  <w:style w:type="character" w:styleId="IntenseEmphasis">
    <w:name w:val="Intense Emphasis"/>
    <w:aliases w:val="Texte"/>
    <w:uiPriority w:val="21"/>
    <w:rsid w:val="00DF3895"/>
    <w:rPr>
      <w:rFonts w:ascii="Arial" w:hAnsi="Arial" w:cs="Arial"/>
      <w:sz w:val="22"/>
    </w:rPr>
  </w:style>
  <w:style w:type="paragraph" w:customStyle="1" w:styleId="1">
    <w:name w:val="1."/>
    <w:basedOn w:val="Normal"/>
    <w:link w:val="1Char"/>
    <w:qFormat/>
    <w:rsid w:val="00DF3895"/>
    <w:pPr>
      <w:tabs>
        <w:tab w:val="left" w:pos="680"/>
      </w:tabs>
      <w:autoSpaceDE w:val="0"/>
      <w:autoSpaceDN w:val="0"/>
      <w:adjustRightInd w:val="0"/>
      <w:spacing w:after="120"/>
      <w:ind w:left="1247" w:hanging="680"/>
    </w:pPr>
    <w:rPr>
      <w:rFonts w:ascii="Arial" w:eastAsia="SimSun" w:hAnsi="Arial" w:cs="Arial"/>
      <w:sz w:val="22"/>
      <w:szCs w:val="22"/>
      <w:lang w:val="es-ES" w:eastAsia="fr-FR"/>
    </w:rPr>
  </w:style>
  <w:style w:type="character" w:customStyle="1" w:styleId="1Char">
    <w:name w:val="1. Char"/>
    <w:link w:val="1"/>
    <w:locked/>
    <w:rsid w:val="00DF3895"/>
    <w:rPr>
      <w:rFonts w:ascii="Arial" w:eastAsia="SimSun" w:hAnsi="Arial" w:cs="Arial"/>
      <w:sz w:val="22"/>
      <w:szCs w:val="22"/>
      <w:lang w:val="es-ES" w:eastAsia="fr-FR"/>
    </w:rPr>
  </w:style>
  <w:style w:type="paragraph" w:customStyle="1" w:styleId="U1">
    <w:name w:val="U.1"/>
    <w:basedOn w:val="Normal"/>
    <w:qFormat/>
    <w:rsid w:val="00DF3895"/>
    <w:pPr>
      <w:widowControl w:val="0"/>
      <w:autoSpaceDE w:val="0"/>
      <w:autoSpaceDN w:val="0"/>
      <w:adjustRightInd w:val="0"/>
      <w:spacing w:after="120"/>
      <w:ind w:left="1814" w:hanging="567"/>
    </w:pPr>
    <w:rPr>
      <w:rFonts w:ascii="Arial" w:eastAsia="SimSun" w:hAnsi="Arial" w:cs="Arial"/>
      <w:sz w:val="22"/>
      <w:szCs w:val="22"/>
      <w:lang w:val="es-ES" w:eastAsia="fr-FR"/>
    </w:rPr>
  </w:style>
  <w:style w:type="paragraph" w:customStyle="1" w:styleId="II1">
    <w:name w:val="I.I.1"/>
    <w:basedOn w:val="Normal"/>
    <w:autoRedefine/>
    <w:qFormat/>
    <w:rsid w:val="00DF3895"/>
    <w:pPr>
      <w:keepNext/>
      <w:widowControl w:val="0"/>
      <w:tabs>
        <w:tab w:val="left" w:pos="1418"/>
      </w:tabs>
      <w:autoSpaceDE w:val="0"/>
      <w:autoSpaceDN w:val="0"/>
      <w:adjustRightInd w:val="0"/>
      <w:spacing w:after="120"/>
      <w:ind w:left="1247" w:hanging="680"/>
    </w:pPr>
    <w:rPr>
      <w:rFonts w:ascii="Arial" w:eastAsia="SimSun" w:hAnsi="Arial" w:cs="Arial"/>
      <w:sz w:val="22"/>
      <w:szCs w:val="22"/>
      <w:lang w:val="es-ES" w:eastAsia="fr-FR"/>
    </w:rPr>
  </w:style>
  <w:style w:type="character" w:styleId="Hyperlink">
    <w:name w:val="Hyperlink"/>
    <w:basedOn w:val="DefaultParagraphFont"/>
    <w:uiPriority w:val="99"/>
    <w:unhideWhenUsed/>
    <w:rsid w:val="0097629F"/>
    <w:rPr>
      <w:color w:val="0000FF" w:themeColor="hyperlink"/>
      <w:u w:val="single"/>
    </w:rPr>
  </w:style>
  <w:style w:type="paragraph" w:customStyle="1" w:styleId="Texte1">
    <w:name w:val="Texte1"/>
    <w:basedOn w:val="Normal"/>
    <w:link w:val="Texte1Car"/>
    <w:rsid w:val="000634BB"/>
    <w:pPr>
      <w:snapToGrid w:val="0"/>
      <w:spacing w:after="60" w:line="280" w:lineRule="exact"/>
      <w:ind w:left="851"/>
      <w:jc w:val="both"/>
    </w:pPr>
    <w:rPr>
      <w:rFonts w:ascii="Arial" w:eastAsia="SimSun" w:hAnsi="Arial" w:cs="Arial"/>
      <w:sz w:val="20"/>
      <w:szCs w:val="20"/>
      <w:lang w:val="en-GB" w:eastAsia="zh-CN"/>
    </w:rPr>
  </w:style>
  <w:style w:type="character" w:customStyle="1" w:styleId="Texte1Car">
    <w:name w:val="Texte1 Car"/>
    <w:link w:val="Texte1"/>
    <w:rsid w:val="000634BB"/>
    <w:rPr>
      <w:rFonts w:ascii="Arial" w:eastAsia="SimSun" w:hAnsi="Arial" w:cs="Arial"/>
      <w:sz w:val="20"/>
      <w:szCs w:val="20"/>
      <w:lang w:val="en-GB" w:eastAsia="zh-CN"/>
    </w:rPr>
  </w:style>
  <w:style w:type="paragraph" w:customStyle="1" w:styleId="Txtpucegras">
    <w:name w:val="Txtpucegras"/>
    <w:basedOn w:val="Texte1"/>
    <w:rsid w:val="00DA348E"/>
    <w:pPr>
      <w:ind w:left="0"/>
    </w:pPr>
  </w:style>
  <w:style w:type="paragraph" w:customStyle="1" w:styleId="Enutiret">
    <w:name w:val="Enutiret"/>
    <w:basedOn w:val="Texte1"/>
    <w:link w:val="EnutiretCar"/>
    <w:rsid w:val="00DA348E"/>
    <w:pPr>
      <w:numPr>
        <w:numId w:val="3"/>
      </w:numPr>
    </w:pPr>
  </w:style>
  <w:style w:type="character" w:customStyle="1" w:styleId="EnutiretCar">
    <w:name w:val="Enutiret Car"/>
    <w:basedOn w:val="Texte1Car"/>
    <w:link w:val="Enutiret"/>
    <w:rsid w:val="00DA348E"/>
    <w:rPr>
      <w:rFonts w:ascii="Arial" w:eastAsia="SimSun" w:hAnsi="Arial" w:cs="Arial"/>
      <w:sz w:val="20"/>
      <w:szCs w:val="20"/>
      <w:lang w:val="en-GB" w:eastAsia="zh-CN"/>
    </w:rPr>
  </w:style>
  <w:style w:type="paragraph" w:customStyle="1" w:styleId="Normal1">
    <w:name w:val="Normal1"/>
    <w:rsid w:val="00DA348E"/>
    <w:rPr>
      <w:rFonts w:ascii="Cambria" w:eastAsia="Cambria" w:hAnsi="Cambria" w:cs="Cambria"/>
      <w:color w:val="000000"/>
      <w:szCs w:val="20"/>
    </w:rPr>
  </w:style>
  <w:style w:type="table" w:styleId="TableGrid">
    <w:name w:val="Table Grid"/>
    <w:basedOn w:val="TableNormal"/>
    <w:uiPriority w:val="39"/>
    <w:rsid w:val="00537EA7"/>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0634BB"/>
    <w:pPr>
      <w:tabs>
        <w:tab w:val="center" w:pos="4536"/>
        <w:tab w:val="right" w:pos="9072"/>
      </w:tabs>
    </w:pPr>
  </w:style>
  <w:style w:type="character" w:customStyle="1" w:styleId="HeaderChar">
    <w:name w:val="Header Char"/>
    <w:basedOn w:val="DefaultParagraphFont"/>
    <w:link w:val="Header"/>
    <w:uiPriority w:val="99"/>
    <w:rsid w:val="000634BB"/>
  </w:style>
  <w:style w:type="paragraph" w:styleId="Footer">
    <w:name w:val="footer"/>
    <w:basedOn w:val="Normal"/>
    <w:link w:val="FooterChar"/>
    <w:unhideWhenUsed/>
    <w:rsid w:val="000634BB"/>
    <w:pPr>
      <w:tabs>
        <w:tab w:val="center" w:pos="4536"/>
        <w:tab w:val="right" w:pos="9072"/>
      </w:tabs>
    </w:pPr>
  </w:style>
  <w:style w:type="character" w:customStyle="1" w:styleId="FooterChar">
    <w:name w:val="Footer Char"/>
    <w:basedOn w:val="DefaultParagraphFont"/>
    <w:link w:val="Footer"/>
    <w:rsid w:val="000634BB"/>
  </w:style>
  <w:style w:type="paragraph" w:customStyle="1" w:styleId="Chapitre">
    <w:name w:val="Chapitre"/>
    <w:basedOn w:val="Heading1"/>
    <w:link w:val="ChapitreCar"/>
    <w:rsid w:val="000634BB"/>
    <w:pPr>
      <w:numPr>
        <w:numId w:val="0"/>
      </w:numPr>
      <w:pBdr>
        <w:bottom w:val="single" w:sz="4" w:space="14" w:color="3366FF"/>
      </w:pBdr>
      <w:tabs>
        <w:tab w:val="left" w:pos="567"/>
      </w:tabs>
      <w:snapToGrid w:val="0"/>
      <w:spacing w:before="240" w:after="480" w:line="840" w:lineRule="exact"/>
    </w:pPr>
    <w:rPr>
      <w:rFonts w:ascii="Arial" w:eastAsia="Times New Roman" w:hAnsi="Arial" w:cs="Arial"/>
      <w:caps/>
      <w:noProof/>
      <w:snapToGrid w:val="0"/>
      <w:color w:val="3366FF"/>
      <w:kern w:val="28"/>
      <w:sz w:val="70"/>
      <w:szCs w:val="70"/>
      <w:lang w:val="en-GB" w:eastAsia="zh-CN"/>
    </w:rPr>
  </w:style>
  <w:style w:type="character" w:customStyle="1" w:styleId="ChapitreCar">
    <w:name w:val="Chapitre Car"/>
    <w:link w:val="Chapitre"/>
    <w:rsid w:val="000634BB"/>
    <w:rPr>
      <w:rFonts w:ascii="Arial" w:eastAsia="Times New Roman" w:hAnsi="Arial" w:cs="Arial"/>
      <w:b/>
      <w:bCs/>
      <w:caps/>
      <w:noProof/>
      <w:snapToGrid w:val="0"/>
      <w:color w:val="3366FF"/>
      <w:kern w:val="28"/>
      <w:sz w:val="70"/>
      <w:szCs w:val="70"/>
      <w:lang w:val="en-GB" w:eastAsia="zh-CN"/>
    </w:rPr>
  </w:style>
  <w:style w:type="paragraph" w:customStyle="1" w:styleId="UPlan">
    <w:name w:val="UPlan"/>
    <w:basedOn w:val="Normal"/>
    <w:link w:val="UPlanCar"/>
    <w:rsid w:val="000634BB"/>
    <w:pPr>
      <w:keepNext/>
      <w:keepLines/>
      <w:tabs>
        <w:tab w:val="left" w:pos="567"/>
      </w:tabs>
      <w:snapToGrid w:val="0"/>
      <w:spacing w:before="480" w:line="480" w:lineRule="exact"/>
      <w:outlineLvl w:val="0"/>
    </w:pPr>
    <w:rPr>
      <w:rFonts w:ascii="Arial" w:eastAsia="Times New Roman" w:hAnsi="Arial" w:cs="Arial"/>
      <w:b/>
      <w:bCs/>
      <w:caps/>
      <w:noProof/>
      <w:snapToGrid w:val="0"/>
      <w:color w:val="3366FF"/>
      <w:kern w:val="28"/>
      <w:sz w:val="48"/>
      <w:szCs w:val="48"/>
      <w:lang w:val="en-GB" w:eastAsia="zh-CN"/>
    </w:rPr>
  </w:style>
  <w:style w:type="character" w:customStyle="1" w:styleId="UPlanCar">
    <w:name w:val="UPlan Car"/>
    <w:basedOn w:val="DefaultParagraphFont"/>
    <w:link w:val="UPlan"/>
    <w:rsid w:val="000634BB"/>
    <w:rPr>
      <w:rFonts w:ascii="Arial" w:eastAsia="Times New Roman" w:hAnsi="Arial" w:cs="Arial"/>
      <w:b/>
      <w:bCs/>
      <w:caps/>
      <w:noProof/>
      <w:snapToGrid w:val="0"/>
      <w:color w:val="3366FF"/>
      <w:kern w:val="28"/>
      <w:sz w:val="48"/>
      <w:szCs w:val="48"/>
      <w:lang w:val="en-GB" w:eastAsia="zh-CN"/>
    </w:rPr>
  </w:style>
  <w:style w:type="paragraph" w:customStyle="1" w:styleId="Titcoul">
    <w:name w:val="Titcoul"/>
    <w:basedOn w:val="Title"/>
    <w:link w:val="TitcoulCar"/>
    <w:rsid w:val="000634BB"/>
    <w:pPr>
      <w:keepNext/>
      <w:widowControl w:val="0"/>
      <w:pBdr>
        <w:bottom w:val="none" w:sz="0" w:space="0" w:color="auto"/>
      </w:pBdr>
      <w:tabs>
        <w:tab w:val="left" w:pos="851"/>
      </w:tabs>
      <w:snapToGrid w:val="0"/>
      <w:spacing w:before="720" w:after="240" w:line="320" w:lineRule="exact"/>
      <w:contextualSpacing w:val="0"/>
    </w:pPr>
    <w:rPr>
      <w:rFonts w:ascii="Arial" w:eastAsia="SimSun" w:hAnsi="Arial" w:cs="Arial"/>
      <w:b/>
      <w:bCs/>
      <w:caps/>
      <w:snapToGrid w:val="0"/>
      <w:color w:val="3366FF"/>
      <w:spacing w:val="0"/>
      <w:kern w:val="0"/>
      <w:sz w:val="24"/>
      <w:szCs w:val="24"/>
      <w:lang w:val="en-US" w:eastAsia="zh-CN"/>
    </w:rPr>
  </w:style>
  <w:style w:type="character" w:customStyle="1" w:styleId="TitcoulCar">
    <w:name w:val="Titcoul Car"/>
    <w:link w:val="Titcoul"/>
    <w:rsid w:val="000634BB"/>
    <w:rPr>
      <w:rFonts w:ascii="Arial" w:eastAsia="SimSun" w:hAnsi="Arial" w:cs="Arial"/>
      <w:b/>
      <w:bCs/>
      <w:caps/>
      <w:snapToGrid w:val="0"/>
      <w:color w:val="3366FF"/>
      <w:lang w:val="en-US" w:eastAsia="zh-CN"/>
    </w:rPr>
  </w:style>
  <w:style w:type="paragraph" w:styleId="Title">
    <w:name w:val="Title"/>
    <w:basedOn w:val="Normal"/>
    <w:next w:val="Normal"/>
    <w:link w:val="TitleChar"/>
    <w:uiPriority w:val="10"/>
    <w:qFormat/>
    <w:rsid w:val="000634BB"/>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0634BB"/>
    <w:rPr>
      <w:rFonts w:asciiTheme="majorHAnsi" w:eastAsiaTheme="majorEastAsia" w:hAnsiTheme="majorHAnsi" w:cstheme="majorBidi"/>
      <w:color w:val="17365D" w:themeColor="text2" w:themeShade="BF"/>
      <w:spacing w:val="5"/>
      <w:kern w:val="28"/>
      <w:sz w:val="52"/>
      <w:szCs w:val="52"/>
    </w:rPr>
  </w:style>
  <w:style w:type="character" w:styleId="PageNumber">
    <w:name w:val="page number"/>
    <w:rsid w:val="00327769"/>
    <w:rPr>
      <w:rFonts w:ascii="Arial" w:hAnsi="Arial"/>
      <w:b w:val="0"/>
      <w:i w:val="0"/>
      <w:color w:val="auto"/>
      <w:sz w:val="16"/>
    </w:rPr>
  </w:style>
  <w:style w:type="paragraph" w:customStyle="1" w:styleId="Txtchap">
    <w:name w:val="Txtchap"/>
    <w:basedOn w:val="Normal"/>
    <w:link w:val="TxtchapCar"/>
    <w:rsid w:val="00ED58F5"/>
    <w:pPr>
      <w:keepNext/>
      <w:snapToGrid w:val="0"/>
      <w:spacing w:after="120" w:line="360" w:lineRule="exact"/>
      <w:jc w:val="both"/>
    </w:pPr>
    <w:rPr>
      <w:rFonts w:ascii="Arial" w:eastAsia="SimSun" w:hAnsi="Arial" w:cs="Arial"/>
      <w:szCs w:val="20"/>
      <w:lang w:val="fr-FR" w:eastAsia="zh-CN"/>
    </w:rPr>
  </w:style>
  <w:style w:type="paragraph" w:customStyle="1" w:styleId="Chapinfo">
    <w:name w:val="Chapinfo"/>
    <w:basedOn w:val="Txtchap"/>
    <w:link w:val="ChapinfoCar"/>
    <w:rsid w:val="00ED58F5"/>
    <w:pPr>
      <w:keepNext w:val="0"/>
      <w:spacing w:before="480" w:after="0" w:line="320" w:lineRule="exact"/>
      <w:ind w:left="567"/>
    </w:pPr>
    <w:rPr>
      <w:i/>
      <w:iCs/>
      <w:color w:val="3366FF"/>
      <w:szCs w:val="24"/>
    </w:rPr>
  </w:style>
  <w:style w:type="character" w:customStyle="1" w:styleId="ChapinfoCar">
    <w:name w:val="Chapinfo Car"/>
    <w:link w:val="Chapinfo"/>
    <w:rsid w:val="00ED58F5"/>
    <w:rPr>
      <w:rFonts w:ascii="Arial" w:eastAsia="SimSun" w:hAnsi="Arial" w:cs="Arial"/>
      <w:i/>
      <w:iCs/>
      <w:color w:val="3366FF"/>
      <w:lang w:val="fr-FR" w:eastAsia="zh-CN"/>
    </w:rPr>
  </w:style>
  <w:style w:type="paragraph" w:customStyle="1" w:styleId="Sschap">
    <w:name w:val="Sschap"/>
    <w:basedOn w:val="Normal"/>
    <w:autoRedefine/>
    <w:rsid w:val="001C08EA"/>
    <w:pPr>
      <w:keepNext/>
      <w:widowControl w:val="0"/>
      <w:snapToGrid w:val="0"/>
      <w:spacing w:before="1200" w:after="480" w:line="300" w:lineRule="exact"/>
      <w:jc w:val="both"/>
    </w:pPr>
    <w:rPr>
      <w:rFonts w:ascii="Arial" w:eastAsia="SimSun" w:hAnsi="Arial" w:cs="Arial"/>
      <w:b/>
      <w:bCs/>
      <w:lang w:eastAsia="zh-CN"/>
    </w:rPr>
  </w:style>
  <w:style w:type="character" w:customStyle="1" w:styleId="TxtchapCar">
    <w:name w:val="Txtchap Car"/>
    <w:basedOn w:val="DefaultParagraphFont"/>
    <w:link w:val="Txtchap"/>
    <w:rsid w:val="00ED58F5"/>
    <w:rPr>
      <w:rFonts w:ascii="Arial" w:eastAsia="SimSun" w:hAnsi="Arial" w:cs="Arial"/>
      <w:szCs w:val="20"/>
      <w:lang w:val="fr-FR" w:eastAsia="zh-CN"/>
    </w:rPr>
  </w:style>
  <w:style w:type="paragraph" w:styleId="CommentSubject">
    <w:name w:val="annotation subject"/>
    <w:basedOn w:val="CommentText"/>
    <w:next w:val="CommentText"/>
    <w:link w:val="CommentSubjectChar"/>
    <w:uiPriority w:val="99"/>
    <w:semiHidden/>
    <w:unhideWhenUsed/>
    <w:rsid w:val="00837EEC"/>
    <w:rPr>
      <w:b/>
      <w:bCs/>
      <w:sz w:val="20"/>
      <w:szCs w:val="20"/>
    </w:rPr>
  </w:style>
  <w:style w:type="character" w:customStyle="1" w:styleId="CommentSubjectChar">
    <w:name w:val="Comment Subject Char"/>
    <w:basedOn w:val="CommentTextChar"/>
    <w:link w:val="CommentSubject"/>
    <w:uiPriority w:val="99"/>
    <w:semiHidden/>
    <w:rsid w:val="00837EEC"/>
    <w:rPr>
      <w:b/>
      <w:bCs/>
      <w:sz w:val="20"/>
      <w:szCs w:val="20"/>
    </w:rPr>
  </w:style>
  <w:style w:type="paragraph" w:styleId="Revision">
    <w:name w:val="Revision"/>
    <w:hidden/>
    <w:uiPriority w:val="99"/>
    <w:semiHidden/>
    <w:rsid w:val="003B057F"/>
  </w:style>
  <w:style w:type="character" w:styleId="FollowedHyperlink">
    <w:name w:val="FollowedHyperlink"/>
    <w:basedOn w:val="DefaultParagraphFont"/>
    <w:uiPriority w:val="99"/>
    <w:semiHidden/>
    <w:unhideWhenUsed/>
    <w:rsid w:val="000E5D36"/>
    <w:rPr>
      <w:color w:val="800080" w:themeColor="followedHyperlink"/>
      <w:u w:val="single"/>
    </w:rPr>
  </w:style>
  <w:style w:type="paragraph" w:customStyle="1" w:styleId="footnote1">
    <w:name w:val="@footnote 1"/>
    <w:basedOn w:val="FootnoteText"/>
    <w:link w:val="footnote1Char"/>
    <w:qFormat/>
    <w:rsid w:val="002E5AD7"/>
    <w:pPr>
      <w:tabs>
        <w:tab w:val="left" w:pos="1418"/>
      </w:tabs>
      <w:ind w:left="1418" w:hanging="567"/>
    </w:pPr>
    <w:rPr>
      <w:rFonts w:eastAsia="SimSun" w:cs="Times New Roman"/>
      <w:sz w:val="18"/>
      <w:szCs w:val="20"/>
      <w:lang w:val="en-US" w:eastAsia="zh-CN"/>
    </w:rPr>
  </w:style>
  <w:style w:type="character" w:customStyle="1" w:styleId="hps">
    <w:name w:val="hps"/>
    <w:rsid w:val="002E5AD7"/>
  </w:style>
  <w:style w:type="character" w:customStyle="1" w:styleId="footnote1Char">
    <w:name w:val="@footnote 1 Char"/>
    <w:link w:val="footnote1"/>
    <w:rsid w:val="002E5AD7"/>
    <w:rPr>
      <w:rFonts w:ascii="Arial" w:eastAsia="SimSun" w:hAnsi="Arial" w:cs="Times New Roman"/>
      <w:sz w:val="18"/>
      <w:szCs w:val="20"/>
      <w:lang w:val="en-US" w:eastAsia="zh-CN"/>
    </w:rPr>
  </w:style>
  <w:style w:type="paragraph" w:customStyle="1" w:styleId="Default">
    <w:name w:val="Default"/>
    <w:rsid w:val="008E75B7"/>
    <w:pPr>
      <w:autoSpaceDE w:val="0"/>
      <w:autoSpaceDN w:val="0"/>
      <w:adjustRightInd w:val="0"/>
    </w:pPr>
    <w:rPr>
      <w:rFonts w:ascii="Times New Roman" w:hAnsi="Times New Roman" w:cs="Times New Roman"/>
      <w:color w:val="000000"/>
      <w:lang w:val="en-GB"/>
    </w:rPr>
  </w:style>
  <w:style w:type="character" w:customStyle="1" w:styleId="atn">
    <w:name w:val="atn"/>
    <w:basedOn w:val="DefaultParagraphFont"/>
    <w:rsid w:val="0058733D"/>
  </w:style>
  <w:style w:type="character" w:styleId="Strong">
    <w:name w:val="Strong"/>
    <w:basedOn w:val="DefaultParagraphFont"/>
    <w:uiPriority w:val="22"/>
    <w:qFormat/>
    <w:rsid w:val="00216786"/>
    <w:rPr>
      <w:b/>
      <w:bCs/>
    </w:rPr>
  </w:style>
  <w:style w:type="character" w:customStyle="1" w:styleId="EnutiretCarCar">
    <w:name w:val="Enutiret Car Car"/>
    <w:rsid w:val="00415F08"/>
    <w:rPr>
      <w:rFonts w:ascii="Arial" w:eastAsia="SimSun" w:hAnsi="Arial" w:cs="Arial"/>
      <w:lang w:eastAsia="zh-CN"/>
    </w:rPr>
  </w:style>
  <w:style w:type="paragraph" w:customStyle="1" w:styleId="Informations">
    <w:name w:val="Informations"/>
    <w:basedOn w:val="Normal"/>
    <w:link w:val="InformationsCar"/>
    <w:rsid w:val="00415F08"/>
    <w:pPr>
      <w:tabs>
        <w:tab w:val="left" w:pos="567"/>
      </w:tabs>
      <w:snapToGrid w:val="0"/>
      <w:spacing w:after="60" w:line="280" w:lineRule="exact"/>
      <w:ind w:left="851"/>
      <w:jc w:val="both"/>
    </w:pPr>
    <w:rPr>
      <w:rFonts w:ascii="Arial" w:eastAsia="SimSun" w:hAnsi="Arial" w:cs="Arial"/>
      <w:i/>
      <w:color w:val="3366FF"/>
      <w:sz w:val="20"/>
      <w:szCs w:val="20"/>
      <w:lang w:val="fr-FR" w:eastAsia="zh-CN"/>
    </w:rPr>
  </w:style>
  <w:style w:type="character" w:customStyle="1" w:styleId="InformationsCar">
    <w:name w:val="Informations Car"/>
    <w:link w:val="Informations"/>
    <w:rsid w:val="00415F08"/>
    <w:rPr>
      <w:rFonts w:ascii="Arial" w:eastAsia="SimSun" w:hAnsi="Arial" w:cs="Arial"/>
      <w:i/>
      <w:color w:val="3366FF"/>
      <w:sz w:val="20"/>
      <w:szCs w:val="20"/>
      <w:lang w:val="fr-FR" w:eastAsia="zh-CN"/>
    </w:rPr>
  </w:style>
  <w:style w:type="paragraph" w:customStyle="1" w:styleId="COMParabodytext">
    <w:name w:val="COM Para body text"/>
    <w:basedOn w:val="Normal"/>
    <w:qFormat/>
    <w:rsid w:val="00573BEE"/>
    <w:pPr>
      <w:numPr>
        <w:numId w:val="4"/>
      </w:numPr>
      <w:tabs>
        <w:tab w:val="left" w:pos="567"/>
      </w:tabs>
      <w:snapToGrid w:val="0"/>
      <w:spacing w:after="120"/>
      <w:ind w:left="567" w:hanging="567"/>
      <w:jc w:val="both"/>
    </w:pPr>
    <w:rPr>
      <w:rFonts w:ascii="Arial" w:eastAsia="Times New Roman" w:hAnsi="Arial" w:cs="Arial"/>
      <w:snapToGrid w:val="0"/>
      <w:sz w:val="22"/>
      <w:szCs w:val="22"/>
      <w:lang w:val="en-US" w:eastAsia="en-US"/>
    </w:rPr>
  </w:style>
  <w:style w:type="paragraph" w:customStyle="1" w:styleId="diapo2">
    <w:name w:val="diapo2"/>
    <w:basedOn w:val="Normal"/>
    <w:link w:val="diapo2Car"/>
    <w:rsid w:val="00573BEE"/>
    <w:pPr>
      <w:keepNext/>
      <w:spacing w:before="200" w:after="60" w:line="280" w:lineRule="exact"/>
      <w:jc w:val="both"/>
    </w:pPr>
    <w:rPr>
      <w:rFonts w:ascii="Arial" w:eastAsia="SimSun" w:hAnsi="Arial" w:cs="Arial"/>
      <w:b/>
      <w:noProof/>
      <w:snapToGrid w:val="0"/>
      <w:szCs w:val="22"/>
      <w:lang w:val="fr-FR" w:eastAsia="en-US"/>
    </w:rPr>
  </w:style>
  <w:style w:type="character" w:customStyle="1" w:styleId="diapo2Car">
    <w:name w:val="diapo2 Car"/>
    <w:link w:val="diapo2"/>
    <w:rsid w:val="00573BEE"/>
    <w:rPr>
      <w:rFonts w:ascii="Arial" w:eastAsia="SimSun" w:hAnsi="Arial" w:cs="Arial"/>
      <w:b/>
      <w:noProof/>
      <w:snapToGrid w:val="0"/>
      <w:szCs w:val="22"/>
      <w:lang w:val="fr-FR" w:eastAsia="en-US"/>
    </w:rPr>
  </w:style>
  <w:style w:type="paragraph" w:customStyle="1" w:styleId="Marge">
    <w:name w:val="Marge"/>
    <w:basedOn w:val="Normal"/>
    <w:rsid w:val="00A832FA"/>
    <w:pPr>
      <w:tabs>
        <w:tab w:val="left" w:pos="567"/>
      </w:tabs>
      <w:snapToGrid w:val="0"/>
      <w:spacing w:after="240"/>
      <w:jc w:val="both"/>
    </w:pPr>
    <w:rPr>
      <w:rFonts w:ascii="Arial" w:eastAsia="Times New Roman" w:hAnsi="Arial" w:cs="Times New Roman"/>
      <w:sz w:val="22"/>
      <w:lang w:val="fr-FR" w:eastAsia="fr-FR"/>
    </w:rPr>
  </w:style>
  <w:style w:type="paragraph" w:styleId="EndnoteText">
    <w:name w:val="endnote text"/>
    <w:basedOn w:val="Normal"/>
    <w:link w:val="EndnoteTextChar"/>
    <w:uiPriority w:val="99"/>
    <w:semiHidden/>
    <w:unhideWhenUsed/>
    <w:rsid w:val="00AE6B77"/>
    <w:rPr>
      <w:sz w:val="20"/>
      <w:szCs w:val="20"/>
    </w:rPr>
  </w:style>
  <w:style w:type="character" w:customStyle="1" w:styleId="EndnoteTextChar">
    <w:name w:val="Endnote Text Char"/>
    <w:basedOn w:val="DefaultParagraphFont"/>
    <w:link w:val="EndnoteText"/>
    <w:uiPriority w:val="99"/>
    <w:semiHidden/>
    <w:rsid w:val="00AE6B77"/>
    <w:rPr>
      <w:sz w:val="20"/>
      <w:szCs w:val="20"/>
    </w:rPr>
  </w:style>
  <w:style w:type="character" w:styleId="EndnoteReference">
    <w:name w:val="endnote reference"/>
    <w:basedOn w:val="DefaultParagraphFont"/>
    <w:uiPriority w:val="99"/>
    <w:semiHidden/>
    <w:unhideWhenUsed/>
    <w:rsid w:val="00AE6B77"/>
    <w:rPr>
      <w:vertAlign w:val="superscript"/>
    </w:rPr>
  </w:style>
  <w:style w:type="paragraph" w:customStyle="1" w:styleId="Soustitre">
    <w:name w:val="Soustitre"/>
    <w:basedOn w:val="diapo2"/>
    <w:link w:val="SoustitreCar"/>
    <w:qFormat/>
    <w:rsid w:val="003F43A7"/>
    <w:pPr>
      <w:jc w:val="left"/>
    </w:pPr>
    <w:rPr>
      <w:bCs/>
      <w:i/>
      <w:snapToGrid/>
      <w:sz w:val="20"/>
      <w:szCs w:val="20"/>
    </w:rPr>
  </w:style>
  <w:style w:type="character" w:customStyle="1" w:styleId="SoustitreCar">
    <w:name w:val="Soustitre Car"/>
    <w:link w:val="Soustitre"/>
    <w:rsid w:val="003F43A7"/>
    <w:rPr>
      <w:rFonts w:ascii="Arial" w:eastAsia="SimSun" w:hAnsi="Arial" w:cs="Arial"/>
      <w:b/>
      <w:bCs/>
      <w:i/>
      <w:noProof/>
      <w:sz w:val="20"/>
      <w:szCs w:val="20"/>
      <w:lang w:val="fr-FR" w:eastAsia="en-US"/>
    </w:rPr>
  </w:style>
  <w:style w:type="paragraph" w:styleId="BodyText">
    <w:name w:val="Body Text"/>
    <w:basedOn w:val="Normal"/>
    <w:link w:val="BodyTextChar"/>
    <w:rsid w:val="00854088"/>
    <w:pPr>
      <w:jc w:val="both"/>
    </w:pPr>
    <w:rPr>
      <w:rFonts w:ascii="Times New Roman" w:eastAsia="Times New Roman" w:hAnsi="Times New Roman" w:cs="Times New Roman"/>
      <w:szCs w:val="20"/>
      <w:lang w:val="pt-BR" w:eastAsia="pt-BR"/>
    </w:rPr>
  </w:style>
  <w:style w:type="character" w:customStyle="1" w:styleId="BodyTextChar">
    <w:name w:val="Body Text Char"/>
    <w:basedOn w:val="DefaultParagraphFont"/>
    <w:link w:val="BodyText"/>
    <w:rsid w:val="00854088"/>
    <w:rPr>
      <w:rFonts w:ascii="Times New Roman" w:eastAsia="Times New Roman" w:hAnsi="Times New Roman" w:cs="Times New Roman"/>
      <w:szCs w:val="20"/>
      <w:lang w:val="pt-BR" w:eastAsia="pt-BR"/>
    </w:rPr>
  </w:style>
  <w:style w:type="paragraph" w:styleId="NoSpacing">
    <w:name w:val="No Spacing"/>
    <w:link w:val="NoSpacingChar"/>
    <w:uiPriority w:val="1"/>
    <w:qFormat/>
    <w:rsid w:val="003F5136"/>
    <w:rPr>
      <w:sz w:val="22"/>
      <w:szCs w:val="22"/>
      <w:lang w:val="en-US" w:eastAsia="zh-CN"/>
    </w:rPr>
  </w:style>
  <w:style w:type="character" w:customStyle="1" w:styleId="NoSpacingChar">
    <w:name w:val="No Spacing Char"/>
    <w:basedOn w:val="DefaultParagraphFont"/>
    <w:link w:val="NoSpacing"/>
    <w:uiPriority w:val="1"/>
    <w:rsid w:val="003F5136"/>
    <w:rPr>
      <w:sz w:val="22"/>
      <w:szCs w:val="22"/>
      <w:lang w:val="en-US" w:eastAsia="zh-CN"/>
    </w:rPr>
  </w:style>
  <w:style w:type="character" w:customStyle="1" w:styleId="apple-converted-space">
    <w:name w:val="apple-converted-space"/>
    <w:basedOn w:val="DefaultParagraphFont"/>
    <w:rsid w:val="003F5136"/>
  </w:style>
  <w:style w:type="character" w:styleId="UnresolvedMention">
    <w:name w:val="Unresolved Mention"/>
    <w:basedOn w:val="DefaultParagraphFont"/>
    <w:uiPriority w:val="99"/>
    <w:semiHidden/>
    <w:unhideWhenUsed/>
    <w:rsid w:val="003F5136"/>
    <w:rPr>
      <w:color w:val="605E5C"/>
      <w:shd w:val="clear" w:color="auto" w:fill="E1DFDD"/>
    </w:rPr>
  </w:style>
  <w:style w:type="paragraph" w:styleId="Caption">
    <w:name w:val="caption"/>
    <w:basedOn w:val="Normal"/>
    <w:next w:val="Normal"/>
    <w:uiPriority w:val="35"/>
    <w:unhideWhenUsed/>
    <w:qFormat/>
    <w:rsid w:val="003F5136"/>
    <w:pPr>
      <w:spacing w:after="200"/>
      <w:jc w:val="both"/>
    </w:pPr>
    <w:rPr>
      <w:rFonts w:asciiTheme="majorHAnsi" w:eastAsiaTheme="minorHAnsi" w:hAnsiTheme="majorHAnsi"/>
      <w:i/>
      <w:iCs/>
      <w:color w:val="1F497D" w:themeColor="text2"/>
      <w:sz w:val="18"/>
      <w:szCs w:val="18"/>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74308">
      <w:bodyDiv w:val="1"/>
      <w:marLeft w:val="0"/>
      <w:marRight w:val="0"/>
      <w:marTop w:val="0"/>
      <w:marBottom w:val="0"/>
      <w:divBdr>
        <w:top w:val="none" w:sz="0" w:space="0" w:color="auto"/>
        <w:left w:val="none" w:sz="0" w:space="0" w:color="auto"/>
        <w:bottom w:val="none" w:sz="0" w:space="0" w:color="auto"/>
        <w:right w:val="none" w:sz="0" w:space="0" w:color="auto"/>
      </w:divBdr>
    </w:div>
    <w:div w:id="107507312">
      <w:bodyDiv w:val="1"/>
      <w:marLeft w:val="0"/>
      <w:marRight w:val="0"/>
      <w:marTop w:val="0"/>
      <w:marBottom w:val="0"/>
      <w:divBdr>
        <w:top w:val="none" w:sz="0" w:space="0" w:color="auto"/>
        <w:left w:val="none" w:sz="0" w:space="0" w:color="auto"/>
        <w:bottom w:val="none" w:sz="0" w:space="0" w:color="auto"/>
        <w:right w:val="none" w:sz="0" w:space="0" w:color="auto"/>
      </w:divBdr>
    </w:div>
    <w:div w:id="117182786">
      <w:bodyDiv w:val="1"/>
      <w:marLeft w:val="0"/>
      <w:marRight w:val="0"/>
      <w:marTop w:val="0"/>
      <w:marBottom w:val="0"/>
      <w:divBdr>
        <w:top w:val="none" w:sz="0" w:space="0" w:color="auto"/>
        <w:left w:val="none" w:sz="0" w:space="0" w:color="auto"/>
        <w:bottom w:val="none" w:sz="0" w:space="0" w:color="auto"/>
        <w:right w:val="none" w:sz="0" w:space="0" w:color="auto"/>
      </w:divBdr>
    </w:div>
    <w:div w:id="160243188">
      <w:bodyDiv w:val="1"/>
      <w:marLeft w:val="0"/>
      <w:marRight w:val="0"/>
      <w:marTop w:val="0"/>
      <w:marBottom w:val="0"/>
      <w:divBdr>
        <w:top w:val="none" w:sz="0" w:space="0" w:color="auto"/>
        <w:left w:val="none" w:sz="0" w:space="0" w:color="auto"/>
        <w:bottom w:val="none" w:sz="0" w:space="0" w:color="auto"/>
        <w:right w:val="none" w:sz="0" w:space="0" w:color="auto"/>
      </w:divBdr>
    </w:div>
    <w:div w:id="375353212">
      <w:bodyDiv w:val="1"/>
      <w:marLeft w:val="0"/>
      <w:marRight w:val="0"/>
      <w:marTop w:val="0"/>
      <w:marBottom w:val="0"/>
      <w:divBdr>
        <w:top w:val="none" w:sz="0" w:space="0" w:color="auto"/>
        <w:left w:val="none" w:sz="0" w:space="0" w:color="auto"/>
        <w:bottom w:val="none" w:sz="0" w:space="0" w:color="auto"/>
        <w:right w:val="none" w:sz="0" w:space="0" w:color="auto"/>
      </w:divBdr>
    </w:div>
    <w:div w:id="384138472">
      <w:bodyDiv w:val="1"/>
      <w:marLeft w:val="0"/>
      <w:marRight w:val="0"/>
      <w:marTop w:val="0"/>
      <w:marBottom w:val="0"/>
      <w:divBdr>
        <w:top w:val="none" w:sz="0" w:space="0" w:color="auto"/>
        <w:left w:val="none" w:sz="0" w:space="0" w:color="auto"/>
        <w:bottom w:val="none" w:sz="0" w:space="0" w:color="auto"/>
        <w:right w:val="none" w:sz="0" w:space="0" w:color="auto"/>
      </w:divBdr>
    </w:div>
    <w:div w:id="481167244">
      <w:bodyDiv w:val="1"/>
      <w:marLeft w:val="0"/>
      <w:marRight w:val="0"/>
      <w:marTop w:val="0"/>
      <w:marBottom w:val="0"/>
      <w:divBdr>
        <w:top w:val="none" w:sz="0" w:space="0" w:color="auto"/>
        <w:left w:val="none" w:sz="0" w:space="0" w:color="auto"/>
        <w:bottom w:val="none" w:sz="0" w:space="0" w:color="auto"/>
        <w:right w:val="none" w:sz="0" w:space="0" w:color="auto"/>
      </w:divBdr>
    </w:div>
    <w:div w:id="509835105">
      <w:bodyDiv w:val="1"/>
      <w:marLeft w:val="0"/>
      <w:marRight w:val="0"/>
      <w:marTop w:val="0"/>
      <w:marBottom w:val="0"/>
      <w:divBdr>
        <w:top w:val="none" w:sz="0" w:space="0" w:color="auto"/>
        <w:left w:val="none" w:sz="0" w:space="0" w:color="auto"/>
        <w:bottom w:val="none" w:sz="0" w:space="0" w:color="auto"/>
        <w:right w:val="none" w:sz="0" w:space="0" w:color="auto"/>
      </w:divBdr>
    </w:div>
    <w:div w:id="687222254">
      <w:bodyDiv w:val="1"/>
      <w:marLeft w:val="0"/>
      <w:marRight w:val="0"/>
      <w:marTop w:val="0"/>
      <w:marBottom w:val="0"/>
      <w:divBdr>
        <w:top w:val="none" w:sz="0" w:space="0" w:color="auto"/>
        <w:left w:val="none" w:sz="0" w:space="0" w:color="auto"/>
        <w:bottom w:val="none" w:sz="0" w:space="0" w:color="auto"/>
        <w:right w:val="none" w:sz="0" w:space="0" w:color="auto"/>
      </w:divBdr>
    </w:div>
    <w:div w:id="1014309391">
      <w:bodyDiv w:val="1"/>
      <w:marLeft w:val="0"/>
      <w:marRight w:val="0"/>
      <w:marTop w:val="0"/>
      <w:marBottom w:val="0"/>
      <w:divBdr>
        <w:top w:val="none" w:sz="0" w:space="0" w:color="auto"/>
        <w:left w:val="none" w:sz="0" w:space="0" w:color="auto"/>
        <w:bottom w:val="none" w:sz="0" w:space="0" w:color="auto"/>
        <w:right w:val="none" w:sz="0" w:space="0" w:color="auto"/>
      </w:divBdr>
      <w:divsChild>
        <w:div w:id="281544135">
          <w:marLeft w:val="0"/>
          <w:marRight w:val="0"/>
          <w:marTop w:val="0"/>
          <w:marBottom w:val="0"/>
          <w:divBdr>
            <w:top w:val="none" w:sz="0" w:space="0" w:color="auto"/>
            <w:left w:val="none" w:sz="0" w:space="0" w:color="auto"/>
            <w:bottom w:val="none" w:sz="0" w:space="0" w:color="auto"/>
            <w:right w:val="none" w:sz="0" w:space="0" w:color="auto"/>
          </w:divBdr>
          <w:divsChild>
            <w:div w:id="883249168">
              <w:marLeft w:val="0"/>
              <w:marRight w:val="0"/>
              <w:marTop w:val="0"/>
              <w:marBottom w:val="0"/>
              <w:divBdr>
                <w:top w:val="none" w:sz="0" w:space="0" w:color="auto"/>
                <w:left w:val="none" w:sz="0" w:space="0" w:color="auto"/>
                <w:bottom w:val="none" w:sz="0" w:space="0" w:color="auto"/>
                <w:right w:val="none" w:sz="0" w:space="0" w:color="auto"/>
              </w:divBdr>
              <w:divsChild>
                <w:div w:id="21589798">
                  <w:marLeft w:val="0"/>
                  <w:marRight w:val="0"/>
                  <w:marTop w:val="0"/>
                  <w:marBottom w:val="0"/>
                  <w:divBdr>
                    <w:top w:val="none" w:sz="0" w:space="0" w:color="auto"/>
                    <w:left w:val="none" w:sz="0" w:space="0" w:color="auto"/>
                    <w:bottom w:val="none" w:sz="0" w:space="0" w:color="auto"/>
                    <w:right w:val="none" w:sz="0" w:space="0" w:color="auto"/>
                  </w:divBdr>
                  <w:divsChild>
                    <w:div w:id="1040280716">
                      <w:marLeft w:val="0"/>
                      <w:marRight w:val="0"/>
                      <w:marTop w:val="0"/>
                      <w:marBottom w:val="0"/>
                      <w:divBdr>
                        <w:top w:val="none" w:sz="0" w:space="0" w:color="auto"/>
                        <w:left w:val="none" w:sz="0" w:space="0" w:color="auto"/>
                        <w:bottom w:val="none" w:sz="0" w:space="0" w:color="auto"/>
                        <w:right w:val="none" w:sz="0" w:space="0" w:color="auto"/>
                      </w:divBdr>
                    </w:div>
                    <w:div w:id="165572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9950578">
      <w:bodyDiv w:val="1"/>
      <w:marLeft w:val="0"/>
      <w:marRight w:val="0"/>
      <w:marTop w:val="0"/>
      <w:marBottom w:val="0"/>
      <w:divBdr>
        <w:top w:val="none" w:sz="0" w:space="0" w:color="auto"/>
        <w:left w:val="none" w:sz="0" w:space="0" w:color="auto"/>
        <w:bottom w:val="none" w:sz="0" w:space="0" w:color="auto"/>
        <w:right w:val="none" w:sz="0" w:space="0" w:color="auto"/>
      </w:divBdr>
    </w:div>
    <w:div w:id="1335180180">
      <w:bodyDiv w:val="1"/>
      <w:marLeft w:val="0"/>
      <w:marRight w:val="0"/>
      <w:marTop w:val="0"/>
      <w:marBottom w:val="0"/>
      <w:divBdr>
        <w:top w:val="none" w:sz="0" w:space="0" w:color="auto"/>
        <w:left w:val="none" w:sz="0" w:space="0" w:color="auto"/>
        <w:bottom w:val="none" w:sz="0" w:space="0" w:color="auto"/>
        <w:right w:val="none" w:sz="0" w:space="0" w:color="auto"/>
      </w:divBdr>
    </w:div>
    <w:div w:id="1534150817">
      <w:bodyDiv w:val="1"/>
      <w:marLeft w:val="0"/>
      <w:marRight w:val="0"/>
      <w:marTop w:val="0"/>
      <w:marBottom w:val="0"/>
      <w:divBdr>
        <w:top w:val="none" w:sz="0" w:space="0" w:color="auto"/>
        <w:left w:val="none" w:sz="0" w:space="0" w:color="auto"/>
        <w:bottom w:val="none" w:sz="0" w:space="0" w:color="auto"/>
        <w:right w:val="none" w:sz="0" w:space="0" w:color="auto"/>
      </w:divBdr>
      <w:divsChild>
        <w:div w:id="1912036124">
          <w:marLeft w:val="0"/>
          <w:marRight w:val="0"/>
          <w:marTop w:val="0"/>
          <w:marBottom w:val="0"/>
          <w:divBdr>
            <w:top w:val="none" w:sz="0" w:space="0" w:color="auto"/>
            <w:left w:val="none" w:sz="0" w:space="0" w:color="auto"/>
            <w:bottom w:val="none" w:sz="0" w:space="0" w:color="auto"/>
            <w:right w:val="none" w:sz="0" w:space="0" w:color="auto"/>
          </w:divBdr>
          <w:divsChild>
            <w:div w:id="2027977549">
              <w:marLeft w:val="0"/>
              <w:marRight w:val="0"/>
              <w:marTop w:val="0"/>
              <w:marBottom w:val="0"/>
              <w:divBdr>
                <w:top w:val="none" w:sz="0" w:space="0" w:color="auto"/>
                <w:left w:val="none" w:sz="0" w:space="0" w:color="auto"/>
                <w:bottom w:val="none" w:sz="0" w:space="0" w:color="auto"/>
                <w:right w:val="none" w:sz="0" w:space="0" w:color="auto"/>
              </w:divBdr>
              <w:divsChild>
                <w:div w:id="1035470528">
                  <w:marLeft w:val="0"/>
                  <w:marRight w:val="0"/>
                  <w:marTop w:val="0"/>
                  <w:marBottom w:val="0"/>
                  <w:divBdr>
                    <w:top w:val="none" w:sz="0" w:space="0" w:color="auto"/>
                    <w:left w:val="none" w:sz="0" w:space="0" w:color="auto"/>
                    <w:bottom w:val="none" w:sz="0" w:space="0" w:color="auto"/>
                    <w:right w:val="none" w:sz="0" w:space="0" w:color="auto"/>
                  </w:divBdr>
                  <w:divsChild>
                    <w:div w:id="143396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9755610">
      <w:bodyDiv w:val="1"/>
      <w:marLeft w:val="0"/>
      <w:marRight w:val="0"/>
      <w:marTop w:val="0"/>
      <w:marBottom w:val="0"/>
      <w:divBdr>
        <w:top w:val="none" w:sz="0" w:space="0" w:color="auto"/>
        <w:left w:val="none" w:sz="0" w:space="0" w:color="auto"/>
        <w:bottom w:val="none" w:sz="0" w:space="0" w:color="auto"/>
        <w:right w:val="none" w:sz="0" w:space="0" w:color="auto"/>
      </w:divBdr>
    </w:div>
    <w:div w:id="1555696544">
      <w:bodyDiv w:val="1"/>
      <w:marLeft w:val="0"/>
      <w:marRight w:val="0"/>
      <w:marTop w:val="0"/>
      <w:marBottom w:val="0"/>
      <w:divBdr>
        <w:top w:val="none" w:sz="0" w:space="0" w:color="auto"/>
        <w:left w:val="none" w:sz="0" w:space="0" w:color="auto"/>
        <w:bottom w:val="none" w:sz="0" w:space="0" w:color="auto"/>
        <w:right w:val="none" w:sz="0" w:space="0" w:color="auto"/>
      </w:divBdr>
    </w:div>
    <w:div w:id="1632786809">
      <w:bodyDiv w:val="1"/>
      <w:marLeft w:val="0"/>
      <w:marRight w:val="0"/>
      <w:marTop w:val="0"/>
      <w:marBottom w:val="0"/>
      <w:divBdr>
        <w:top w:val="none" w:sz="0" w:space="0" w:color="auto"/>
        <w:left w:val="none" w:sz="0" w:space="0" w:color="auto"/>
        <w:bottom w:val="none" w:sz="0" w:space="0" w:color="auto"/>
        <w:right w:val="none" w:sz="0" w:space="0" w:color="auto"/>
      </w:divBdr>
    </w:div>
    <w:div w:id="1680085136">
      <w:bodyDiv w:val="1"/>
      <w:marLeft w:val="0"/>
      <w:marRight w:val="0"/>
      <w:marTop w:val="0"/>
      <w:marBottom w:val="0"/>
      <w:divBdr>
        <w:top w:val="none" w:sz="0" w:space="0" w:color="auto"/>
        <w:left w:val="none" w:sz="0" w:space="0" w:color="auto"/>
        <w:bottom w:val="none" w:sz="0" w:space="0" w:color="auto"/>
        <w:right w:val="none" w:sz="0" w:space="0" w:color="auto"/>
      </w:divBdr>
    </w:div>
    <w:div w:id="1706558616">
      <w:bodyDiv w:val="1"/>
      <w:marLeft w:val="0"/>
      <w:marRight w:val="0"/>
      <w:marTop w:val="0"/>
      <w:marBottom w:val="0"/>
      <w:divBdr>
        <w:top w:val="none" w:sz="0" w:space="0" w:color="auto"/>
        <w:left w:val="none" w:sz="0" w:space="0" w:color="auto"/>
        <w:bottom w:val="none" w:sz="0" w:space="0" w:color="auto"/>
        <w:right w:val="none" w:sz="0" w:space="0" w:color="auto"/>
      </w:divBdr>
    </w:div>
    <w:div w:id="1766076587">
      <w:bodyDiv w:val="1"/>
      <w:marLeft w:val="0"/>
      <w:marRight w:val="0"/>
      <w:marTop w:val="0"/>
      <w:marBottom w:val="0"/>
      <w:divBdr>
        <w:top w:val="none" w:sz="0" w:space="0" w:color="auto"/>
        <w:left w:val="none" w:sz="0" w:space="0" w:color="auto"/>
        <w:bottom w:val="none" w:sz="0" w:space="0" w:color="auto"/>
        <w:right w:val="none" w:sz="0" w:space="0" w:color="auto"/>
      </w:divBdr>
    </w:div>
    <w:div w:id="1927693341">
      <w:bodyDiv w:val="1"/>
      <w:marLeft w:val="0"/>
      <w:marRight w:val="0"/>
      <w:marTop w:val="0"/>
      <w:marBottom w:val="0"/>
      <w:divBdr>
        <w:top w:val="none" w:sz="0" w:space="0" w:color="auto"/>
        <w:left w:val="none" w:sz="0" w:space="0" w:color="auto"/>
        <w:bottom w:val="none" w:sz="0" w:space="0" w:color="auto"/>
        <w:right w:val="none" w:sz="0" w:space="0" w:color="auto"/>
      </w:divBdr>
    </w:div>
    <w:div w:id="209643779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hc.unesco.org/en/list/689/document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A18BC3-AF5C-4B22-8EA1-36FE938FA3AE}">
  <ds:schemaRefs>
    <ds:schemaRef ds:uri="http://schemas.openxmlformats.org/officeDocument/2006/bibliography"/>
  </ds:schemaRefs>
</ds:datastoreItem>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Normal.dotm</Template>
  <TotalTime>60</TotalTime>
  <Pages>11</Pages>
  <Words>4301</Words>
  <Characters>24520</Characters>
  <Application>Microsoft Office Word</Application>
  <DocSecurity>0</DocSecurity>
  <Lines>204</Lines>
  <Paragraphs>57</Paragraphs>
  <ScaleCrop>false</ScaleCrop>
  <HeadingPairs>
    <vt:vector size="6" baseType="variant">
      <vt:variant>
        <vt:lpstr>Title</vt:lpstr>
      </vt:variant>
      <vt:variant>
        <vt:i4>1</vt:i4>
      </vt:variant>
      <vt:variant>
        <vt:lpstr>Título</vt:lpstr>
      </vt:variant>
      <vt:variant>
        <vt:i4>1</vt:i4>
      </vt:variant>
      <vt:variant>
        <vt:lpstr>Titre</vt:lpstr>
      </vt:variant>
      <vt:variant>
        <vt:i4>1</vt:i4>
      </vt:variant>
    </vt:vector>
  </HeadingPairs>
  <TitlesOfParts>
    <vt:vector size="3" baseType="lpstr">
      <vt:lpstr>noteparticipant-fr</vt:lpstr>
      <vt:lpstr>noteparticipant-fr</vt:lpstr>
      <vt:lpstr>noteparticipant-fr</vt:lpstr>
    </vt:vector>
  </TitlesOfParts>
  <Company>Hewlett-Packard</Company>
  <LinksUpToDate>false</LinksUpToDate>
  <CharactersWithSpaces>28764</CharactersWithSpaces>
  <SharedDoc>false</SharedDoc>
  <HyperlinkBase/>
  <HLinks>
    <vt:vector size="6" baseType="variant">
      <vt:variant>
        <vt:i4>1900632</vt:i4>
      </vt:variant>
      <vt:variant>
        <vt:i4>0</vt:i4>
      </vt:variant>
      <vt:variant>
        <vt:i4>0</vt:i4>
      </vt:variant>
      <vt:variant>
        <vt:i4>5</vt:i4>
      </vt:variant>
      <vt:variant>
        <vt:lpwstr>http://www.unesco.org/culture/ich/doc/src/ITH-13-8.COM-13.a_-FR.doc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noteparticipant-fr</dc:title>
  <dc:creator>A. Cunningham</dc:creator>
  <cp:lastModifiedBy>LHE-CAP</cp:lastModifiedBy>
  <cp:revision>11</cp:revision>
  <dcterms:created xsi:type="dcterms:W3CDTF">2024-08-17T15:29:00Z</dcterms:created>
  <dcterms:modified xsi:type="dcterms:W3CDTF">2025-04-02T14:09:00Z</dcterms:modified>
</cp:coreProperties>
</file>