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96623" w14:textId="4317EB04" w:rsidR="00D224BF" w:rsidRDefault="00D224BF" w:rsidP="00D224BF">
      <w:pPr>
        <w:tabs>
          <w:tab w:val="left" w:pos="567"/>
        </w:tabs>
        <w:snapToGrid w:val="0"/>
        <w:spacing w:before="840" w:after="240"/>
        <w:contextualSpacing/>
        <w:rPr>
          <w:rFonts w:ascii="Arial" w:eastAsia="Calibri" w:hAnsi="Arial" w:cs="Arial"/>
          <w:b/>
          <w:bCs/>
          <w:snapToGrid w:val="0"/>
          <w:sz w:val="22"/>
          <w:szCs w:val="22"/>
          <w:lang w:val="es-ES" w:eastAsia="zh-CN"/>
        </w:rPr>
      </w:pPr>
      <w:bookmarkStart w:id="0" w:name="_Hlk193978097"/>
      <w:bookmarkStart w:id="1" w:name="_Toc154220417"/>
      <w:bookmarkStart w:id="2" w:name="_Toc302374671"/>
      <w:bookmarkStart w:id="3" w:name="_Toc241644684"/>
      <w:bookmarkStart w:id="4" w:name="_Hlk188636985"/>
    </w:p>
    <w:bookmarkEnd w:id="0"/>
    <w:p w14:paraId="27E6F01B" w14:textId="77777777" w:rsidR="00D224BF" w:rsidRDefault="00D224BF" w:rsidP="00D224BF">
      <w:pPr>
        <w:tabs>
          <w:tab w:val="left" w:pos="567"/>
        </w:tabs>
        <w:snapToGrid w:val="0"/>
        <w:spacing w:before="1440" w:after="240"/>
        <w:contextualSpacing/>
        <w:jc w:val="center"/>
        <w:rPr>
          <w:rFonts w:ascii="Arial" w:eastAsia="SimSun" w:hAnsi="Arial" w:cs="Arial"/>
          <w:b/>
          <w:snapToGrid w:val="0"/>
          <w:sz w:val="22"/>
          <w:szCs w:val="22"/>
          <w:lang w:val="es-ES" w:eastAsia="zh-CN"/>
        </w:rPr>
      </w:pPr>
    </w:p>
    <w:p w14:paraId="7EFC8B57" w14:textId="6805219A" w:rsidR="00D224BF" w:rsidRPr="001165F6" w:rsidRDefault="00D224BF" w:rsidP="00D224BF">
      <w:pPr>
        <w:tabs>
          <w:tab w:val="left" w:pos="567"/>
        </w:tabs>
        <w:snapToGrid w:val="0"/>
        <w:spacing w:before="1440" w:after="240"/>
        <w:contextualSpacing/>
        <w:jc w:val="center"/>
        <w:rPr>
          <w:rFonts w:ascii="Arial" w:eastAsia="SimSun" w:hAnsi="Arial" w:cs="Arial"/>
          <w:b/>
          <w:snapToGrid w:val="0"/>
          <w:sz w:val="22"/>
          <w:szCs w:val="22"/>
          <w:lang w:val="es-ES" w:eastAsia="zh-CN"/>
        </w:rPr>
      </w:pPr>
      <w:bookmarkStart w:id="5" w:name="_Hlk193978852"/>
      <w:r w:rsidRPr="001165F6">
        <w:rPr>
          <w:rFonts w:ascii="Arial" w:eastAsia="SimSun" w:hAnsi="Arial" w:cs="Arial"/>
          <w:b/>
          <w:snapToGrid w:val="0"/>
          <w:sz w:val="22"/>
          <w:szCs w:val="22"/>
          <w:lang w:val="es-ES" w:eastAsia="zh-CN"/>
        </w:rPr>
        <w:t>CONVENCIÓN PA</w:t>
      </w:r>
      <w:r>
        <w:rPr>
          <w:rFonts w:ascii="Arial" w:eastAsia="SimSun" w:hAnsi="Arial" w:cs="Arial"/>
          <w:b/>
          <w:snapToGrid w:val="0"/>
          <w:sz w:val="22"/>
          <w:szCs w:val="22"/>
          <w:lang w:val="es-ES" w:eastAsia="zh-CN"/>
        </w:rPr>
        <w:t>R</w:t>
      </w:r>
      <w:r w:rsidRPr="001165F6">
        <w:rPr>
          <w:rFonts w:ascii="Arial" w:eastAsia="SimSun" w:hAnsi="Arial" w:cs="Arial"/>
          <w:b/>
          <w:snapToGrid w:val="0"/>
          <w:sz w:val="22"/>
          <w:szCs w:val="22"/>
          <w:lang w:val="es-ES" w:eastAsia="zh-CN"/>
        </w:rPr>
        <w:t>A LA SALVAGUARDIA DEL</w:t>
      </w:r>
      <w:r w:rsidRPr="001165F6">
        <w:rPr>
          <w:rFonts w:ascii="Arial" w:eastAsia="SimSun" w:hAnsi="Arial" w:cs="Arial"/>
          <w:b/>
          <w:snapToGrid w:val="0"/>
          <w:sz w:val="22"/>
          <w:szCs w:val="22"/>
          <w:lang w:val="es-ES" w:eastAsia="zh-CN"/>
        </w:rPr>
        <w:br/>
        <w:t>PATRIMONIO CULTURAL INMATERIAL</w:t>
      </w:r>
    </w:p>
    <w:p w14:paraId="397A806B" w14:textId="77777777" w:rsidR="00D224BF" w:rsidRPr="001165F6" w:rsidRDefault="00D224BF" w:rsidP="00D224BF">
      <w:pPr>
        <w:tabs>
          <w:tab w:val="left" w:pos="567"/>
        </w:tabs>
        <w:snapToGrid w:val="0"/>
        <w:spacing w:before="1200" w:after="120"/>
        <w:ind w:right="-1"/>
        <w:jc w:val="center"/>
        <w:rPr>
          <w:rFonts w:ascii="Arial" w:eastAsia="Calibri" w:hAnsi="Arial" w:cs="Arial"/>
          <w:b/>
          <w:bCs/>
          <w:caps/>
          <w:snapToGrid w:val="0"/>
          <w:sz w:val="22"/>
          <w:szCs w:val="22"/>
          <w:lang w:val="es-ES" w:eastAsia="zh-CN"/>
        </w:rPr>
      </w:pPr>
      <w:bookmarkStart w:id="6" w:name="_Hlk70514086"/>
      <w:r w:rsidRPr="001165F6">
        <w:rPr>
          <w:rFonts w:ascii="Arial" w:eastAsia="Calibri" w:hAnsi="Arial" w:cs="Arial"/>
          <w:b/>
          <w:bCs/>
          <w:caps/>
          <w:snapToGrid w:val="0"/>
          <w:sz w:val="22"/>
          <w:szCs w:val="22"/>
          <w:lang w:val="es-ES" w:eastAsia="zh-CN"/>
        </w:rPr>
        <w:t>Formación de formadores sobre patrimonio vivo y desarrollo urbano sostenible</w:t>
      </w:r>
    </w:p>
    <w:p w14:paraId="2B9D4D6F" w14:textId="77777777" w:rsidR="00D224BF" w:rsidRPr="001165F6" w:rsidRDefault="00D224BF" w:rsidP="00D224BF">
      <w:pPr>
        <w:tabs>
          <w:tab w:val="left" w:pos="567"/>
        </w:tabs>
        <w:snapToGrid w:val="0"/>
        <w:spacing w:before="1200" w:after="120"/>
        <w:ind w:right="-1"/>
        <w:jc w:val="center"/>
        <w:rPr>
          <w:rFonts w:ascii="Arial" w:eastAsia="Calibri" w:hAnsi="Arial" w:cs="Arial"/>
          <w:b/>
          <w:bCs/>
          <w:caps/>
          <w:snapToGrid w:val="0"/>
          <w:sz w:val="22"/>
          <w:szCs w:val="22"/>
          <w:lang w:val="es-ES" w:eastAsia="zh-CN"/>
        </w:rPr>
      </w:pPr>
      <w:r w:rsidRPr="001165F6">
        <w:rPr>
          <w:rFonts w:ascii="Arial" w:eastAsia="Calibri" w:hAnsi="Arial" w:cs="Arial"/>
          <w:b/>
          <w:bCs/>
          <w:caps/>
          <w:snapToGrid w:val="0"/>
          <w:sz w:val="22"/>
          <w:szCs w:val="22"/>
          <w:lang w:val="es-ES" w:eastAsia="zh-CN"/>
        </w:rPr>
        <w:t>Fortalecimiento de capacidades para comunidades resilientes a través turismo sostenible y la salvaguardia del patrimonio en América Latina y el Caribe</w:t>
      </w:r>
    </w:p>
    <w:bookmarkEnd w:id="6"/>
    <w:p w14:paraId="4CB05684" w14:textId="77777777" w:rsidR="00D224BF" w:rsidRPr="001165F6" w:rsidRDefault="00D224BF" w:rsidP="00D224BF">
      <w:pPr>
        <w:tabs>
          <w:tab w:val="left" w:pos="567"/>
        </w:tabs>
        <w:snapToGrid w:val="0"/>
        <w:spacing w:before="840" w:after="120"/>
        <w:jc w:val="center"/>
        <w:rPr>
          <w:rFonts w:ascii="Arial" w:eastAsia="Calibri" w:hAnsi="Arial" w:cs="Arial"/>
          <w:b/>
          <w:bCs/>
          <w:snapToGrid w:val="0"/>
          <w:sz w:val="22"/>
          <w:szCs w:val="22"/>
          <w:lang w:val="es-ES" w:eastAsia="zh-CN"/>
        </w:rPr>
      </w:pPr>
      <w:r w:rsidRPr="001165F6">
        <w:rPr>
          <w:rFonts w:ascii="Arial" w:eastAsia="Calibri" w:hAnsi="Arial" w:cs="Arial"/>
          <w:b/>
          <w:bCs/>
          <w:snapToGrid w:val="0"/>
          <w:sz w:val="22"/>
          <w:szCs w:val="22"/>
          <w:lang w:val="es-ES" w:eastAsia="zh-CN"/>
        </w:rPr>
        <w:t>5, 7, 19, 27, 28 de marzo y 1 de abril de 2025</w:t>
      </w:r>
      <w:r w:rsidRPr="001165F6">
        <w:rPr>
          <w:rFonts w:ascii="Arial" w:eastAsia="Calibri" w:hAnsi="Arial" w:cs="Arial"/>
          <w:b/>
          <w:bCs/>
          <w:snapToGrid w:val="0"/>
          <w:sz w:val="22"/>
          <w:szCs w:val="22"/>
          <w:lang w:val="es-ES" w:eastAsia="zh-CN"/>
        </w:rPr>
        <w:br/>
        <w:t>En línea</w:t>
      </w:r>
    </w:p>
    <w:p w14:paraId="78FC76E2" w14:textId="77777777" w:rsidR="00421A1F" w:rsidRDefault="00421A1F" w:rsidP="00421A1F">
      <w:pPr>
        <w:tabs>
          <w:tab w:val="left" w:pos="567"/>
        </w:tabs>
        <w:snapToGrid w:val="0"/>
        <w:spacing w:before="840" w:after="120"/>
        <w:jc w:val="center"/>
        <w:rPr>
          <w:rFonts w:ascii="Arial" w:eastAsia="Calibri" w:hAnsi="Arial" w:cs="Arial"/>
          <w:b/>
          <w:bCs/>
          <w:snapToGrid w:val="0"/>
          <w:sz w:val="22"/>
          <w:szCs w:val="22"/>
          <w:lang w:val="es-ES" w:eastAsia="zh-CN"/>
        </w:rPr>
      </w:pPr>
      <w:r w:rsidRPr="00F605B7">
        <w:rPr>
          <w:rFonts w:ascii="Arial" w:eastAsia="Calibri" w:hAnsi="Arial" w:cs="Arial"/>
          <w:b/>
          <w:bCs/>
          <w:snapToGrid w:val="0"/>
          <w:sz w:val="22"/>
          <w:szCs w:val="22"/>
          <w:lang w:val="es-ES" w:eastAsia="zh-CN"/>
        </w:rPr>
        <w:t xml:space="preserve">Unidad 3: Abordaje práctico para la salvaguardia del patrimonio vivo en contextos urbanos          </w:t>
      </w:r>
    </w:p>
    <w:p w14:paraId="60B75F91" w14:textId="54342D4D" w:rsidR="00D224BF" w:rsidRDefault="00D224BF" w:rsidP="00D224BF">
      <w:pPr>
        <w:tabs>
          <w:tab w:val="left" w:pos="567"/>
        </w:tabs>
        <w:snapToGrid w:val="0"/>
        <w:spacing w:before="840" w:after="120"/>
        <w:jc w:val="center"/>
        <w:rPr>
          <w:rFonts w:ascii="Arial" w:eastAsia="Calibri" w:hAnsi="Arial" w:cs="Arial"/>
          <w:b/>
          <w:bCs/>
          <w:snapToGrid w:val="0"/>
          <w:sz w:val="22"/>
          <w:szCs w:val="22"/>
          <w:lang w:val="es-ES" w:eastAsia="zh-CN"/>
        </w:rPr>
      </w:pPr>
      <w:r>
        <w:rPr>
          <w:rFonts w:ascii="Arial" w:eastAsia="Calibri" w:hAnsi="Arial" w:cs="Arial"/>
          <w:b/>
          <w:bCs/>
          <w:snapToGrid w:val="0"/>
          <w:sz w:val="22"/>
          <w:szCs w:val="22"/>
          <w:lang w:val="es-ES" w:eastAsia="zh-CN"/>
        </w:rPr>
        <w:t xml:space="preserve">Caso de estudio </w:t>
      </w:r>
      <w:r w:rsidR="00111435">
        <w:rPr>
          <w:rFonts w:ascii="Arial" w:eastAsia="Calibri" w:hAnsi="Arial" w:cs="Arial"/>
          <w:b/>
          <w:bCs/>
          <w:snapToGrid w:val="0"/>
          <w:sz w:val="22"/>
          <w:szCs w:val="22"/>
          <w:lang w:val="es-ES" w:eastAsia="zh-CN"/>
        </w:rPr>
        <w:t>2</w:t>
      </w:r>
    </w:p>
    <w:bookmarkEnd w:id="5"/>
    <w:p w14:paraId="5EF217EC" w14:textId="77777777" w:rsidR="00D224BF" w:rsidRDefault="00D224BF" w:rsidP="00D224BF">
      <w:pPr>
        <w:spacing w:after="100" w:afterAutospacing="1"/>
        <w:jc w:val="both"/>
        <w:rPr>
          <w:rFonts w:asciiTheme="minorBidi" w:hAnsiTheme="minorBidi"/>
          <w:sz w:val="22"/>
          <w:szCs w:val="22"/>
          <w:lang w:val="es-ES"/>
        </w:rPr>
      </w:pPr>
    </w:p>
    <w:p w14:paraId="14897B72" w14:textId="77777777" w:rsidR="00D224BF" w:rsidRDefault="00D224BF" w:rsidP="00D224BF">
      <w:pPr>
        <w:spacing w:after="100" w:afterAutospacing="1"/>
        <w:jc w:val="both"/>
        <w:rPr>
          <w:rFonts w:asciiTheme="minorBidi" w:hAnsiTheme="minorBidi"/>
          <w:sz w:val="22"/>
          <w:szCs w:val="22"/>
          <w:lang w:val="es-ES"/>
        </w:rPr>
      </w:pPr>
    </w:p>
    <w:p w14:paraId="492E6C6F" w14:textId="77777777" w:rsidR="00D224BF" w:rsidRDefault="00D224BF" w:rsidP="00D224BF">
      <w:pPr>
        <w:spacing w:after="100" w:afterAutospacing="1"/>
        <w:jc w:val="both"/>
        <w:rPr>
          <w:rFonts w:asciiTheme="minorBidi" w:hAnsiTheme="minorBidi"/>
          <w:sz w:val="22"/>
          <w:szCs w:val="22"/>
          <w:lang w:val="es-ES"/>
        </w:rPr>
      </w:pPr>
    </w:p>
    <w:p w14:paraId="131CBB22" w14:textId="77777777" w:rsidR="00D224BF" w:rsidRDefault="00D224BF" w:rsidP="00D224BF">
      <w:pPr>
        <w:spacing w:after="100" w:afterAutospacing="1"/>
        <w:jc w:val="both"/>
        <w:rPr>
          <w:rFonts w:asciiTheme="minorBidi" w:hAnsiTheme="minorBidi"/>
          <w:sz w:val="22"/>
          <w:szCs w:val="22"/>
          <w:lang w:val="es-ES"/>
        </w:rPr>
      </w:pPr>
    </w:p>
    <w:p w14:paraId="53689168" w14:textId="31E3D24D" w:rsidR="00D224BF" w:rsidRDefault="00D224BF" w:rsidP="00D224BF">
      <w:pPr>
        <w:widowControl w:val="0"/>
        <w:autoSpaceDE w:val="0"/>
        <w:autoSpaceDN w:val="0"/>
        <w:adjustRightInd w:val="0"/>
        <w:spacing w:before="480" w:after="480"/>
        <w:jc w:val="both"/>
        <w:rPr>
          <w:rFonts w:asciiTheme="minorBidi" w:hAnsiTheme="minorBidi"/>
          <w:sz w:val="22"/>
          <w:szCs w:val="22"/>
          <w:lang w:val="es-ES"/>
        </w:rPr>
      </w:pPr>
      <w:bookmarkStart w:id="7" w:name="_Hlk193978874"/>
      <w:r w:rsidRPr="001165F6">
        <w:rPr>
          <w:rFonts w:asciiTheme="minorBidi" w:hAnsiTheme="minorBidi"/>
          <w:sz w:val="22"/>
          <w:szCs w:val="22"/>
          <w:lang w:val="es-ES"/>
        </w:rPr>
        <w:lastRenderedPageBreak/>
        <w:t>© UNESCO 2025</w:t>
      </w:r>
    </w:p>
    <w:p w14:paraId="3FAEC968" w14:textId="53F7A7ED" w:rsidR="00D224BF" w:rsidRPr="001165F6" w:rsidRDefault="00D224BF" w:rsidP="00D224BF">
      <w:pPr>
        <w:spacing w:after="100" w:afterAutospacing="1"/>
        <w:jc w:val="both"/>
        <w:rPr>
          <w:rFonts w:asciiTheme="minorBidi" w:hAnsiTheme="minorBidi"/>
          <w:sz w:val="22"/>
          <w:szCs w:val="22"/>
          <w:lang w:val="es-ES"/>
        </w:rPr>
      </w:pPr>
      <w:r w:rsidRPr="001165F6">
        <w:rPr>
          <w:rFonts w:asciiTheme="minorBidi" w:hAnsiTheme="minorBidi"/>
          <w:sz w:val="22"/>
          <w:szCs w:val="22"/>
          <w:lang w:val="es-ES"/>
        </w:rPr>
        <w:t>Las imágenes de este documento de trabajo no están sujetas a la licencia CC-BY-SA y no pueden utilizarse, reproducirse ni comercializarse sin el permiso previo de los titulares de los derechos de autor.</w:t>
      </w:r>
    </w:p>
    <w:p w14:paraId="2F716CAE" w14:textId="77777777" w:rsidR="00D224BF" w:rsidRPr="001165F6" w:rsidRDefault="00D224BF" w:rsidP="00D224BF">
      <w:pPr>
        <w:spacing w:before="100" w:beforeAutospacing="1" w:after="100" w:afterAutospacing="1"/>
        <w:jc w:val="both"/>
        <w:rPr>
          <w:rFonts w:asciiTheme="minorBidi" w:hAnsiTheme="minorBidi"/>
          <w:sz w:val="22"/>
          <w:szCs w:val="22"/>
          <w:lang w:val="es-ES"/>
        </w:rPr>
      </w:pPr>
      <w:r w:rsidRPr="001165F6">
        <w:rPr>
          <w:rFonts w:asciiTheme="minorBidi" w:hAnsiTheme="minorBidi"/>
          <w:sz w:val="22"/>
          <w:szCs w:val="22"/>
          <w:lang w:val="es-ES"/>
        </w:rPr>
        <w:t>Las denominaciones empleadas y la presentación del material en este documento de trabajo no implican la expresión de ninguna opinión por parte de la UNESCO sobre la condición jurídica de ningún país, territorio, ciudad o zona, ni de sus autoridades, ni sobre la delimitación de sus fronteras o límites.</w:t>
      </w:r>
    </w:p>
    <w:p w14:paraId="2D631725" w14:textId="77777777" w:rsidR="00D224BF" w:rsidRDefault="00D224BF" w:rsidP="00D224BF">
      <w:pPr>
        <w:spacing w:before="100" w:beforeAutospacing="1" w:after="100" w:afterAutospacing="1"/>
        <w:jc w:val="both"/>
        <w:rPr>
          <w:rFonts w:asciiTheme="minorBidi" w:hAnsiTheme="minorBidi"/>
          <w:sz w:val="22"/>
          <w:szCs w:val="22"/>
          <w:lang w:val="es-ES"/>
        </w:rPr>
      </w:pPr>
      <w:r w:rsidRPr="001165F6">
        <w:rPr>
          <w:rFonts w:asciiTheme="minorBidi" w:hAnsiTheme="minorBidi"/>
          <w:sz w:val="22"/>
          <w:szCs w:val="22"/>
          <w:lang w:val="es-ES"/>
        </w:rPr>
        <w:t>Las ideas y opiniones expresadas en esta publicación son las de los autores; no son necesariamente las de la UNESCO y no comprometen a la Organización.</w:t>
      </w:r>
    </w:p>
    <w:bookmarkEnd w:id="7"/>
    <w:p w14:paraId="64DEE642" w14:textId="77777777" w:rsidR="00D224BF" w:rsidRDefault="00D224BF" w:rsidP="00D71BC8">
      <w:pPr>
        <w:pStyle w:val="Chapitre"/>
        <w:keepNext w:val="0"/>
        <w:keepLines w:val="0"/>
        <w:widowControl w:val="0"/>
        <w:pBdr>
          <w:bottom w:val="single" w:sz="4" w:space="6" w:color="3366FF"/>
        </w:pBdr>
        <w:spacing w:line="240" w:lineRule="auto"/>
        <w:rPr>
          <w:lang w:val="es-ES"/>
        </w:rPr>
      </w:pPr>
    </w:p>
    <w:p w14:paraId="17ECAFF1" w14:textId="77777777" w:rsidR="00D224BF" w:rsidRDefault="00D224BF" w:rsidP="00D71BC8">
      <w:pPr>
        <w:pStyle w:val="Chapitre"/>
        <w:keepNext w:val="0"/>
        <w:keepLines w:val="0"/>
        <w:widowControl w:val="0"/>
        <w:pBdr>
          <w:bottom w:val="single" w:sz="4" w:space="6" w:color="3366FF"/>
        </w:pBdr>
        <w:spacing w:line="240" w:lineRule="auto"/>
        <w:rPr>
          <w:lang w:val="es-ES"/>
        </w:rPr>
      </w:pPr>
    </w:p>
    <w:p w14:paraId="52AFC884" w14:textId="77777777" w:rsidR="00D224BF" w:rsidRDefault="00D224BF" w:rsidP="00D71BC8">
      <w:pPr>
        <w:pStyle w:val="Chapitre"/>
        <w:keepNext w:val="0"/>
        <w:keepLines w:val="0"/>
        <w:widowControl w:val="0"/>
        <w:pBdr>
          <w:bottom w:val="single" w:sz="4" w:space="6" w:color="3366FF"/>
        </w:pBdr>
        <w:spacing w:line="240" w:lineRule="auto"/>
        <w:rPr>
          <w:lang w:val="es-ES"/>
        </w:rPr>
      </w:pPr>
    </w:p>
    <w:p w14:paraId="383606D1" w14:textId="77777777" w:rsidR="00D224BF" w:rsidRDefault="00D224BF" w:rsidP="00D71BC8">
      <w:pPr>
        <w:pStyle w:val="Chapitre"/>
        <w:keepNext w:val="0"/>
        <w:keepLines w:val="0"/>
        <w:widowControl w:val="0"/>
        <w:pBdr>
          <w:bottom w:val="single" w:sz="4" w:space="6" w:color="3366FF"/>
        </w:pBdr>
        <w:spacing w:line="240" w:lineRule="auto"/>
        <w:rPr>
          <w:lang w:val="es-ES"/>
        </w:rPr>
      </w:pPr>
    </w:p>
    <w:p w14:paraId="055F9DAD" w14:textId="77777777" w:rsidR="00D224BF" w:rsidRDefault="00D224BF" w:rsidP="00D71BC8">
      <w:pPr>
        <w:pStyle w:val="Chapitre"/>
        <w:keepNext w:val="0"/>
        <w:keepLines w:val="0"/>
        <w:widowControl w:val="0"/>
        <w:pBdr>
          <w:bottom w:val="single" w:sz="4" w:space="6" w:color="3366FF"/>
        </w:pBdr>
        <w:spacing w:line="240" w:lineRule="auto"/>
        <w:rPr>
          <w:lang w:val="es-ES"/>
        </w:rPr>
      </w:pPr>
    </w:p>
    <w:p w14:paraId="2472771F" w14:textId="77777777" w:rsidR="00D224BF" w:rsidRDefault="00D224BF" w:rsidP="00D71BC8">
      <w:pPr>
        <w:pStyle w:val="Chapitre"/>
        <w:keepNext w:val="0"/>
        <w:keepLines w:val="0"/>
        <w:widowControl w:val="0"/>
        <w:pBdr>
          <w:bottom w:val="single" w:sz="4" w:space="6" w:color="3366FF"/>
        </w:pBdr>
        <w:spacing w:line="240" w:lineRule="auto"/>
        <w:rPr>
          <w:lang w:val="es-ES"/>
        </w:rPr>
      </w:pPr>
    </w:p>
    <w:p w14:paraId="1DF7327C" w14:textId="126FF5D6" w:rsidR="00D224BF" w:rsidRDefault="00421A1F" w:rsidP="00421A1F">
      <w:pPr>
        <w:pStyle w:val="Chapitre"/>
        <w:keepNext w:val="0"/>
        <w:keepLines w:val="0"/>
        <w:widowControl w:val="0"/>
        <w:pBdr>
          <w:bottom w:val="single" w:sz="4" w:space="6" w:color="3366FF"/>
        </w:pBdr>
        <w:tabs>
          <w:tab w:val="clear" w:pos="567"/>
          <w:tab w:val="left" w:pos="1140"/>
        </w:tabs>
        <w:spacing w:line="240" w:lineRule="auto"/>
        <w:rPr>
          <w:lang w:val="es-ES"/>
        </w:rPr>
      </w:pPr>
      <w:r>
        <w:rPr>
          <w:lang w:val="es-ES"/>
        </w:rPr>
        <w:tab/>
      </w:r>
    </w:p>
    <w:p w14:paraId="3CC8CBE5" w14:textId="5BA85C04" w:rsidR="00D71BC8" w:rsidRPr="00D224BF" w:rsidRDefault="00D71BC8" w:rsidP="00D71BC8">
      <w:pPr>
        <w:pStyle w:val="Chapitre"/>
        <w:keepNext w:val="0"/>
        <w:keepLines w:val="0"/>
        <w:widowControl w:val="0"/>
        <w:pBdr>
          <w:bottom w:val="single" w:sz="4" w:space="6" w:color="3366FF"/>
        </w:pBdr>
        <w:spacing w:line="240" w:lineRule="auto"/>
        <w:rPr>
          <w:lang w:val="es-ES"/>
        </w:rPr>
      </w:pPr>
      <w:r w:rsidRPr="00D224BF">
        <w:rPr>
          <w:lang w:val="es-ES"/>
        </w:rPr>
        <w:lastRenderedPageBreak/>
        <w:t>uni</w:t>
      </w:r>
      <w:r w:rsidR="000E14E6" w:rsidRPr="00D224BF">
        <w:rPr>
          <w:lang w:val="es-ES"/>
        </w:rPr>
        <w:t>dad</w:t>
      </w:r>
      <w:r w:rsidRPr="00D224BF">
        <w:rPr>
          <w:lang w:val="es-ES"/>
        </w:rPr>
        <w:t xml:space="preserve"> 3</w:t>
      </w:r>
      <w:bookmarkEnd w:id="1"/>
      <w:bookmarkEnd w:id="2"/>
      <w:bookmarkEnd w:id="3"/>
    </w:p>
    <w:p w14:paraId="7E42E7C7" w14:textId="43DD0343" w:rsidR="00D71BC8" w:rsidRPr="00D224BF" w:rsidRDefault="006005B0" w:rsidP="00D71BC8">
      <w:pPr>
        <w:jc w:val="both"/>
        <w:rPr>
          <w:rFonts w:ascii="Arial" w:eastAsia="Times New Roman" w:hAnsi="Arial" w:cs="Arial"/>
          <w:b/>
          <w:bCs/>
          <w:caps/>
          <w:noProof/>
          <w:snapToGrid w:val="0"/>
          <w:color w:val="3366FF"/>
          <w:kern w:val="28"/>
          <w:sz w:val="32"/>
          <w:szCs w:val="32"/>
          <w:lang w:val="es-ES" w:eastAsia="zh-CN"/>
        </w:rPr>
      </w:pPr>
      <w:r>
        <w:rPr>
          <w:rFonts w:ascii="Arial" w:eastAsia="Times New Roman" w:hAnsi="Arial" w:cs="Arial"/>
          <w:b/>
          <w:bCs/>
          <w:caps/>
          <w:noProof/>
          <w:snapToGrid w:val="0"/>
          <w:color w:val="3366FF"/>
          <w:kern w:val="28"/>
          <w:sz w:val="32"/>
          <w:szCs w:val="32"/>
          <w:lang w:val="es-ES" w:eastAsia="zh-CN"/>
        </w:rPr>
        <w:t>estudio de caso</w:t>
      </w:r>
      <w:r w:rsidR="00D71BC8" w:rsidRPr="00D224BF">
        <w:rPr>
          <w:rFonts w:ascii="Arial" w:eastAsia="Times New Roman" w:hAnsi="Arial" w:cs="Arial"/>
          <w:b/>
          <w:bCs/>
          <w:caps/>
          <w:noProof/>
          <w:snapToGrid w:val="0"/>
          <w:color w:val="3366FF"/>
          <w:kern w:val="28"/>
          <w:sz w:val="32"/>
          <w:szCs w:val="32"/>
          <w:lang w:val="es-ES" w:eastAsia="zh-CN"/>
        </w:rPr>
        <w:t xml:space="preserve"> 2. BOGOT</w:t>
      </w:r>
      <w:r w:rsidR="00D71BC8" w:rsidRPr="00D71BC8">
        <w:rPr>
          <w:rFonts w:ascii="Arial" w:eastAsia="Times New Roman" w:hAnsi="Arial" w:cs="Arial"/>
          <w:b/>
          <w:bCs/>
          <w:caps/>
          <w:noProof/>
          <w:snapToGrid w:val="0"/>
          <w:color w:val="3366FF"/>
          <w:kern w:val="28"/>
          <w:sz w:val="32"/>
          <w:szCs w:val="32"/>
          <w:lang w:val="es-ES" w:eastAsia="zh-CN"/>
        </w:rPr>
        <w:t>Á</w:t>
      </w:r>
      <w:r w:rsidR="00D71BC8" w:rsidRPr="00D224BF">
        <w:rPr>
          <w:rFonts w:ascii="Arial" w:eastAsia="Times New Roman" w:hAnsi="Arial" w:cs="Arial"/>
          <w:b/>
          <w:bCs/>
          <w:caps/>
          <w:noProof/>
          <w:snapToGrid w:val="0"/>
          <w:color w:val="3366FF"/>
          <w:kern w:val="28"/>
          <w:sz w:val="32"/>
          <w:szCs w:val="32"/>
          <w:lang w:val="es-ES" w:eastAsia="zh-CN"/>
        </w:rPr>
        <w:t xml:space="preserve">, COLOMBIA. </w:t>
      </w:r>
      <w:r>
        <w:rPr>
          <w:rFonts w:ascii="Arial" w:eastAsia="Times New Roman" w:hAnsi="Arial" w:cs="Arial"/>
          <w:b/>
          <w:bCs/>
          <w:caps/>
          <w:noProof/>
          <w:snapToGrid w:val="0"/>
          <w:color w:val="3366FF"/>
          <w:kern w:val="28"/>
          <w:sz w:val="32"/>
          <w:szCs w:val="32"/>
          <w:lang w:val="es-ES" w:eastAsia="zh-CN"/>
        </w:rPr>
        <w:t>plan de ordenamiento territorial</w:t>
      </w:r>
      <w:r w:rsidR="00D71BC8">
        <w:rPr>
          <w:rFonts w:ascii="Arial" w:eastAsia="Times New Roman" w:hAnsi="Arial" w:cs="Arial"/>
          <w:b/>
          <w:bCs/>
          <w:caps/>
          <w:noProof/>
          <w:snapToGrid w:val="0"/>
          <w:color w:val="3366FF"/>
          <w:kern w:val="28"/>
          <w:sz w:val="32"/>
          <w:szCs w:val="32"/>
          <w:lang w:val="es-ES" w:eastAsia="zh-CN"/>
        </w:rPr>
        <w:t xml:space="preserve"> ‘BOGOT</w:t>
      </w:r>
      <w:r w:rsidR="00D71BC8" w:rsidRPr="00D71BC8">
        <w:rPr>
          <w:rFonts w:ascii="Arial" w:eastAsia="Times New Roman" w:hAnsi="Arial" w:cs="Arial"/>
          <w:b/>
          <w:bCs/>
          <w:caps/>
          <w:noProof/>
          <w:snapToGrid w:val="0"/>
          <w:color w:val="3366FF"/>
          <w:kern w:val="28"/>
          <w:sz w:val="32"/>
          <w:szCs w:val="32"/>
          <w:lang w:val="es-ES" w:eastAsia="zh-CN"/>
        </w:rPr>
        <w:t>Á</w:t>
      </w:r>
      <w:r w:rsidR="00D71BC8">
        <w:rPr>
          <w:rFonts w:ascii="Arial" w:eastAsia="Times New Roman" w:hAnsi="Arial" w:cs="Arial"/>
          <w:b/>
          <w:bCs/>
          <w:caps/>
          <w:noProof/>
          <w:snapToGrid w:val="0"/>
          <w:color w:val="3366FF"/>
          <w:kern w:val="28"/>
          <w:sz w:val="32"/>
          <w:szCs w:val="32"/>
          <w:lang w:val="es-ES" w:eastAsia="zh-CN"/>
        </w:rPr>
        <w:t xml:space="preserve"> REVERDECE’</w:t>
      </w:r>
      <w:r>
        <w:rPr>
          <w:rFonts w:ascii="Arial" w:eastAsia="Times New Roman" w:hAnsi="Arial" w:cs="Arial"/>
          <w:b/>
          <w:bCs/>
          <w:caps/>
          <w:noProof/>
          <w:snapToGrid w:val="0"/>
          <w:color w:val="3366FF"/>
          <w:kern w:val="28"/>
          <w:sz w:val="32"/>
          <w:szCs w:val="32"/>
          <w:lang w:val="es-ES" w:eastAsia="zh-CN"/>
        </w:rPr>
        <w:t xml:space="preserve"> 2022 - 2035</w:t>
      </w:r>
    </w:p>
    <w:bookmarkEnd w:id="4"/>
    <w:p w14:paraId="19C59BD7" w14:textId="77777777" w:rsidR="007D2FF7" w:rsidRPr="00D224BF" w:rsidRDefault="007D2FF7" w:rsidP="003B7102">
      <w:pPr>
        <w:pStyle w:val="Texte1"/>
        <w:ind w:left="0"/>
        <w:rPr>
          <w:color w:val="2F51F1"/>
          <w:sz w:val="22"/>
          <w:szCs w:val="22"/>
          <w:lang w:val="es-ES"/>
        </w:rPr>
      </w:pPr>
    </w:p>
    <w:p w14:paraId="7E0A862F" w14:textId="073AFCEB" w:rsidR="002B64E6" w:rsidRPr="00D224BF" w:rsidRDefault="007D2FF7" w:rsidP="00D224BF">
      <w:pPr>
        <w:pStyle w:val="Texte1"/>
        <w:numPr>
          <w:ilvl w:val="0"/>
          <w:numId w:val="5"/>
        </w:numPr>
        <w:spacing w:line="276" w:lineRule="auto"/>
        <w:rPr>
          <w:rFonts w:asciiTheme="minorBidi" w:hAnsiTheme="minorBidi" w:cstheme="minorBidi"/>
          <w:b/>
          <w:bCs/>
          <w:color w:val="2F51F9"/>
        </w:rPr>
      </w:pPr>
      <w:r w:rsidRPr="00D224BF">
        <w:rPr>
          <w:rFonts w:asciiTheme="minorBidi" w:hAnsiTheme="minorBidi" w:cstheme="minorBidi"/>
          <w:b/>
          <w:bCs/>
          <w:color w:val="2F51F9"/>
          <w:lang w:val="es"/>
        </w:rPr>
        <w:t>INTRODUCCIÓN</w:t>
      </w:r>
    </w:p>
    <w:p w14:paraId="515C55C3" w14:textId="77777777" w:rsidR="001D7653" w:rsidRPr="00D224BF" w:rsidRDefault="001D7653" w:rsidP="00D224BF">
      <w:pPr>
        <w:pStyle w:val="Texte1"/>
        <w:spacing w:line="276" w:lineRule="auto"/>
        <w:ind w:left="0"/>
        <w:rPr>
          <w:rFonts w:asciiTheme="minorBidi" w:hAnsiTheme="minorBidi" w:cstheme="minorBidi"/>
        </w:rPr>
      </w:pPr>
    </w:p>
    <w:p w14:paraId="489A3A56" w14:textId="4134A16F"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sz w:val="20"/>
          <w:szCs w:val="20"/>
          <w:lang w:val="es"/>
        </w:rPr>
        <w:t>Bogotá es la capital de Colombia y está situada en el Departamento de Cundinamarca, en el centro geográfico del país. La ciudad tiene una población aproximada de 7,7 millones de habitantes y es uno de los principales centros de comercio</w:t>
      </w:r>
      <w:r w:rsidR="00100D5C" w:rsidRPr="00D224BF">
        <w:rPr>
          <w:rFonts w:asciiTheme="minorBidi" w:hAnsiTheme="minorBidi"/>
          <w:sz w:val="20"/>
          <w:szCs w:val="20"/>
          <w:lang w:val="es"/>
        </w:rPr>
        <w:t>,</w:t>
      </w:r>
      <w:r w:rsidRPr="00D224BF">
        <w:rPr>
          <w:rFonts w:asciiTheme="minorBidi" w:hAnsiTheme="minorBidi"/>
          <w:sz w:val="20"/>
          <w:szCs w:val="20"/>
          <w:lang w:val="es"/>
        </w:rPr>
        <w:t xml:space="preserve"> servicios financieros y empresariales de América Latina.</w:t>
      </w:r>
    </w:p>
    <w:p w14:paraId="5FBCD4ED" w14:textId="77777777" w:rsidR="003B7102" w:rsidRPr="00D224BF" w:rsidRDefault="003B7102" w:rsidP="00D224BF">
      <w:pPr>
        <w:spacing w:line="276" w:lineRule="auto"/>
        <w:jc w:val="both"/>
        <w:rPr>
          <w:rFonts w:asciiTheme="minorBidi" w:hAnsiTheme="minorBidi"/>
          <w:sz w:val="20"/>
          <w:szCs w:val="20"/>
        </w:rPr>
      </w:pPr>
    </w:p>
    <w:p w14:paraId="6A416036" w14:textId="0ADB05DC"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sz w:val="20"/>
          <w:szCs w:val="20"/>
          <w:lang w:val="es"/>
        </w:rPr>
        <w:t xml:space="preserve">La ciudad ha concluido recientemente el proceso de elaboración de un nuevo Plan de </w:t>
      </w:r>
      <w:r w:rsidR="006005B0">
        <w:rPr>
          <w:rFonts w:asciiTheme="minorBidi" w:hAnsiTheme="minorBidi"/>
          <w:sz w:val="20"/>
          <w:szCs w:val="20"/>
          <w:lang w:val="es"/>
        </w:rPr>
        <w:t>Ordenamiento Territorial</w:t>
      </w:r>
      <w:r w:rsidRPr="00D224BF">
        <w:rPr>
          <w:rFonts w:asciiTheme="minorBidi" w:hAnsiTheme="minorBidi"/>
          <w:sz w:val="20"/>
          <w:szCs w:val="20"/>
          <w:lang w:val="es"/>
        </w:rPr>
        <w:t xml:space="preserve"> (POT) para el periodo 2022-2035. El POT, también conocido como </w:t>
      </w:r>
      <w:r w:rsidR="008B2948" w:rsidRPr="00D224BF">
        <w:rPr>
          <w:rFonts w:asciiTheme="minorBidi" w:hAnsiTheme="minorBidi"/>
          <w:sz w:val="20"/>
          <w:szCs w:val="20"/>
          <w:lang w:val="es"/>
        </w:rPr>
        <w:t>“</w:t>
      </w:r>
      <w:r w:rsidRPr="00D224BF">
        <w:rPr>
          <w:rFonts w:asciiTheme="minorBidi" w:hAnsiTheme="minorBidi"/>
          <w:sz w:val="20"/>
          <w:szCs w:val="20"/>
          <w:lang w:val="es"/>
        </w:rPr>
        <w:t>Bogotá Reverdece</w:t>
      </w:r>
      <w:r w:rsidR="008B2948" w:rsidRPr="00D224BF">
        <w:rPr>
          <w:rFonts w:asciiTheme="minorBidi" w:hAnsiTheme="minorBidi"/>
          <w:sz w:val="20"/>
          <w:szCs w:val="20"/>
          <w:lang w:val="es"/>
        </w:rPr>
        <w:t>”</w:t>
      </w:r>
      <w:r w:rsidRPr="00D224BF">
        <w:rPr>
          <w:rFonts w:asciiTheme="minorBidi" w:hAnsiTheme="minorBidi"/>
          <w:sz w:val="20"/>
          <w:szCs w:val="20"/>
          <w:lang w:val="es"/>
        </w:rPr>
        <w:t xml:space="preserve">, servirá de hoja de ruta para el desarrollo territorial y para informar sobre la toma de decisiones y las inversiones en torno a áreas como el uso del suelo, el transporte, los espacios públicos, los servicios públicos y las instalaciones. En consecuencia, el POT establece los usos del suelo y la densidad permisibles para los desarrollos físicos mediante controles y normativas de construcción. Está anclado en el Decreto 555 aprobado en 2021 y es, por tanto, un instrumento vinculante que el gobierno de la ciudad debe cumplir. </w:t>
      </w:r>
    </w:p>
    <w:p w14:paraId="6914E8D5" w14:textId="77777777" w:rsidR="003B7102" w:rsidRPr="00D224BF" w:rsidRDefault="003B7102" w:rsidP="00D224BF">
      <w:pPr>
        <w:spacing w:line="276" w:lineRule="auto"/>
        <w:jc w:val="both"/>
        <w:rPr>
          <w:rFonts w:asciiTheme="minorBidi" w:hAnsiTheme="minorBidi"/>
          <w:sz w:val="20"/>
          <w:szCs w:val="20"/>
        </w:rPr>
      </w:pPr>
    </w:p>
    <w:p w14:paraId="54C7BE75" w14:textId="1CFBB79B" w:rsidR="007D2FF7" w:rsidRPr="00D224BF" w:rsidRDefault="003B7102" w:rsidP="00D224BF">
      <w:pPr>
        <w:spacing w:line="276" w:lineRule="auto"/>
        <w:jc w:val="both"/>
        <w:rPr>
          <w:rFonts w:asciiTheme="minorBidi" w:hAnsiTheme="minorBidi"/>
          <w:sz w:val="20"/>
          <w:szCs w:val="20"/>
        </w:rPr>
      </w:pPr>
      <w:r w:rsidRPr="00D224BF">
        <w:rPr>
          <w:rFonts w:asciiTheme="minorBidi" w:hAnsiTheme="minorBidi"/>
          <w:sz w:val="20"/>
          <w:szCs w:val="20"/>
          <w:lang w:val="es"/>
        </w:rPr>
        <w:t xml:space="preserve">El POT 2022-2035 muestra cómo los gobiernos de las ciudades pueden incorporar la cultura y el patrimonio en los planes urbanos y, por tanto, puede servir </w:t>
      </w:r>
      <w:r w:rsidR="00100D5C" w:rsidRPr="00D224BF">
        <w:rPr>
          <w:rFonts w:asciiTheme="minorBidi" w:hAnsiTheme="minorBidi"/>
          <w:sz w:val="20"/>
          <w:szCs w:val="20"/>
          <w:lang w:val="es"/>
        </w:rPr>
        <w:t xml:space="preserve">como referente para la </w:t>
      </w:r>
      <w:r w:rsidRPr="00D224BF">
        <w:rPr>
          <w:rFonts w:asciiTheme="minorBidi" w:hAnsiTheme="minorBidi"/>
          <w:sz w:val="20"/>
          <w:szCs w:val="20"/>
          <w:lang w:val="es"/>
        </w:rPr>
        <w:t xml:space="preserve">metodología propuesta </w:t>
      </w:r>
      <w:r w:rsidR="00100D5C" w:rsidRPr="00D224BF">
        <w:rPr>
          <w:rFonts w:asciiTheme="minorBidi" w:hAnsiTheme="minorBidi"/>
          <w:sz w:val="20"/>
          <w:szCs w:val="20"/>
          <w:lang w:val="es"/>
        </w:rPr>
        <w:t xml:space="preserve">en aras de </w:t>
      </w:r>
      <w:r w:rsidRPr="00D224BF">
        <w:rPr>
          <w:rFonts w:asciiTheme="minorBidi" w:hAnsiTheme="minorBidi"/>
          <w:sz w:val="20"/>
          <w:szCs w:val="20"/>
          <w:lang w:val="es"/>
        </w:rPr>
        <w:t xml:space="preserve"> incorpora</w:t>
      </w:r>
      <w:r w:rsidR="00100D5C" w:rsidRPr="00D224BF">
        <w:rPr>
          <w:rFonts w:asciiTheme="minorBidi" w:hAnsiTheme="minorBidi"/>
          <w:sz w:val="20"/>
          <w:szCs w:val="20"/>
          <w:lang w:val="es"/>
        </w:rPr>
        <w:t xml:space="preserve">r </w:t>
      </w:r>
      <w:r w:rsidRPr="00D224BF">
        <w:rPr>
          <w:rFonts w:asciiTheme="minorBidi" w:hAnsiTheme="minorBidi"/>
          <w:sz w:val="20"/>
          <w:szCs w:val="20"/>
          <w:lang w:val="es"/>
        </w:rPr>
        <w:t>el Patrimonio Cultural Inmaterial (PCI) en la planificación urbana. Este análisis se centra en comprender cómo aborda el POT el patrimonio cultural y las medidas destinadas a salvaguardar el patrimonio vivo de Bogotá.</w:t>
      </w:r>
    </w:p>
    <w:p w14:paraId="1A3DBE31" w14:textId="77777777" w:rsidR="007D2FF7" w:rsidRPr="00D224BF" w:rsidRDefault="007D2FF7" w:rsidP="00D224BF">
      <w:pPr>
        <w:pStyle w:val="Texte1"/>
        <w:spacing w:line="276" w:lineRule="auto"/>
        <w:ind w:left="720"/>
        <w:rPr>
          <w:rFonts w:asciiTheme="minorBidi" w:hAnsiTheme="minorBidi" w:cstheme="minorBidi"/>
          <w:b/>
          <w:bCs/>
          <w:color w:val="2F51F1"/>
          <w:lang w:val="es-ES"/>
        </w:rPr>
      </w:pPr>
    </w:p>
    <w:p w14:paraId="410092B2" w14:textId="7FBF6A94" w:rsidR="007D2FF7" w:rsidRPr="00D224BF" w:rsidRDefault="007D2FF7" w:rsidP="00D224BF">
      <w:pPr>
        <w:pStyle w:val="Texte1"/>
        <w:numPr>
          <w:ilvl w:val="0"/>
          <w:numId w:val="5"/>
        </w:numPr>
        <w:spacing w:line="276" w:lineRule="auto"/>
        <w:rPr>
          <w:rFonts w:asciiTheme="minorBidi" w:hAnsiTheme="minorBidi"/>
        </w:rPr>
      </w:pPr>
      <w:r w:rsidRPr="00D224BF">
        <w:rPr>
          <w:rFonts w:asciiTheme="minorBidi" w:hAnsiTheme="minorBidi" w:cstheme="minorBidi"/>
          <w:b/>
          <w:bCs/>
          <w:color w:val="2F51F1"/>
          <w:lang w:val="es"/>
        </w:rPr>
        <w:t>ANÁLISIS DEL PLAN</w:t>
      </w:r>
    </w:p>
    <w:p w14:paraId="5DC3AD06" w14:textId="3296E34A" w:rsidR="003B7102" w:rsidRPr="00D224BF" w:rsidRDefault="003B7102" w:rsidP="00D224BF">
      <w:pPr>
        <w:spacing w:before="240" w:line="276" w:lineRule="auto"/>
        <w:jc w:val="both"/>
        <w:rPr>
          <w:rFonts w:asciiTheme="minorBidi" w:hAnsiTheme="minorBidi"/>
          <w:sz w:val="20"/>
          <w:szCs w:val="20"/>
        </w:rPr>
      </w:pPr>
      <w:r w:rsidRPr="00D224BF">
        <w:rPr>
          <w:rFonts w:asciiTheme="minorBidi" w:hAnsiTheme="minorBidi"/>
          <w:sz w:val="20"/>
          <w:szCs w:val="20"/>
          <w:lang w:val="es"/>
        </w:rPr>
        <w:t>El POT identifica políticas, principios, objetivos</w:t>
      </w:r>
      <w:r w:rsidR="003F6D0C" w:rsidRPr="00D224BF">
        <w:rPr>
          <w:rFonts w:asciiTheme="minorBidi" w:hAnsiTheme="minorBidi"/>
          <w:sz w:val="20"/>
          <w:szCs w:val="20"/>
          <w:lang w:val="es"/>
        </w:rPr>
        <w:t>,</w:t>
      </w:r>
      <w:r w:rsidRPr="00D224BF">
        <w:rPr>
          <w:rFonts w:asciiTheme="minorBidi" w:hAnsiTheme="minorBidi"/>
          <w:sz w:val="20"/>
          <w:szCs w:val="20"/>
          <w:lang w:val="es"/>
        </w:rPr>
        <w:t xml:space="preserve"> estrategias e intervenciones en múltiples sectores (por ejemplo, uso del suelo, movilidad, patrimonio) para orientar el desarrollo territorial de Bogotá. Como muestra el siguiente diagrama, define en primer lugar 11 políticas a largo plazo destinadas a responder a los retos territoriales. </w:t>
      </w:r>
      <w:r w:rsidR="003F6D0C" w:rsidRPr="00D224BF">
        <w:rPr>
          <w:rFonts w:asciiTheme="minorBidi" w:hAnsiTheme="minorBidi"/>
          <w:sz w:val="20"/>
          <w:szCs w:val="20"/>
          <w:lang w:val="es"/>
        </w:rPr>
        <w:t>También</w:t>
      </w:r>
      <w:r w:rsidRPr="00D224BF">
        <w:rPr>
          <w:rFonts w:asciiTheme="minorBidi" w:hAnsiTheme="minorBidi"/>
          <w:sz w:val="20"/>
          <w:szCs w:val="20"/>
          <w:lang w:val="es"/>
        </w:rPr>
        <w:t xml:space="preserve"> identifica 15 principios rectores que pretenden alcanzar 7 objetivos a largo plazo. Para contextualizar los principios y objetivos dentro de las realidades geográficas de Bogotá, se ha desarrollado un modelo de ocupación territorial. Este modelo incluye 4 estructuras territoriales: ecológica, funcional y del cuidado, patrimonial</w:t>
      </w:r>
      <w:r w:rsidR="00377D70" w:rsidRPr="00D224BF">
        <w:rPr>
          <w:rFonts w:asciiTheme="minorBidi" w:hAnsiTheme="minorBidi"/>
          <w:sz w:val="20"/>
          <w:szCs w:val="20"/>
          <w:lang w:val="es"/>
        </w:rPr>
        <w:t>,</w:t>
      </w:r>
      <w:r w:rsidRPr="00D224BF">
        <w:rPr>
          <w:rFonts w:asciiTheme="minorBidi" w:hAnsiTheme="minorBidi"/>
          <w:sz w:val="20"/>
          <w:szCs w:val="20"/>
          <w:lang w:val="es"/>
        </w:rPr>
        <w:t xml:space="preserve"> y socioeconómica y de innovación. Como se describe más adelante, la estructura patrimonial tiene por objeto salvaguardar el patrimonio material, inmaterial y natural y está directamente relacionada con la metodología para la incorporación del PCI en la planificación. Cada estructura territorial comprende una serie de </w:t>
      </w:r>
      <w:r w:rsidRPr="00D224BF">
        <w:rPr>
          <w:rFonts w:asciiTheme="minorBidi" w:hAnsiTheme="minorBidi"/>
          <w:sz w:val="20"/>
          <w:szCs w:val="20"/>
          <w:lang w:val="es"/>
        </w:rPr>
        <w:lastRenderedPageBreak/>
        <w:t xml:space="preserve">estrategias e intervenciones que deben aplicarse durante el periodo de vigencia del plan </w:t>
      </w:r>
      <w:r w:rsidR="00377D70" w:rsidRPr="00D224BF">
        <w:rPr>
          <w:rFonts w:asciiTheme="minorBidi" w:hAnsiTheme="minorBidi"/>
          <w:noProof/>
          <w:sz w:val="20"/>
          <w:szCs w:val="20"/>
          <w:lang w:val="es"/>
        </w:rPr>
        <w:drawing>
          <wp:anchor distT="0" distB="0" distL="114300" distR="114300" simplePos="0" relativeHeight="251660288" behindDoc="0" locked="0" layoutInCell="1" allowOverlap="1" wp14:anchorId="59C9BB8A" wp14:editId="03FB7528">
            <wp:simplePos x="0" y="0"/>
            <wp:positionH relativeFrom="column">
              <wp:posOffset>39370</wp:posOffset>
            </wp:positionH>
            <wp:positionV relativeFrom="paragraph">
              <wp:posOffset>469265</wp:posOffset>
            </wp:positionV>
            <wp:extent cx="5572125" cy="93726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2125" cy="937260"/>
                    </a:xfrm>
                    <a:prstGeom prst="rect">
                      <a:avLst/>
                    </a:prstGeom>
                  </pic:spPr>
                </pic:pic>
              </a:graphicData>
            </a:graphic>
            <wp14:sizeRelH relativeFrom="page">
              <wp14:pctWidth>0</wp14:pctWidth>
            </wp14:sizeRelH>
            <wp14:sizeRelV relativeFrom="page">
              <wp14:pctHeight>0</wp14:pctHeight>
            </wp14:sizeRelV>
          </wp:anchor>
        </w:drawing>
      </w:r>
      <w:r w:rsidRPr="00D224BF">
        <w:rPr>
          <w:rFonts w:asciiTheme="minorBidi" w:hAnsiTheme="minorBidi"/>
          <w:sz w:val="20"/>
          <w:szCs w:val="20"/>
          <w:lang w:val="es"/>
        </w:rPr>
        <w:t>para alcanzar sus objetivos.</w:t>
      </w:r>
    </w:p>
    <w:p w14:paraId="36D1B4E5" w14:textId="14F31CEA" w:rsidR="003B7102" w:rsidRPr="00D224BF" w:rsidRDefault="003B7102" w:rsidP="00D224BF">
      <w:pPr>
        <w:pStyle w:val="Heading1"/>
        <w:numPr>
          <w:ilvl w:val="1"/>
          <w:numId w:val="7"/>
        </w:numPr>
        <w:spacing w:before="240" w:line="276" w:lineRule="auto"/>
        <w:ind w:left="1440"/>
        <w:jc w:val="both"/>
        <w:rPr>
          <w:rFonts w:asciiTheme="minorBidi" w:hAnsiTheme="minorBidi" w:cstheme="minorBidi"/>
          <w:color w:val="2F51F9"/>
          <w:sz w:val="20"/>
          <w:szCs w:val="20"/>
        </w:rPr>
      </w:pPr>
      <w:r w:rsidRPr="00D224BF">
        <w:rPr>
          <w:rFonts w:asciiTheme="minorBidi" w:hAnsiTheme="minorBidi" w:cstheme="minorBidi"/>
          <w:color w:val="2F51F9"/>
          <w:sz w:val="20"/>
          <w:szCs w:val="20"/>
          <w:lang w:val="es"/>
        </w:rPr>
        <w:t>Políticas de desarrollo territorial a largo plazo</w:t>
      </w:r>
    </w:p>
    <w:p w14:paraId="26157662" w14:textId="7E8424F1" w:rsidR="003B7102" w:rsidRPr="00D224BF" w:rsidRDefault="003B7102" w:rsidP="00D224BF">
      <w:pPr>
        <w:spacing w:line="276" w:lineRule="auto"/>
        <w:jc w:val="both"/>
        <w:rPr>
          <w:rFonts w:asciiTheme="minorBidi" w:hAnsiTheme="minorBidi"/>
          <w:sz w:val="20"/>
          <w:szCs w:val="20"/>
        </w:rPr>
      </w:pPr>
    </w:p>
    <w:p w14:paraId="206B4221" w14:textId="619A5643"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sz w:val="20"/>
          <w:szCs w:val="20"/>
          <w:lang w:val="es"/>
        </w:rPr>
        <w:t>Como se ha mencionado, el POT identifica 11 políticas a largo plazo destinadas a abordar los retos territoriales de Bogotá. Estas políticas se resumen a continuación:</w:t>
      </w:r>
    </w:p>
    <w:p w14:paraId="4DD4AC20" w14:textId="6674912B" w:rsidR="003B7102" w:rsidRPr="00D224BF" w:rsidRDefault="003B7102" w:rsidP="00D224BF">
      <w:pPr>
        <w:spacing w:line="276" w:lineRule="auto"/>
        <w:jc w:val="both"/>
        <w:rPr>
          <w:rFonts w:asciiTheme="minorBidi" w:hAnsiTheme="minorBidi"/>
          <w:sz w:val="20"/>
          <w:szCs w:val="20"/>
        </w:rPr>
      </w:pPr>
    </w:p>
    <w:p w14:paraId="72DC340B" w14:textId="77777777"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noProof/>
          <w:sz w:val="20"/>
          <w:szCs w:val="20"/>
          <w:lang w:val="es"/>
        </w:rPr>
        <w:drawing>
          <wp:inline distT="0" distB="0" distL="0" distR="0" wp14:anchorId="65FF278E" wp14:editId="089D629C">
            <wp:extent cx="5536641" cy="379026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02"/>
                    <a:stretch/>
                  </pic:blipFill>
                  <pic:spPr bwMode="auto">
                    <a:xfrm>
                      <a:off x="0" y="0"/>
                      <a:ext cx="5578662" cy="3819026"/>
                    </a:xfrm>
                    <a:prstGeom prst="rect">
                      <a:avLst/>
                    </a:prstGeom>
                    <a:ln>
                      <a:noFill/>
                    </a:ln>
                    <a:extLst>
                      <a:ext uri="{53640926-AAD7-44D8-BBD7-CCE9431645EC}">
                        <a14:shadowObscured xmlns:a14="http://schemas.microsoft.com/office/drawing/2010/main"/>
                      </a:ext>
                    </a:extLst>
                  </pic:spPr>
                </pic:pic>
              </a:graphicData>
            </a:graphic>
          </wp:inline>
        </w:drawing>
      </w:r>
    </w:p>
    <w:p w14:paraId="04C583D5" w14:textId="78EC3402" w:rsidR="003B7102" w:rsidRPr="00D224BF" w:rsidRDefault="003B7102" w:rsidP="00D224BF">
      <w:pPr>
        <w:pStyle w:val="Heading1"/>
        <w:numPr>
          <w:ilvl w:val="1"/>
          <w:numId w:val="7"/>
        </w:numPr>
        <w:spacing w:line="276" w:lineRule="auto"/>
        <w:ind w:left="1440"/>
        <w:jc w:val="both"/>
        <w:rPr>
          <w:rFonts w:asciiTheme="minorBidi" w:hAnsiTheme="minorBidi" w:cstheme="minorBidi"/>
          <w:color w:val="2F51F1"/>
          <w:sz w:val="20"/>
          <w:szCs w:val="20"/>
        </w:rPr>
      </w:pPr>
      <w:r w:rsidRPr="00D224BF">
        <w:rPr>
          <w:rFonts w:asciiTheme="minorBidi" w:hAnsiTheme="minorBidi" w:cstheme="minorBidi"/>
          <w:color w:val="2F51F1"/>
          <w:sz w:val="20"/>
          <w:szCs w:val="20"/>
          <w:lang w:val="es"/>
        </w:rPr>
        <w:t>Objetivos a largo plazo</w:t>
      </w:r>
    </w:p>
    <w:p w14:paraId="285F4332" w14:textId="77777777" w:rsidR="003B7102" w:rsidRPr="00D224BF" w:rsidRDefault="003B7102" w:rsidP="00D224BF">
      <w:pPr>
        <w:spacing w:line="276" w:lineRule="auto"/>
        <w:jc w:val="both"/>
        <w:rPr>
          <w:rFonts w:asciiTheme="minorBidi" w:hAnsiTheme="minorBidi"/>
          <w:sz w:val="20"/>
          <w:szCs w:val="20"/>
        </w:rPr>
      </w:pPr>
    </w:p>
    <w:p w14:paraId="69A18D35" w14:textId="3124F213"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sz w:val="20"/>
          <w:szCs w:val="20"/>
          <w:lang w:val="es"/>
        </w:rPr>
        <w:t xml:space="preserve">El plan también ha definido 7 objetivos a largo plazo para hacer de Bogotá una ciudad más </w:t>
      </w:r>
      <w:r w:rsidR="008B2948" w:rsidRPr="00D224BF">
        <w:rPr>
          <w:rFonts w:asciiTheme="minorBidi" w:hAnsiTheme="minorBidi"/>
          <w:sz w:val="20"/>
          <w:szCs w:val="20"/>
          <w:lang w:val="es"/>
        </w:rPr>
        <w:t>“</w:t>
      </w:r>
      <w:r w:rsidRPr="00D224BF">
        <w:rPr>
          <w:rFonts w:asciiTheme="minorBidi" w:hAnsiTheme="minorBidi"/>
          <w:sz w:val="20"/>
          <w:szCs w:val="20"/>
          <w:lang w:val="es"/>
        </w:rPr>
        <w:t>sostenible, resiliente, verde, equitativa y solidaria</w:t>
      </w:r>
      <w:r w:rsidR="008B2948" w:rsidRPr="00D224BF">
        <w:rPr>
          <w:rFonts w:asciiTheme="minorBidi" w:hAnsiTheme="minorBidi"/>
          <w:sz w:val="20"/>
          <w:szCs w:val="20"/>
          <w:lang w:val="es"/>
        </w:rPr>
        <w:t>”</w:t>
      </w:r>
      <w:r w:rsidRPr="00D224BF">
        <w:rPr>
          <w:rFonts w:asciiTheme="minorBidi" w:hAnsiTheme="minorBidi"/>
          <w:sz w:val="20"/>
          <w:szCs w:val="20"/>
          <w:lang w:val="es"/>
        </w:rPr>
        <w:t xml:space="preserve">, algunos de los cuales están directa o indirectamente relacionados con la conservación del patrimonio en contextos urbanos y rurales. Algunos objetivos tocan aspectos culturales: por ejemplo, en el POT el patrimonio se considera un elemento clave de la estructura ecológica, mientras que las prácticas culturales productivas se </w:t>
      </w:r>
      <w:r w:rsidRPr="00D224BF">
        <w:rPr>
          <w:rFonts w:asciiTheme="minorBidi" w:hAnsiTheme="minorBidi"/>
          <w:sz w:val="20"/>
          <w:szCs w:val="20"/>
          <w:lang w:val="es"/>
        </w:rPr>
        <w:lastRenderedPageBreak/>
        <w:t xml:space="preserve">consideran potenciadoras de la reactivación económica. </w:t>
      </w:r>
      <w:r w:rsidR="008B2948" w:rsidRPr="00D224BF">
        <w:rPr>
          <w:rFonts w:asciiTheme="minorBidi" w:hAnsiTheme="minorBidi"/>
          <w:sz w:val="20"/>
          <w:szCs w:val="20"/>
          <w:lang w:val="es"/>
        </w:rPr>
        <w:t>S</w:t>
      </w:r>
      <w:r w:rsidRPr="00D224BF">
        <w:rPr>
          <w:rFonts w:asciiTheme="minorBidi" w:hAnsiTheme="minorBidi"/>
          <w:sz w:val="20"/>
          <w:szCs w:val="20"/>
          <w:lang w:val="es"/>
        </w:rPr>
        <w:t>e da gran importancia</w:t>
      </w:r>
      <w:r w:rsidR="008B2948" w:rsidRPr="00D224BF">
        <w:rPr>
          <w:rFonts w:asciiTheme="minorBidi" w:hAnsiTheme="minorBidi"/>
          <w:sz w:val="20"/>
          <w:szCs w:val="20"/>
          <w:lang w:val="es"/>
        </w:rPr>
        <w:t xml:space="preserve"> </w:t>
      </w:r>
      <w:r w:rsidRPr="00D224BF">
        <w:rPr>
          <w:rFonts w:asciiTheme="minorBidi" w:hAnsiTheme="minorBidi"/>
          <w:sz w:val="20"/>
          <w:szCs w:val="20"/>
          <w:lang w:val="es"/>
        </w:rPr>
        <w:t>a los vínculos culturales entre los entornos rural y urbano para alcanzar algunos de los objetivos.</w:t>
      </w:r>
    </w:p>
    <w:p w14:paraId="75B3255C" w14:textId="77777777"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noProof/>
          <w:sz w:val="20"/>
          <w:szCs w:val="20"/>
          <w:lang w:val="es"/>
        </w:rPr>
        <w:drawing>
          <wp:anchor distT="0" distB="0" distL="114300" distR="114300" simplePos="0" relativeHeight="251659264" behindDoc="0" locked="0" layoutInCell="1" allowOverlap="1" wp14:anchorId="18DC9CFE" wp14:editId="110A878C">
            <wp:simplePos x="0" y="0"/>
            <wp:positionH relativeFrom="margin">
              <wp:align>center</wp:align>
            </wp:positionH>
            <wp:positionV relativeFrom="paragraph">
              <wp:posOffset>155575</wp:posOffset>
            </wp:positionV>
            <wp:extent cx="5825490" cy="989330"/>
            <wp:effectExtent l="0" t="0" r="3810" b="127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932"/>
                    <a:stretch/>
                  </pic:blipFill>
                  <pic:spPr bwMode="auto">
                    <a:xfrm>
                      <a:off x="0" y="0"/>
                      <a:ext cx="5825490" cy="989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AD24F8" w14:textId="71679552" w:rsidR="003B7102" w:rsidRPr="00D224BF" w:rsidRDefault="003B7102" w:rsidP="00D224BF">
      <w:pPr>
        <w:pStyle w:val="Heading1"/>
        <w:numPr>
          <w:ilvl w:val="1"/>
          <w:numId w:val="7"/>
        </w:numPr>
        <w:spacing w:line="276" w:lineRule="auto"/>
        <w:ind w:left="1440"/>
        <w:jc w:val="both"/>
        <w:rPr>
          <w:rFonts w:asciiTheme="minorBidi" w:hAnsiTheme="minorBidi" w:cstheme="minorBidi"/>
          <w:color w:val="0177D4"/>
          <w:sz w:val="20"/>
          <w:szCs w:val="20"/>
        </w:rPr>
      </w:pPr>
      <w:r w:rsidRPr="00D224BF">
        <w:rPr>
          <w:rFonts w:asciiTheme="minorBidi" w:hAnsiTheme="minorBidi" w:cstheme="minorBidi"/>
          <w:color w:val="2F51F1"/>
          <w:sz w:val="20"/>
          <w:szCs w:val="20"/>
          <w:lang w:val="es"/>
        </w:rPr>
        <w:t>Modelo de ocupación territorial: estructuras territoriales</w:t>
      </w:r>
    </w:p>
    <w:p w14:paraId="3170232C" w14:textId="77777777" w:rsidR="003B7102" w:rsidRPr="00D224BF" w:rsidRDefault="003B7102" w:rsidP="00D224BF">
      <w:pPr>
        <w:spacing w:line="276" w:lineRule="auto"/>
        <w:jc w:val="both"/>
        <w:rPr>
          <w:rFonts w:asciiTheme="minorBidi" w:hAnsiTheme="minorBidi"/>
          <w:sz w:val="20"/>
          <w:szCs w:val="20"/>
        </w:rPr>
      </w:pPr>
    </w:p>
    <w:p w14:paraId="36022A2C" w14:textId="616DF0F3" w:rsidR="003B7102" w:rsidRPr="00D224BF" w:rsidRDefault="00046D62" w:rsidP="00D224BF">
      <w:pPr>
        <w:spacing w:line="276" w:lineRule="auto"/>
        <w:jc w:val="both"/>
        <w:rPr>
          <w:rFonts w:asciiTheme="minorBidi" w:hAnsiTheme="minorBidi"/>
          <w:sz w:val="20"/>
          <w:szCs w:val="20"/>
        </w:rPr>
      </w:pPr>
      <w:r w:rsidRPr="00D224BF">
        <w:rPr>
          <w:rFonts w:asciiTheme="minorBidi" w:hAnsiTheme="minorBidi"/>
          <w:noProof/>
          <w:sz w:val="20"/>
          <w:szCs w:val="20"/>
          <w:lang w:val="es"/>
        </w:rPr>
        <w:drawing>
          <wp:anchor distT="0" distB="0" distL="114300" distR="114300" simplePos="0" relativeHeight="251661312" behindDoc="0" locked="0" layoutInCell="1" allowOverlap="1" wp14:anchorId="4F089DBF" wp14:editId="031267DE">
            <wp:simplePos x="0" y="0"/>
            <wp:positionH relativeFrom="column">
              <wp:posOffset>-162560</wp:posOffset>
            </wp:positionH>
            <wp:positionV relativeFrom="paragraph">
              <wp:posOffset>1122680</wp:posOffset>
            </wp:positionV>
            <wp:extent cx="6025515" cy="2358390"/>
            <wp:effectExtent l="0" t="0" r="0" b="22860"/>
            <wp:wrapThrough wrapText="bothSides">
              <wp:wrapPolygon edited="0">
                <wp:start x="10585" y="0"/>
                <wp:lineTo x="1707" y="698"/>
                <wp:lineTo x="341" y="1047"/>
                <wp:lineTo x="341" y="9596"/>
                <wp:lineTo x="3961" y="11166"/>
                <wp:lineTo x="341" y="11864"/>
                <wp:lineTo x="341" y="20588"/>
                <wp:lineTo x="5873" y="21635"/>
                <wp:lineTo x="10585" y="21635"/>
                <wp:lineTo x="10995" y="21635"/>
                <wp:lineTo x="15775" y="21635"/>
                <wp:lineTo x="21306" y="20588"/>
                <wp:lineTo x="21375" y="12039"/>
                <wp:lineTo x="20555" y="11690"/>
                <wp:lineTo x="17687" y="11166"/>
                <wp:lineTo x="21306" y="9596"/>
                <wp:lineTo x="21375" y="1047"/>
                <wp:lineTo x="20009" y="698"/>
                <wp:lineTo x="10995" y="0"/>
                <wp:lineTo x="10585" y="0"/>
              </wp:wrapPolygon>
            </wp:wrapThrough>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3B7102" w:rsidRPr="00D224BF">
        <w:rPr>
          <w:rFonts w:asciiTheme="minorBidi" w:hAnsiTheme="minorBidi"/>
          <w:sz w:val="20"/>
          <w:szCs w:val="20"/>
          <w:lang w:val="es"/>
        </w:rPr>
        <w:t>El modelo de ocupación territorial defin</w:t>
      </w:r>
      <w:r w:rsidR="00C070F1" w:rsidRPr="00D224BF">
        <w:rPr>
          <w:rFonts w:asciiTheme="minorBidi" w:hAnsiTheme="minorBidi"/>
          <w:sz w:val="20"/>
          <w:szCs w:val="20"/>
          <w:lang w:val="es"/>
        </w:rPr>
        <w:t>e la</w:t>
      </w:r>
      <w:r w:rsidR="003B7102" w:rsidRPr="00D224BF">
        <w:rPr>
          <w:rFonts w:asciiTheme="minorBidi" w:hAnsiTheme="minorBidi"/>
          <w:sz w:val="20"/>
          <w:szCs w:val="20"/>
          <w:lang w:val="es"/>
        </w:rPr>
        <w:t xml:space="preserve"> aplicación de las estrategias e intervenciones del POT. Este modelo incluye las 4 estructuras territoriales que se muestran en el siguiente diagrama. La estructura patrimonial ilustra cómo el POT incorpora el patrimonio cultural al proceso de planificación y cómo este tipo de planes, que en la mayoría de los casos en todo el mundo abordan la planificación meramente desde una óptica espacial, pueden incorporar eficazmente elementos culturales inmateriales.</w:t>
      </w:r>
    </w:p>
    <w:p w14:paraId="0C18B600" w14:textId="28E49EBC" w:rsidR="003B7102" w:rsidRPr="00D224BF" w:rsidRDefault="003B7102" w:rsidP="00D224BF">
      <w:pPr>
        <w:spacing w:line="276" w:lineRule="auto"/>
        <w:jc w:val="both"/>
        <w:rPr>
          <w:rFonts w:asciiTheme="minorBidi" w:hAnsiTheme="minorBidi"/>
          <w:sz w:val="20"/>
          <w:szCs w:val="20"/>
        </w:rPr>
      </w:pPr>
    </w:p>
    <w:p w14:paraId="5963835F" w14:textId="2245D958"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sz w:val="20"/>
          <w:szCs w:val="20"/>
          <w:lang w:val="es"/>
        </w:rPr>
        <w:t xml:space="preserve">El POT señala que la estructura patrimonial pretende </w:t>
      </w:r>
      <w:r w:rsidR="00CC6EF6" w:rsidRPr="00D224BF">
        <w:rPr>
          <w:rFonts w:asciiTheme="minorBidi" w:hAnsiTheme="minorBidi"/>
          <w:sz w:val="20"/>
          <w:szCs w:val="20"/>
          <w:lang w:val="es"/>
        </w:rPr>
        <w:t>“</w:t>
      </w:r>
      <w:r w:rsidRPr="00D224BF">
        <w:rPr>
          <w:rFonts w:asciiTheme="minorBidi" w:hAnsiTheme="minorBidi"/>
          <w:sz w:val="20"/>
          <w:szCs w:val="20"/>
          <w:lang w:val="es"/>
        </w:rPr>
        <w:t>fortalecer los lazos sociales y las actividades productivas de los grupos sociales y comunitarios que permanecen, relacionan y dan sentido a los paisajes urbanos y rurales del Distrito Capital</w:t>
      </w:r>
      <w:r w:rsidR="00CC6EF6" w:rsidRPr="00D224BF">
        <w:rPr>
          <w:rFonts w:asciiTheme="minorBidi" w:hAnsiTheme="minorBidi"/>
          <w:sz w:val="20"/>
          <w:szCs w:val="20"/>
          <w:lang w:val="es"/>
        </w:rPr>
        <w:t>”</w:t>
      </w:r>
      <w:r w:rsidRPr="00D224BF">
        <w:rPr>
          <w:rFonts w:asciiTheme="minorBidi" w:hAnsiTheme="minorBidi"/>
          <w:sz w:val="20"/>
          <w:szCs w:val="20"/>
          <w:lang w:val="es"/>
        </w:rPr>
        <w:t xml:space="preserve">. Reconoce el </w:t>
      </w:r>
      <w:r w:rsidR="00CC6EF6" w:rsidRPr="00D224BF">
        <w:rPr>
          <w:rFonts w:asciiTheme="minorBidi" w:hAnsiTheme="minorBidi"/>
          <w:sz w:val="20"/>
          <w:szCs w:val="20"/>
          <w:lang w:val="es"/>
        </w:rPr>
        <w:t>“</w:t>
      </w:r>
      <w:r w:rsidRPr="00D224BF">
        <w:rPr>
          <w:rFonts w:asciiTheme="minorBidi" w:hAnsiTheme="minorBidi"/>
          <w:sz w:val="20"/>
          <w:szCs w:val="20"/>
          <w:lang w:val="es"/>
        </w:rPr>
        <w:t>valor simbólico de las mujeres y comunidades asociadas a elementos naturales y culturales tangibles e intangibles</w:t>
      </w:r>
      <w:r w:rsidR="00CC6EF6" w:rsidRPr="00D224BF">
        <w:rPr>
          <w:rFonts w:asciiTheme="minorBidi" w:hAnsiTheme="minorBidi"/>
          <w:sz w:val="20"/>
          <w:szCs w:val="20"/>
          <w:lang w:val="es"/>
        </w:rPr>
        <w:t>”</w:t>
      </w:r>
      <w:r w:rsidRPr="00D224BF">
        <w:rPr>
          <w:rFonts w:asciiTheme="minorBidi" w:hAnsiTheme="minorBidi"/>
          <w:sz w:val="20"/>
          <w:szCs w:val="20"/>
          <w:lang w:val="es"/>
        </w:rPr>
        <w:t xml:space="preserve"> y las </w:t>
      </w:r>
      <w:r w:rsidR="00CC6EF6" w:rsidRPr="00D224BF">
        <w:rPr>
          <w:rFonts w:asciiTheme="minorBidi" w:hAnsiTheme="minorBidi"/>
          <w:sz w:val="20"/>
          <w:szCs w:val="20"/>
          <w:lang w:val="es"/>
        </w:rPr>
        <w:t>“</w:t>
      </w:r>
      <w:r w:rsidRPr="00D224BF">
        <w:rPr>
          <w:rFonts w:asciiTheme="minorBidi" w:hAnsiTheme="minorBidi"/>
          <w:sz w:val="20"/>
          <w:szCs w:val="20"/>
          <w:lang w:val="es"/>
        </w:rPr>
        <w:t>manifestaciones identitarias existentes y nuevas, así como la ancestralidad muisca, que influyen en la caracterización del territorio y en la identificación de oficios, infraestructuras y prácticas culturales ancestrales y tradicionales, garantizando su viabilidad</w:t>
      </w:r>
      <w:r w:rsidR="00CC6EF6" w:rsidRPr="00D224BF">
        <w:rPr>
          <w:rFonts w:asciiTheme="minorBidi" w:hAnsiTheme="minorBidi"/>
          <w:sz w:val="20"/>
          <w:szCs w:val="20"/>
          <w:lang w:val="es"/>
        </w:rPr>
        <w:t>”</w:t>
      </w:r>
      <w:r w:rsidRPr="00D224BF">
        <w:rPr>
          <w:rFonts w:asciiTheme="minorBidi" w:hAnsiTheme="minorBidi"/>
          <w:sz w:val="20"/>
          <w:szCs w:val="20"/>
          <w:lang w:val="es"/>
        </w:rPr>
        <w:t xml:space="preserve">. Por último, considera como elementos territoriales clave las </w:t>
      </w:r>
      <w:r w:rsidR="00CC6EF6" w:rsidRPr="00D224BF">
        <w:rPr>
          <w:rFonts w:asciiTheme="minorBidi" w:hAnsiTheme="minorBidi"/>
          <w:sz w:val="20"/>
          <w:szCs w:val="20"/>
          <w:lang w:val="es"/>
        </w:rPr>
        <w:t>“</w:t>
      </w:r>
      <w:r w:rsidRPr="00D224BF">
        <w:rPr>
          <w:rFonts w:asciiTheme="minorBidi" w:hAnsiTheme="minorBidi"/>
          <w:sz w:val="20"/>
          <w:szCs w:val="20"/>
          <w:lang w:val="es"/>
        </w:rPr>
        <w:t>manifestaciones, prácticas, usos, representaciones, expresiones, conocimientos, técnicas, modos de vida y de gestión del territorio y de los espacios culturales...</w:t>
      </w:r>
      <w:r w:rsidR="00CC6EF6" w:rsidRPr="00D224BF">
        <w:rPr>
          <w:rFonts w:asciiTheme="minorBidi" w:hAnsiTheme="minorBidi"/>
          <w:sz w:val="20"/>
          <w:szCs w:val="20"/>
          <w:lang w:val="es"/>
        </w:rPr>
        <w:t>”</w:t>
      </w:r>
      <w:r w:rsidRPr="00D224BF">
        <w:rPr>
          <w:rFonts w:asciiTheme="minorBidi" w:hAnsiTheme="minorBidi"/>
          <w:sz w:val="20"/>
          <w:szCs w:val="20"/>
          <w:lang w:val="es"/>
        </w:rPr>
        <w:t xml:space="preserve">, ya que </w:t>
      </w:r>
      <w:r w:rsidR="00CC6EF6" w:rsidRPr="00D224BF">
        <w:rPr>
          <w:rFonts w:asciiTheme="minorBidi" w:hAnsiTheme="minorBidi"/>
          <w:sz w:val="20"/>
          <w:szCs w:val="20"/>
          <w:lang w:val="es"/>
        </w:rPr>
        <w:t>“</w:t>
      </w:r>
      <w:r w:rsidRPr="00D224BF">
        <w:rPr>
          <w:rFonts w:asciiTheme="minorBidi" w:hAnsiTheme="minorBidi"/>
          <w:sz w:val="20"/>
          <w:szCs w:val="20"/>
          <w:lang w:val="es"/>
        </w:rPr>
        <w:t>generan sentimientos de identidad y establecen vínculos con la memoria colectiva y el territorio</w:t>
      </w:r>
      <w:r w:rsidR="00CC6EF6" w:rsidRPr="00D224BF">
        <w:rPr>
          <w:rFonts w:asciiTheme="minorBidi" w:hAnsiTheme="minorBidi"/>
          <w:sz w:val="20"/>
          <w:szCs w:val="20"/>
          <w:lang w:val="es"/>
        </w:rPr>
        <w:t>”</w:t>
      </w:r>
      <w:r w:rsidRPr="00D224BF">
        <w:rPr>
          <w:rFonts w:asciiTheme="minorBidi" w:hAnsiTheme="minorBidi"/>
          <w:sz w:val="20"/>
          <w:szCs w:val="20"/>
          <w:lang w:val="es"/>
        </w:rPr>
        <w:t>.</w:t>
      </w:r>
    </w:p>
    <w:p w14:paraId="59B3AC9A" w14:textId="51E827FD" w:rsidR="003B7102" w:rsidRPr="00D224BF" w:rsidRDefault="003B7102" w:rsidP="00D224BF">
      <w:pPr>
        <w:pStyle w:val="Heading1"/>
        <w:numPr>
          <w:ilvl w:val="1"/>
          <w:numId w:val="7"/>
        </w:numPr>
        <w:spacing w:line="276" w:lineRule="auto"/>
        <w:ind w:left="1440"/>
        <w:jc w:val="both"/>
        <w:rPr>
          <w:rFonts w:asciiTheme="minorBidi" w:hAnsiTheme="minorBidi" w:cstheme="minorBidi"/>
          <w:color w:val="2F51F9"/>
          <w:sz w:val="20"/>
          <w:szCs w:val="20"/>
        </w:rPr>
      </w:pPr>
      <w:r w:rsidRPr="00D224BF">
        <w:rPr>
          <w:rFonts w:asciiTheme="minorBidi" w:hAnsiTheme="minorBidi" w:cstheme="minorBidi"/>
          <w:color w:val="2F51F9"/>
          <w:sz w:val="20"/>
          <w:szCs w:val="20"/>
          <w:lang w:val="es"/>
        </w:rPr>
        <w:t>Proceso de elaboración y principales</w:t>
      </w:r>
      <w:r w:rsidR="00C9462A" w:rsidRPr="00D224BF">
        <w:rPr>
          <w:rFonts w:asciiTheme="minorBidi" w:hAnsiTheme="minorBidi" w:cstheme="minorBidi"/>
          <w:color w:val="2F51F9"/>
          <w:sz w:val="20"/>
          <w:szCs w:val="20"/>
          <w:lang w:val="es"/>
        </w:rPr>
        <w:t xml:space="preserve"> actores</w:t>
      </w:r>
      <w:r w:rsidRPr="00D224BF">
        <w:rPr>
          <w:rFonts w:asciiTheme="minorBidi" w:hAnsiTheme="minorBidi" w:cstheme="minorBidi"/>
          <w:color w:val="2F51F9"/>
          <w:sz w:val="20"/>
          <w:szCs w:val="20"/>
          <w:lang w:val="es"/>
        </w:rPr>
        <w:t xml:space="preserve"> interesados</w:t>
      </w:r>
    </w:p>
    <w:p w14:paraId="5CF168A9" w14:textId="77777777" w:rsidR="003B7102" w:rsidRPr="00D224BF" w:rsidRDefault="003B7102" w:rsidP="00D224BF">
      <w:pPr>
        <w:spacing w:line="276" w:lineRule="auto"/>
        <w:jc w:val="both"/>
        <w:rPr>
          <w:rFonts w:asciiTheme="minorBidi" w:hAnsiTheme="minorBidi"/>
          <w:sz w:val="20"/>
          <w:szCs w:val="20"/>
        </w:rPr>
      </w:pPr>
    </w:p>
    <w:p w14:paraId="3448F7A2" w14:textId="6CAFC302"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sz w:val="20"/>
          <w:szCs w:val="20"/>
          <w:lang w:val="es"/>
        </w:rPr>
        <w:lastRenderedPageBreak/>
        <w:t xml:space="preserve">El proceso de elaboración del POT comprendió cinco fases: i) preliminar, </w:t>
      </w:r>
      <w:proofErr w:type="spellStart"/>
      <w:r w:rsidRPr="00D224BF">
        <w:rPr>
          <w:rFonts w:asciiTheme="minorBidi" w:hAnsiTheme="minorBidi"/>
          <w:sz w:val="20"/>
          <w:szCs w:val="20"/>
          <w:lang w:val="es"/>
        </w:rPr>
        <w:t>ii</w:t>
      </w:r>
      <w:proofErr w:type="spellEnd"/>
      <w:r w:rsidRPr="00D224BF">
        <w:rPr>
          <w:rFonts w:asciiTheme="minorBidi" w:hAnsiTheme="minorBidi"/>
          <w:sz w:val="20"/>
          <w:szCs w:val="20"/>
          <w:lang w:val="es"/>
        </w:rPr>
        <w:t xml:space="preserve">) de diagnóstico, </w:t>
      </w:r>
      <w:proofErr w:type="spellStart"/>
      <w:r w:rsidRPr="00D224BF">
        <w:rPr>
          <w:rFonts w:asciiTheme="minorBidi" w:hAnsiTheme="minorBidi"/>
          <w:sz w:val="20"/>
          <w:szCs w:val="20"/>
          <w:lang w:val="es"/>
        </w:rPr>
        <w:t>iii</w:t>
      </w:r>
      <w:proofErr w:type="spellEnd"/>
      <w:r w:rsidRPr="00D224BF">
        <w:rPr>
          <w:rFonts w:asciiTheme="minorBidi" w:hAnsiTheme="minorBidi"/>
          <w:sz w:val="20"/>
          <w:szCs w:val="20"/>
          <w:lang w:val="es"/>
        </w:rPr>
        <w:t xml:space="preserve">) de formulación, </w:t>
      </w:r>
      <w:proofErr w:type="spellStart"/>
      <w:r w:rsidRPr="00D224BF">
        <w:rPr>
          <w:rFonts w:asciiTheme="minorBidi" w:hAnsiTheme="minorBidi"/>
          <w:sz w:val="20"/>
          <w:szCs w:val="20"/>
          <w:lang w:val="es"/>
        </w:rPr>
        <w:t>iv</w:t>
      </w:r>
      <w:proofErr w:type="spellEnd"/>
      <w:r w:rsidRPr="00D224BF">
        <w:rPr>
          <w:rFonts w:asciiTheme="minorBidi" w:hAnsiTheme="minorBidi"/>
          <w:sz w:val="20"/>
          <w:szCs w:val="20"/>
          <w:lang w:val="es"/>
        </w:rPr>
        <w:t>) de aplicación, y v) de seguimiento y evaluación. A continuación</w:t>
      </w:r>
      <w:r w:rsidR="008610DF" w:rsidRPr="00D224BF">
        <w:rPr>
          <w:rFonts w:asciiTheme="minorBidi" w:hAnsiTheme="minorBidi"/>
          <w:sz w:val="20"/>
          <w:szCs w:val="20"/>
          <w:lang w:val="es"/>
        </w:rPr>
        <w:t>,</w:t>
      </w:r>
      <w:r w:rsidRPr="00D224BF">
        <w:rPr>
          <w:rFonts w:asciiTheme="minorBidi" w:hAnsiTheme="minorBidi"/>
          <w:sz w:val="20"/>
          <w:szCs w:val="20"/>
          <w:lang w:val="es"/>
        </w:rPr>
        <w:t xml:space="preserve"> se describe el alcance de cada una de las cinco fases.</w:t>
      </w:r>
    </w:p>
    <w:p w14:paraId="6E50CC54" w14:textId="77777777" w:rsidR="003B7102" w:rsidRPr="00D224BF" w:rsidRDefault="003B7102" w:rsidP="00D224BF">
      <w:pPr>
        <w:spacing w:line="276" w:lineRule="auto"/>
        <w:jc w:val="both"/>
        <w:rPr>
          <w:rFonts w:asciiTheme="minorBidi" w:hAnsiTheme="minorBidi"/>
          <w:sz w:val="20"/>
          <w:szCs w:val="20"/>
        </w:rPr>
      </w:pPr>
    </w:p>
    <w:p w14:paraId="2CBBA17C" w14:textId="7ACEDB09" w:rsidR="003B7102" w:rsidRPr="00D224BF" w:rsidRDefault="003B7102" w:rsidP="00D224BF">
      <w:pPr>
        <w:pStyle w:val="ListParagraph"/>
        <w:numPr>
          <w:ilvl w:val="0"/>
          <w:numId w:val="8"/>
        </w:numPr>
        <w:spacing w:line="276" w:lineRule="auto"/>
        <w:jc w:val="both"/>
        <w:rPr>
          <w:rFonts w:asciiTheme="minorBidi" w:hAnsiTheme="minorBidi"/>
          <w:sz w:val="20"/>
          <w:szCs w:val="20"/>
        </w:rPr>
      </w:pPr>
      <w:r w:rsidRPr="00D224BF">
        <w:rPr>
          <w:rFonts w:asciiTheme="minorBidi" w:hAnsiTheme="minorBidi"/>
          <w:b/>
          <w:bCs/>
          <w:sz w:val="20"/>
          <w:szCs w:val="20"/>
          <w:lang w:val="es"/>
        </w:rPr>
        <w:t>Preliminar:</w:t>
      </w:r>
      <w:r w:rsidRPr="00D224BF">
        <w:rPr>
          <w:rFonts w:asciiTheme="minorBidi" w:hAnsiTheme="minorBidi"/>
          <w:sz w:val="20"/>
          <w:szCs w:val="20"/>
          <w:lang w:val="es"/>
        </w:rPr>
        <w:t xml:space="preserve"> </w:t>
      </w:r>
      <w:r w:rsidR="00516556" w:rsidRPr="00D224BF">
        <w:rPr>
          <w:rFonts w:asciiTheme="minorBidi" w:hAnsiTheme="minorBidi"/>
          <w:sz w:val="20"/>
          <w:szCs w:val="20"/>
          <w:lang w:val="es"/>
        </w:rPr>
        <w:t>s</w:t>
      </w:r>
      <w:r w:rsidRPr="00D224BF">
        <w:rPr>
          <w:rFonts w:asciiTheme="minorBidi" w:hAnsiTheme="minorBidi"/>
          <w:sz w:val="20"/>
          <w:szCs w:val="20"/>
          <w:lang w:val="es"/>
        </w:rPr>
        <w:t>e valida la información de fondo económica, social, financiera, medioambiental y regional. Se analiza la viabilidad técnica y económica del proceso.</w:t>
      </w:r>
    </w:p>
    <w:p w14:paraId="352EEC56" w14:textId="6CB5F249" w:rsidR="003B7102" w:rsidRPr="00D224BF" w:rsidRDefault="003B7102" w:rsidP="00D224BF">
      <w:pPr>
        <w:pStyle w:val="ListParagraph"/>
        <w:numPr>
          <w:ilvl w:val="0"/>
          <w:numId w:val="8"/>
        </w:numPr>
        <w:spacing w:line="276" w:lineRule="auto"/>
        <w:jc w:val="both"/>
        <w:rPr>
          <w:rFonts w:asciiTheme="minorBidi" w:hAnsiTheme="minorBidi"/>
          <w:sz w:val="20"/>
          <w:szCs w:val="20"/>
        </w:rPr>
      </w:pPr>
      <w:r w:rsidRPr="00D224BF">
        <w:rPr>
          <w:rFonts w:asciiTheme="minorBidi" w:hAnsiTheme="minorBidi"/>
          <w:b/>
          <w:bCs/>
          <w:sz w:val="20"/>
          <w:szCs w:val="20"/>
          <w:lang w:val="es"/>
        </w:rPr>
        <w:t>Diagnóstico:</w:t>
      </w:r>
      <w:r w:rsidRPr="00D224BF">
        <w:rPr>
          <w:rFonts w:asciiTheme="minorBidi" w:hAnsiTheme="minorBidi"/>
          <w:sz w:val="20"/>
          <w:szCs w:val="20"/>
          <w:lang w:val="es"/>
        </w:rPr>
        <w:t xml:space="preserve"> </w:t>
      </w:r>
      <w:r w:rsidR="00516556" w:rsidRPr="00D224BF">
        <w:rPr>
          <w:rFonts w:asciiTheme="minorBidi" w:hAnsiTheme="minorBidi"/>
          <w:sz w:val="20"/>
          <w:szCs w:val="20"/>
          <w:lang w:val="es"/>
        </w:rPr>
        <w:t>c</w:t>
      </w:r>
      <w:r w:rsidRPr="00D224BF">
        <w:rPr>
          <w:rFonts w:asciiTheme="minorBidi" w:hAnsiTheme="minorBidi"/>
          <w:sz w:val="20"/>
          <w:szCs w:val="20"/>
          <w:lang w:val="es"/>
        </w:rPr>
        <w:t>aracterización del estado actual del territorio, identificando potencialidades, limitaciones y conflictos existentes. Análisis de la visión urbano-regional de la ciudad.</w:t>
      </w:r>
    </w:p>
    <w:p w14:paraId="642D745C" w14:textId="3A9E585F" w:rsidR="003B7102" w:rsidRPr="00D224BF" w:rsidRDefault="003B7102" w:rsidP="00D224BF">
      <w:pPr>
        <w:pStyle w:val="ListParagraph"/>
        <w:numPr>
          <w:ilvl w:val="0"/>
          <w:numId w:val="8"/>
        </w:numPr>
        <w:spacing w:line="276" w:lineRule="auto"/>
        <w:jc w:val="both"/>
        <w:rPr>
          <w:rFonts w:asciiTheme="minorBidi" w:hAnsiTheme="minorBidi"/>
          <w:sz w:val="20"/>
          <w:szCs w:val="20"/>
        </w:rPr>
      </w:pPr>
      <w:r w:rsidRPr="00D224BF">
        <w:rPr>
          <w:rFonts w:asciiTheme="minorBidi" w:hAnsiTheme="minorBidi"/>
          <w:b/>
          <w:bCs/>
          <w:sz w:val="20"/>
          <w:szCs w:val="20"/>
          <w:lang w:val="es"/>
        </w:rPr>
        <w:t>Formulación:</w:t>
      </w:r>
      <w:r w:rsidRPr="00D224BF">
        <w:rPr>
          <w:rFonts w:asciiTheme="minorBidi" w:hAnsiTheme="minorBidi"/>
          <w:sz w:val="20"/>
          <w:szCs w:val="20"/>
          <w:lang w:val="es"/>
        </w:rPr>
        <w:t xml:space="preserve"> </w:t>
      </w:r>
      <w:r w:rsidR="00516556" w:rsidRPr="00D224BF">
        <w:rPr>
          <w:rFonts w:asciiTheme="minorBidi" w:hAnsiTheme="minorBidi"/>
          <w:sz w:val="20"/>
          <w:szCs w:val="20"/>
          <w:lang w:val="es"/>
        </w:rPr>
        <w:t>f</w:t>
      </w:r>
      <w:r w:rsidRPr="00D224BF">
        <w:rPr>
          <w:rFonts w:asciiTheme="minorBidi" w:hAnsiTheme="minorBidi"/>
          <w:sz w:val="20"/>
          <w:szCs w:val="20"/>
          <w:lang w:val="es"/>
        </w:rPr>
        <w:t>ormulación de estrategias e intervenciones destinadas a alcanzar la visión deseada del territorio. Toma de decisiones con respecto a las propuestas.</w:t>
      </w:r>
    </w:p>
    <w:p w14:paraId="3ED5D473" w14:textId="709D44B5" w:rsidR="003B7102" w:rsidRPr="00D224BF" w:rsidRDefault="003B7102" w:rsidP="00D224BF">
      <w:pPr>
        <w:pStyle w:val="ListParagraph"/>
        <w:numPr>
          <w:ilvl w:val="0"/>
          <w:numId w:val="8"/>
        </w:numPr>
        <w:spacing w:line="276" w:lineRule="auto"/>
        <w:jc w:val="both"/>
        <w:rPr>
          <w:rFonts w:asciiTheme="minorBidi" w:hAnsiTheme="minorBidi"/>
          <w:sz w:val="20"/>
          <w:szCs w:val="20"/>
        </w:rPr>
      </w:pPr>
      <w:r w:rsidRPr="00D224BF">
        <w:rPr>
          <w:rFonts w:asciiTheme="minorBidi" w:hAnsiTheme="minorBidi"/>
          <w:b/>
          <w:bCs/>
          <w:sz w:val="20"/>
          <w:szCs w:val="20"/>
          <w:lang w:val="es"/>
        </w:rPr>
        <w:t>Seguimiento y evaluación (</w:t>
      </w:r>
      <w:r w:rsidR="008610DF" w:rsidRPr="00D224BF">
        <w:rPr>
          <w:rFonts w:asciiTheme="minorBidi" w:hAnsiTheme="minorBidi"/>
          <w:b/>
          <w:bCs/>
          <w:sz w:val="20"/>
          <w:szCs w:val="20"/>
          <w:lang w:val="es"/>
        </w:rPr>
        <w:t>S</w:t>
      </w:r>
      <w:r w:rsidRPr="00D224BF">
        <w:rPr>
          <w:rFonts w:asciiTheme="minorBidi" w:hAnsiTheme="minorBidi"/>
          <w:b/>
          <w:bCs/>
          <w:sz w:val="20"/>
          <w:szCs w:val="20"/>
          <w:lang w:val="es"/>
        </w:rPr>
        <w:t>&amp;E):</w:t>
      </w:r>
      <w:r w:rsidRPr="00D224BF">
        <w:rPr>
          <w:rFonts w:asciiTheme="minorBidi" w:hAnsiTheme="minorBidi"/>
          <w:sz w:val="20"/>
          <w:szCs w:val="20"/>
          <w:lang w:val="es"/>
        </w:rPr>
        <w:t xml:space="preserve"> </w:t>
      </w:r>
      <w:r w:rsidR="00516556" w:rsidRPr="00D224BF">
        <w:rPr>
          <w:rFonts w:asciiTheme="minorBidi" w:hAnsiTheme="minorBidi"/>
          <w:sz w:val="20"/>
          <w:szCs w:val="20"/>
          <w:lang w:val="es"/>
        </w:rPr>
        <w:t>s</w:t>
      </w:r>
      <w:r w:rsidRPr="00D224BF">
        <w:rPr>
          <w:rFonts w:asciiTheme="minorBidi" w:hAnsiTheme="minorBidi"/>
          <w:sz w:val="20"/>
          <w:szCs w:val="20"/>
          <w:lang w:val="es"/>
        </w:rPr>
        <w:t>eguimiento y evaluación de las actividades desarrolladas de forma permanente para proporcionar insumos para futuras revisiones y ajustes del POT. Se define el marco de seguimiento y evaluación para supervisar y evaluar el POT.</w:t>
      </w:r>
    </w:p>
    <w:p w14:paraId="2C441040" w14:textId="5C61BD7A" w:rsidR="003B7102" w:rsidRPr="00D224BF" w:rsidRDefault="003B7102" w:rsidP="00D224BF">
      <w:pPr>
        <w:pStyle w:val="ListParagraph"/>
        <w:numPr>
          <w:ilvl w:val="0"/>
          <w:numId w:val="8"/>
        </w:numPr>
        <w:spacing w:line="276" w:lineRule="auto"/>
        <w:jc w:val="both"/>
        <w:rPr>
          <w:rFonts w:asciiTheme="minorBidi" w:hAnsiTheme="minorBidi"/>
          <w:sz w:val="20"/>
          <w:szCs w:val="20"/>
        </w:rPr>
      </w:pPr>
      <w:r w:rsidRPr="00D224BF">
        <w:rPr>
          <w:rFonts w:asciiTheme="minorBidi" w:hAnsiTheme="minorBidi"/>
          <w:b/>
          <w:bCs/>
          <w:sz w:val="20"/>
          <w:szCs w:val="20"/>
          <w:lang w:val="es"/>
        </w:rPr>
        <w:t>Aplicación:</w:t>
      </w:r>
      <w:r w:rsidRPr="00D224BF">
        <w:rPr>
          <w:rFonts w:asciiTheme="minorBidi" w:hAnsiTheme="minorBidi"/>
          <w:sz w:val="20"/>
          <w:szCs w:val="20"/>
          <w:lang w:val="es"/>
        </w:rPr>
        <w:t xml:space="preserve"> </w:t>
      </w:r>
      <w:r w:rsidR="00516556" w:rsidRPr="00D224BF">
        <w:rPr>
          <w:rFonts w:asciiTheme="minorBidi" w:hAnsiTheme="minorBidi"/>
          <w:sz w:val="20"/>
          <w:szCs w:val="20"/>
          <w:lang w:val="es"/>
        </w:rPr>
        <w:t>e</w:t>
      </w:r>
      <w:r w:rsidRPr="00D224BF">
        <w:rPr>
          <w:rFonts w:asciiTheme="minorBidi" w:hAnsiTheme="minorBidi"/>
          <w:sz w:val="20"/>
          <w:szCs w:val="20"/>
          <w:lang w:val="es"/>
        </w:rPr>
        <w:t>jecución de acciones financieras, técnicas e institucionales en múltiples sectores para la aplicación del plan. Las hojas de ruta para la aplicación se definen en función de los recursos técnicos y financieros</w:t>
      </w:r>
      <w:r w:rsidR="008610DF" w:rsidRPr="00D224BF">
        <w:rPr>
          <w:rFonts w:asciiTheme="minorBidi" w:hAnsiTheme="minorBidi"/>
          <w:sz w:val="20"/>
          <w:szCs w:val="20"/>
          <w:lang w:val="es"/>
        </w:rPr>
        <w:t>,</w:t>
      </w:r>
      <w:r w:rsidRPr="00D224BF">
        <w:rPr>
          <w:rFonts w:asciiTheme="minorBidi" w:hAnsiTheme="minorBidi"/>
          <w:sz w:val="20"/>
          <w:szCs w:val="20"/>
          <w:lang w:val="es"/>
        </w:rPr>
        <w:t xml:space="preserve"> y de la complejidad de las propuestas.</w:t>
      </w:r>
    </w:p>
    <w:p w14:paraId="4A30443C" w14:textId="77777777" w:rsidR="003B7102" w:rsidRPr="00D224BF" w:rsidRDefault="003B7102" w:rsidP="00D224BF">
      <w:pPr>
        <w:spacing w:line="276" w:lineRule="auto"/>
        <w:jc w:val="both"/>
        <w:rPr>
          <w:rFonts w:asciiTheme="minorBidi" w:hAnsiTheme="minorBidi"/>
          <w:sz w:val="20"/>
          <w:szCs w:val="20"/>
        </w:rPr>
      </w:pPr>
    </w:p>
    <w:p w14:paraId="38B69B99" w14:textId="77777777"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sz w:val="20"/>
          <w:szCs w:val="20"/>
          <w:lang w:val="es"/>
        </w:rPr>
        <w:t>Además, hay que señalar que el POT se elaboró mediante una amplia participación pública y una coordinación multisectorial que contribuyeron a garantizar que las opiniones y los intereses de las diversas partes interesadas quedaran reflejados en el plan. Estos dos procesos, la participación pública y la coordinación multisectorial, son elementos clave de la metodología propuesta para incorporar el PCI a la planificación urbana, por lo que se resumen a continuación.</w:t>
      </w:r>
    </w:p>
    <w:p w14:paraId="507C0257" w14:textId="77777777" w:rsidR="003B7102" w:rsidRPr="00D224BF" w:rsidRDefault="003B7102" w:rsidP="00D224BF">
      <w:pPr>
        <w:pStyle w:val="Heading1"/>
        <w:numPr>
          <w:ilvl w:val="2"/>
          <w:numId w:val="7"/>
        </w:numPr>
        <w:spacing w:line="276" w:lineRule="auto"/>
        <w:ind w:left="2160" w:hanging="360"/>
        <w:jc w:val="both"/>
        <w:rPr>
          <w:rFonts w:asciiTheme="minorBidi" w:hAnsiTheme="minorBidi" w:cstheme="minorBidi"/>
          <w:color w:val="2F51F9"/>
          <w:sz w:val="20"/>
          <w:szCs w:val="20"/>
        </w:rPr>
      </w:pPr>
      <w:r w:rsidRPr="00D224BF">
        <w:rPr>
          <w:rFonts w:asciiTheme="minorBidi" w:hAnsiTheme="minorBidi" w:cstheme="minorBidi"/>
          <w:color w:val="2F51F9"/>
          <w:sz w:val="20"/>
          <w:szCs w:val="20"/>
          <w:lang w:val="es"/>
        </w:rPr>
        <w:t xml:space="preserve">Coordinación multisectorial </w:t>
      </w:r>
    </w:p>
    <w:p w14:paraId="4072A191" w14:textId="77777777" w:rsidR="003B7102" w:rsidRPr="00D224BF" w:rsidRDefault="003B7102" w:rsidP="00D224BF">
      <w:pPr>
        <w:spacing w:line="276" w:lineRule="auto"/>
        <w:jc w:val="both"/>
        <w:rPr>
          <w:rFonts w:asciiTheme="minorBidi" w:hAnsiTheme="minorBidi"/>
          <w:sz w:val="20"/>
          <w:szCs w:val="20"/>
        </w:rPr>
      </w:pPr>
    </w:p>
    <w:p w14:paraId="08AD08FA" w14:textId="77777777"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sz w:val="20"/>
          <w:szCs w:val="20"/>
          <w:lang w:val="es"/>
        </w:rPr>
        <w:t>La Secretaría Distrital de Planeación es la principal responsable de liderar y coordinar el proceso de elaboración del POT, en coordinación con otras 5 entidades: Secretaría Distrital de Ambiente; Corporación Autónoma Regional de Cundinamarca (CAR); Consejo Territorial de Planeación Distrital de Bogotá (CTPD); Instituto Distrital de Patrimonio Cultural; y Concejo de Bogotá. En la siguiente tabla se describe la naturaleza y la función de estas entidades.</w:t>
      </w:r>
    </w:p>
    <w:p w14:paraId="713E155E" w14:textId="77777777" w:rsidR="003B7102" w:rsidRPr="00D224BF" w:rsidRDefault="003B7102" w:rsidP="00D224BF">
      <w:pPr>
        <w:spacing w:line="276" w:lineRule="auto"/>
        <w:jc w:val="both"/>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6"/>
        <w:gridCol w:w="6852"/>
      </w:tblGrid>
      <w:tr w:rsidR="003B7102" w:rsidRPr="00D71BC8" w14:paraId="368EAF58" w14:textId="77777777" w:rsidTr="00D224BF">
        <w:trPr>
          <w:trHeight w:val="340"/>
          <w:jc w:val="center"/>
        </w:trPr>
        <w:tc>
          <w:tcPr>
            <w:tcW w:w="1119" w:type="pct"/>
            <w:shd w:val="clear" w:color="auto" w:fill="2F51F1"/>
            <w:vAlign w:val="center"/>
            <w:hideMark/>
          </w:tcPr>
          <w:p w14:paraId="75C699FA" w14:textId="77777777" w:rsidR="003B7102" w:rsidRPr="00D224BF" w:rsidRDefault="003B7102" w:rsidP="00D224BF">
            <w:pPr>
              <w:spacing w:line="276" w:lineRule="auto"/>
              <w:rPr>
                <w:rFonts w:asciiTheme="minorBidi" w:eastAsia="Times New Roman" w:hAnsiTheme="minorBidi"/>
                <w:b/>
                <w:bCs/>
                <w:color w:val="FFFFFF" w:themeColor="background1"/>
                <w:sz w:val="20"/>
                <w:szCs w:val="20"/>
              </w:rPr>
            </w:pPr>
            <w:r w:rsidRPr="00D224BF">
              <w:rPr>
                <w:rFonts w:asciiTheme="minorBidi" w:eastAsia="Times New Roman" w:hAnsiTheme="minorBidi"/>
                <w:b/>
                <w:bCs/>
                <w:color w:val="FFFFFF" w:themeColor="background1"/>
                <w:sz w:val="20"/>
                <w:szCs w:val="20"/>
                <w:lang w:val="es"/>
              </w:rPr>
              <w:t xml:space="preserve">Partes interesadas </w:t>
            </w:r>
          </w:p>
        </w:tc>
        <w:tc>
          <w:tcPr>
            <w:tcW w:w="3881" w:type="pct"/>
            <w:shd w:val="clear" w:color="auto" w:fill="2F51F1"/>
            <w:vAlign w:val="center"/>
            <w:hideMark/>
          </w:tcPr>
          <w:p w14:paraId="5F0DFC23" w14:textId="77777777" w:rsidR="003B7102" w:rsidRPr="00D224BF" w:rsidRDefault="003B7102" w:rsidP="00D224BF">
            <w:pPr>
              <w:spacing w:line="276" w:lineRule="auto"/>
              <w:jc w:val="both"/>
              <w:rPr>
                <w:rFonts w:asciiTheme="minorBidi" w:eastAsia="Times New Roman" w:hAnsiTheme="minorBidi"/>
                <w:b/>
                <w:bCs/>
                <w:color w:val="FFFFFF" w:themeColor="background1"/>
                <w:sz w:val="20"/>
                <w:szCs w:val="20"/>
              </w:rPr>
            </w:pPr>
            <w:r w:rsidRPr="00D224BF">
              <w:rPr>
                <w:rFonts w:asciiTheme="minorBidi" w:eastAsia="Times New Roman" w:hAnsiTheme="minorBidi"/>
                <w:b/>
                <w:bCs/>
                <w:color w:val="FFFFFF" w:themeColor="background1"/>
                <w:sz w:val="20"/>
                <w:szCs w:val="20"/>
                <w:lang w:val="es"/>
              </w:rPr>
              <w:t>Descripción</w:t>
            </w:r>
          </w:p>
        </w:tc>
      </w:tr>
      <w:tr w:rsidR="003B7102" w:rsidRPr="00D71BC8" w14:paraId="7B7C7F92" w14:textId="77777777" w:rsidTr="00D224BF">
        <w:trPr>
          <w:trHeight w:val="144"/>
          <w:jc w:val="center"/>
        </w:trPr>
        <w:tc>
          <w:tcPr>
            <w:tcW w:w="1119" w:type="pct"/>
            <w:shd w:val="clear" w:color="auto" w:fill="auto"/>
            <w:vAlign w:val="center"/>
            <w:hideMark/>
          </w:tcPr>
          <w:p w14:paraId="1AE99AA3" w14:textId="77777777" w:rsidR="003B7102" w:rsidRPr="00D224BF" w:rsidRDefault="003B7102" w:rsidP="00D224BF">
            <w:pPr>
              <w:spacing w:line="276" w:lineRule="auto"/>
              <w:rPr>
                <w:rFonts w:asciiTheme="minorBidi" w:eastAsia="Times New Roman" w:hAnsiTheme="minorBidi"/>
                <w:b/>
                <w:bCs/>
                <w:color w:val="000000"/>
                <w:sz w:val="20"/>
                <w:szCs w:val="20"/>
              </w:rPr>
            </w:pPr>
            <w:r w:rsidRPr="00D224BF">
              <w:rPr>
                <w:rFonts w:asciiTheme="minorBidi" w:eastAsia="Times New Roman" w:hAnsiTheme="minorBidi"/>
                <w:b/>
                <w:bCs/>
                <w:color w:val="000000"/>
                <w:sz w:val="20"/>
                <w:szCs w:val="20"/>
                <w:lang w:val="es"/>
              </w:rPr>
              <w:t>Secretaría de Planeación - Distrito de Bogotá</w:t>
            </w:r>
          </w:p>
        </w:tc>
        <w:tc>
          <w:tcPr>
            <w:tcW w:w="3881" w:type="pct"/>
            <w:shd w:val="clear" w:color="auto" w:fill="auto"/>
            <w:vAlign w:val="center"/>
            <w:hideMark/>
          </w:tcPr>
          <w:p w14:paraId="0EDE26A0" w14:textId="2CAED68D" w:rsidR="003B7102" w:rsidRPr="00D224BF" w:rsidRDefault="003B7102" w:rsidP="00D224BF">
            <w:pPr>
              <w:spacing w:line="276" w:lineRule="auto"/>
              <w:jc w:val="both"/>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 xml:space="preserve">Lidera los procesos de planificación del Distrito Capital, incluyendo la formulación, seguimiento y evaluación de las políticas territoriales, económicas, sociales, ambientales y culturales, los instrumentos derivados de ellas, así como un sistema integral de información. </w:t>
            </w:r>
            <w:r w:rsidR="008610DF" w:rsidRPr="00D224BF">
              <w:rPr>
                <w:rFonts w:asciiTheme="minorBidi" w:eastAsia="Times New Roman" w:hAnsiTheme="minorBidi"/>
                <w:color w:val="000000"/>
                <w:sz w:val="20"/>
                <w:szCs w:val="20"/>
                <w:lang w:val="es"/>
              </w:rPr>
              <w:t xml:space="preserve">Coordina el </w:t>
            </w:r>
            <w:r w:rsidRPr="00D224BF">
              <w:rPr>
                <w:rFonts w:asciiTheme="minorBidi" w:eastAsia="Times New Roman" w:hAnsiTheme="minorBidi"/>
                <w:color w:val="000000"/>
                <w:sz w:val="20"/>
                <w:szCs w:val="20"/>
                <w:lang w:val="es"/>
              </w:rPr>
              <w:t xml:space="preserve">modelo de planificación </w:t>
            </w:r>
            <w:r w:rsidR="008610DF" w:rsidRPr="00D224BF">
              <w:rPr>
                <w:rFonts w:asciiTheme="minorBidi" w:eastAsia="Times New Roman" w:hAnsiTheme="minorBidi"/>
                <w:color w:val="000000"/>
                <w:sz w:val="20"/>
                <w:szCs w:val="20"/>
                <w:lang w:val="es"/>
              </w:rPr>
              <w:t xml:space="preserve">para </w:t>
            </w:r>
            <w:r w:rsidRPr="00D224BF">
              <w:rPr>
                <w:rFonts w:asciiTheme="minorBidi" w:eastAsia="Times New Roman" w:hAnsiTheme="minorBidi"/>
                <w:color w:val="000000"/>
                <w:sz w:val="20"/>
                <w:szCs w:val="20"/>
                <w:lang w:val="es"/>
              </w:rPr>
              <w:t>que contribuya a un desarrollo equitativo, sostenible, justo y competitivo en las zonas urbanas y rurales.</w:t>
            </w:r>
          </w:p>
        </w:tc>
      </w:tr>
      <w:tr w:rsidR="003B7102" w:rsidRPr="00D71BC8" w14:paraId="46E9704D" w14:textId="77777777" w:rsidTr="00D224BF">
        <w:trPr>
          <w:trHeight w:val="144"/>
          <w:jc w:val="center"/>
        </w:trPr>
        <w:tc>
          <w:tcPr>
            <w:tcW w:w="1119" w:type="pct"/>
            <w:shd w:val="clear" w:color="auto" w:fill="auto"/>
            <w:vAlign w:val="center"/>
            <w:hideMark/>
          </w:tcPr>
          <w:p w14:paraId="7236EDC3" w14:textId="77777777" w:rsidR="003B7102" w:rsidRPr="00D224BF" w:rsidRDefault="003B7102" w:rsidP="00D224BF">
            <w:pPr>
              <w:spacing w:line="276" w:lineRule="auto"/>
              <w:rPr>
                <w:rFonts w:asciiTheme="minorBidi" w:eastAsia="Times New Roman" w:hAnsiTheme="minorBidi"/>
                <w:b/>
                <w:bCs/>
                <w:color w:val="000000"/>
                <w:sz w:val="20"/>
                <w:szCs w:val="20"/>
              </w:rPr>
            </w:pPr>
            <w:r w:rsidRPr="00D224BF">
              <w:rPr>
                <w:rFonts w:asciiTheme="minorBidi" w:eastAsia="Times New Roman" w:hAnsiTheme="minorBidi"/>
                <w:b/>
                <w:bCs/>
                <w:color w:val="000000"/>
                <w:sz w:val="20"/>
                <w:szCs w:val="20"/>
                <w:lang w:val="es"/>
              </w:rPr>
              <w:t>Secretaría de Ambiente - Distrito de Bogotá</w:t>
            </w:r>
          </w:p>
        </w:tc>
        <w:tc>
          <w:tcPr>
            <w:tcW w:w="3881" w:type="pct"/>
            <w:shd w:val="clear" w:color="auto" w:fill="auto"/>
            <w:vAlign w:val="center"/>
            <w:hideMark/>
          </w:tcPr>
          <w:p w14:paraId="404C3711" w14:textId="4A69A1E9" w:rsidR="003B7102" w:rsidRPr="00D224BF" w:rsidRDefault="003B7102" w:rsidP="00D224BF">
            <w:pPr>
              <w:spacing w:line="276" w:lineRule="auto"/>
              <w:jc w:val="both"/>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Promueve, orienta y regula la sostenibilidad ambiental de Bogotá, y lidera los esfuerzos para mitigar la degradación ambiental y fomentar prácticas ambientales positivas. Formula políticas para la recuperación, conservación y uso sostenible de los bienes y servicios ecosistémicos, y para la mitigación del cambio climático y la adaptación al mismo.</w:t>
            </w:r>
          </w:p>
        </w:tc>
      </w:tr>
      <w:tr w:rsidR="003B7102" w:rsidRPr="00D71BC8" w14:paraId="53A32A0B" w14:textId="77777777" w:rsidTr="00D224BF">
        <w:trPr>
          <w:trHeight w:val="144"/>
          <w:jc w:val="center"/>
        </w:trPr>
        <w:tc>
          <w:tcPr>
            <w:tcW w:w="1119" w:type="pct"/>
            <w:shd w:val="clear" w:color="auto" w:fill="auto"/>
            <w:vAlign w:val="center"/>
            <w:hideMark/>
          </w:tcPr>
          <w:p w14:paraId="04860DBF" w14:textId="77777777" w:rsidR="003B7102" w:rsidRPr="00D224BF" w:rsidRDefault="003B7102" w:rsidP="00D224BF">
            <w:pPr>
              <w:spacing w:line="276" w:lineRule="auto"/>
              <w:rPr>
                <w:rFonts w:asciiTheme="minorBidi" w:eastAsia="Times New Roman" w:hAnsiTheme="minorBidi"/>
                <w:b/>
                <w:bCs/>
                <w:color w:val="000000"/>
                <w:sz w:val="20"/>
                <w:szCs w:val="20"/>
              </w:rPr>
            </w:pPr>
            <w:r w:rsidRPr="00D224BF">
              <w:rPr>
                <w:rFonts w:asciiTheme="minorBidi" w:eastAsia="Times New Roman" w:hAnsiTheme="minorBidi"/>
                <w:b/>
                <w:bCs/>
                <w:color w:val="000000"/>
                <w:sz w:val="20"/>
                <w:szCs w:val="20"/>
                <w:lang w:val="es"/>
              </w:rPr>
              <w:t xml:space="preserve">Corporación Autónoma </w:t>
            </w:r>
            <w:r w:rsidRPr="00D224BF">
              <w:rPr>
                <w:rFonts w:asciiTheme="minorBidi" w:eastAsia="Times New Roman" w:hAnsiTheme="minorBidi"/>
                <w:b/>
                <w:bCs/>
                <w:color w:val="000000"/>
                <w:sz w:val="20"/>
                <w:szCs w:val="20"/>
                <w:lang w:val="es"/>
              </w:rPr>
              <w:lastRenderedPageBreak/>
              <w:t>Regional de Cundinamarca (CAR)</w:t>
            </w:r>
          </w:p>
        </w:tc>
        <w:tc>
          <w:tcPr>
            <w:tcW w:w="3881" w:type="pct"/>
            <w:shd w:val="clear" w:color="auto" w:fill="auto"/>
            <w:vAlign w:val="center"/>
            <w:hideMark/>
          </w:tcPr>
          <w:p w14:paraId="25CA0EB6" w14:textId="77777777" w:rsidR="003B7102" w:rsidRPr="00D224BF" w:rsidRDefault="003B7102" w:rsidP="00D224BF">
            <w:pPr>
              <w:spacing w:line="276" w:lineRule="auto"/>
              <w:jc w:val="both"/>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lastRenderedPageBreak/>
              <w:t xml:space="preserve">Es la autoridad rectora del Departamento de Cundinamarca encargada de la ejecución de las políticas, planes, programas y proyectos ambientales y los </w:t>
            </w:r>
            <w:r w:rsidRPr="00D224BF">
              <w:rPr>
                <w:rFonts w:asciiTheme="minorBidi" w:eastAsia="Times New Roman" w:hAnsiTheme="minorBidi"/>
                <w:color w:val="000000"/>
                <w:sz w:val="20"/>
                <w:szCs w:val="20"/>
                <w:lang w:val="es"/>
              </w:rPr>
              <w:lastRenderedPageBreak/>
              <w:t xml:space="preserve">relacionados con los recursos naturales renovables. Es responsable de garantizar el cumplimiento de las disposiciones legales relativas a la disposición, administración, gestión y uso de los recursos naturales. </w:t>
            </w:r>
          </w:p>
        </w:tc>
      </w:tr>
      <w:tr w:rsidR="003B7102" w:rsidRPr="00D71BC8" w14:paraId="630DE125" w14:textId="77777777" w:rsidTr="00D224BF">
        <w:trPr>
          <w:trHeight w:val="144"/>
          <w:jc w:val="center"/>
        </w:trPr>
        <w:tc>
          <w:tcPr>
            <w:tcW w:w="1119" w:type="pct"/>
            <w:shd w:val="clear" w:color="auto" w:fill="auto"/>
            <w:vAlign w:val="center"/>
            <w:hideMark/>
          </w:tcPr>
          <w:p w14:paraId="3590BE3D" w14:textId="77777777" w:rsidR="003B7102" w:rsidRPr="00D224BF" w:rsidRDefault="003B7102" w:rsidP="00D224BF">
            <w:pPr>
              <w:spacing w:line="276" w:lineRule="auto"/>
              <w:rPr>
                <w:rFonts w:asciiTheme="minorBidi" w:eastAsia="Times New Roman" w:hAnsiTheme="minorBidi"/>
                <w:b/>
                <w:bCs/>
                <w:color w:val="000000"/>
                <w:sz w:val="20"/>
                <w:szCs w:val="20"/>
              </w:rPr>
            </w:pPr>
            <w:r w:rsidRPr="00D224BF">
              <w:rPr>
                <w:rFonts w:asciiTheme="minorBidi" w:eastAsia="Times New Roman" w:hAnsiTheme="minorBidi"/>
                <w:b/>
                <w:bCs/>
                <w:color w:val="000000"/>
                <w:sz w:val="20"/>
                <w:szCs w:val="20"/>
                <w:lang w:val="es"/>
              </w:rPr>
              <w:lastRenderedPageBreak/>
              <w:t>Consejo Territorial de Planeación Distrital de Bogotá (CTPD)</w:t>
            </w:r>
          </w:p>
        </w:tc>
        <w:tc>
          <w:tcPr>
            <w:tcW w:w="3881" w:type="pct"/>
            <w:shd w:val="clear" w:color="auto" w:fill="auto"/>
            <w:vAlign w:val="center"/>
            <w:hideMark/>
          </w:tcPr>
          <w:p w14:paraId="0CDF06A0" w14:textId="77777777" w:rsidR="003B7102" w:rsidRPr="00D224BF" w:rsidRDefault="003B7102" w:rsidP="00D224BF">
            <w:pPr>
              <w:spacing w:line="276" w:lineRule="auto"/>
              <w:jc w:val="both"/>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 xml:space="preserve">Es la máxima entidad de planificación participativa y se encarga de garantizar la representación de todos los sectores de la sociedad civil en el proceso de planificación. Está compuesto por 99 consejeros de 22 sectores de la sociedad civil. Entre sus principales funciones figuran el acompañamiento de la formulación, el seguimiento y la evaluación del POT. </w:t>
            </w:r>
          </w:p>
        </w:tc>
      </w:tr>
      <w:tr w:rsidR="003B7102" w:rsidRPr="00D71BC8" w14:paraId="4500049D" w14:textId="77777777" w:rsidTr="00D224BF">
        <w:trPr>
          <w:trHeight w:val="144"/>
          <w:jc w:val="center"/>
        </w:trPr>
        <w:tc>
          <w:tcPr>
            <w:tcW w:w="1119" w:type="pct"/>
            <w:shd w:val="clear" w:color="auto" w:fill="auto"/>
            <w:vAlign w:val="center"/>
          </w:tcPr>
          <w:p w14:paraId="26832B0D" w14:textId="77777777" w:rsidR="003B7102" w:rsidRPr="00D224BF" w:rsidRDefault="003B7102" w:rsidP="00D224BF">
            <w:pPr>
              <w:spacing w:line="276" w:lineRule="auto"/>
              <w:rPr>
                <w:rFonts w:asciiTheme="minorBidi" w:eastAsia="Times New Roman" w:hAnsiTheme="minorBidi"/>
                <w:b/>
                <w:bCs/>
                <w:color w:val="000000"/>
                <w:sz w:val="20"/>
                <w:szCs w:val="20"/>
              </w:rPr>
            </w:pPr>
            <w:r w:rsidRPr="00D224BF">
              <w:rPr>
                <w:rFonts w:asciiTheme="minorBidi" w:eastAsia="Times New Roman" w:hAnsiTheme="minorBidi"/>
                <w:b/>
                <w:bCs/>
                <w:color w:val="000000"/>
                <w:sz w:val="20"/>
                <w:szCs w:val="20"/>
                <w:lang w:val="es"/>
              </w:rPr>
              <w:t>Instituto Distrital de Patrimonio Cultural</w:t>
            </w:r>
          </w:p>
        </w:tc>
        <w:tc>
          <w:tcPr>
            <w:tcW w:w="3881" w:type="pct"/>
            <w:shd w:val="clear" w:color="auto" w:fill="auto"/>
            <w:vAlign w:val="center"/>
          </w:tcPr>
          <w:p w14:paraId="111746B3" w14:textId="51753472" w:rsidR="003B7102" w:rsidRPr="00D224BF" w:rsidRDefault="003B7102" w:rsidP="00D224BF">
            <w:pPr>
              <w:spacing w:line="276" w:lineRule="auto"/>
              <w:jc w:val="both"/>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Se encarga de la aplicación de políticas, planes y proyectos para el ejercicio efectivo de los derechos culturales y patrimoniales de los habitantes del Distrito Capital, y para la protección, intervención, investigación, promoción y difusión del patrimonio cultural material e inmaterial.</w:t>
            </w:r>
          </w:p>
        </w:tc>
      </w:tr>
      <w:tr w:rsidR="003B7102" w:rsidRPr="00D71BC8" w14:paraId="7D9C25B6" w14:textId="77777777" w:rsidTr="00D224BF">
        <w:trPr>
          <w:trHeight w:val="144"/>
          <w:jc w:val="center"/>
        </w:trPr>
        <w:tc>
          <w:tcPr>
            <w:tcW w:w="1119" w:type="pct"/>
            <w:shd w:val="clear" w:color="auto" w:fill="auto"/>
            <w:vAlign w:val="center"/>
          </w:tcPr>
          <w:p w14:paraId="2CBDCEBB" w14:textId="77777777" w:rsidR="003B7102" w:rsidRPr="00D224BF" w:rsidRDefault="003B7102" w:rsidP="00D224BF">
            <w:pPr>
              <w:spacing w:line="276" w:lineRule="auto"/>
              <w:rPr>
                <w:rFonts w:asciiTheme="minorBidi" w:eastAsia="Times New Roman" w:hAnsiTheme="minorBidi"/>
                <w:b/>
                <w:bCs/>
                <w:color w:val="000000"/>
                <w:sz w:val="20"/>
                <w:szCs w:val="20"/>
              </w:rPr>
            </w:pPr>
            <w:r w:rsidRPr="00D224BF">
              <w:rPr>
                <w:rFonts w:asciiTheme="minorBidi" w:eastAsia="Times New Roman" w:hAnsiTheme="minorBidi"/>
                <w:b/>
                <w:bCs/>
                <w:color w:val="000000"/>
                <w:sz w:val="20"/>
                <w:szCs w:val="20"/>
                <w:lang w:val="es"/>
              </w:rPr>
              <w:t>Concejo de Bogotá</w:t>
            </w:r>
          </w:p>
        </w:tc>
        <w:tc>
          <w:tcPr>
            <w:tcW w:w="3881" w:type="pct"/>
            <w:shd w:val="clear" w:color="auto" w:fill="auto"/>
            <w:vAlign w:val="center"/>
          </w:tcPr>
          <w:p w14:paraId="08B0B1A8" w14:textId="1869DA39" w:rsidR="003B7102" w:rsidRPr="00D224BF" w:rsidRDefault="003B7102" w:rsidP="00D224BF">
            <w:pPr>
              <w:spacing w:line="276" w:lineRule="auto"/>
              <w:jc w:val="both"/>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 xml:space="preserve">Es la máxima autoridad del Distrito Capital. Sus atribuciones son de carácter normativo y se encarga de supervisar y controlar la actuación de las autoridades de distrito. Cuenta con un pleno de 45 consejeros, un consejo de administración y tres comisiones permanentes, cada una de ellas formada por 15 consejeros: Plan de Desarrollo y Gestión </w:t>
            </w:r>
            <w:r w:rsidR="005D30EF" w:rsidRPr="00D224BF">
              <w:rPr>
                <w:rFonts w:asciiTheme="minorBidi" w:eastAsia="Times New Roman" w:hAnsiTheme="minorBidi"/>
                <w:color w:val="000000"/>
                <w:sz w:val="20"/>
                <w:szCs w:val="20"/>
                <w:lang w:val="es"/>
              </w:rPr>
              <w:t>T</w:t>
            </w:r>
            <w:r w:rsidRPr="00D224BF">
              <w:rPr>
                <w:rFonts w:asciiTheme="minorBidi" w:eastAsia="Times New Roman" w:hAnsiTheme="minorBidi"/>
                <w:color w:val="000000"/>
                <w:sz w:val="20"/>
                <w:szCs w:val="20"/>
                <w:lang w:val="es"/>
              </w:rPr>
              <w:t>erritorial, Gobierno y Finanzas y Crédito Público.</w:t>
            </w:r>
          </w:p>
        </w:tc>
      </w:tr>
    </w:tbl>
    <w:p w14:paraId="6A5FB359" w14:textId="77777777" w:rsidR="003B7102" w:rsidRPr="00D224BF" w:rsidRDefault="003B7102" w:rsidP="00D224BF">
      <w:pPr>
        <w:spacing w:line="276" w:lineRule="auto"/>
        <w:jc w:val="both"/>
        <w:rPr>
          <w:rFonts w:asciiTheme="minorBidi" w:hAnsiTheme="minorBidi"/>
          <w:sz w:val="20"/>
          <w:szCs w:val="20"/>
        </w:rPr>
      </w:pPr>
    </w:p>
    <w:p w14:paraId="74703D50" w14:textId="12CC927C"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sz w:val="20"/>
          <w:szCs w:val="20"/>
          <w:lang w:val="es"/>
        </w:rPr>
        <w:t xml:space="preserve">Las entidades mencionadas participan en todo el proceso y contribuyen, en múltiples capacidades, a garantizar la representación de las diversas partes interesadas en todas las fases del plan. La CAR y la Secretaría Distrital de Medio Ambiente, por ejemplo, participan en las primeras fases para acordar los componentes medioambientales del POT, y el CTPD participa en la conceptualización del plan y aporta opiniones y recomendaciones a lo largo del proceso. Una de las cinco comisiones de la CTPD, la </w:t>
      </w:r>
      <w:r w:rsidR="00B810E5" w:rsidRPr="00D224BF">
        <w:rPr>
          <w:rFonts w:asciiTheme="minorBidi" w:hAnsiTheme="minorBidi"/>
          <w:sz w:val="20"/>
          <w:szCs w:val="20"/>
          <w:lang w:val="es"/>
        </w:rPr>
        <w:t>“</w:t>
      </w:r>
      <w:r w:rsidRPr="00D224BF">
        <w:rPr>
          <w:rFonts w:asciiTheme="minorBidi" w:hAnsiTheme="minorBidi"/>
          <w:sz w:val="20"/>
          <w:szCs w:val="20"/>
          <w:lang w:val="es"/>
        </w:rPr>
        <w:t>Comisión de Desarrollo Regional, Descentralización y Desconcentración</w:t>
      </w:r>
      <w:r w:rsidR="00B810E5" w:rsidRPr="00D224BF">
        <w:rPr>
          <w:rFonts w:asciiTheme="minorBidi" w:hAnsiTheme="minorBidi"/>
          <w:sz w:val="20"/>
          <w:szCs w:val="20"/>
          <w:lang w:val="es"/>
        </w:rPr>
        <w:t>”</w:t>
      </w:r>
      <w:r w:rsidRPr="00D224BF">
        <w:rPr>
          <w:rFonts w:asciiTheme="minorBidi" w:hAnsiTheme="minorBidi"/>
          <w:sz w:val="20"/>
          <w:szCs w:val="20"/>
          <w:lang w:val="es"/>
        </w:rPr>
        <w:t xml:space="preserve">, tiene como objetivo promover </w:t>
      </w:r>
      <w:r w:rsidR="00B810E5" w:rsidRPr="00D224BF">
        <w:rPr>
          <w:rFonts w:asciiTheme="minorBidi" w:hAnsiTheme="minorBidi"/>
          <w:sz w:val="20"/>
          <w:szCs w:val="20"/>
          <w:lang w:val="es"/>
        </w:rPr>
        <w:t>“</w:t>
      </w:r>
      <w:r w:rsidRPr="00D224BF">
        <w:rPr>
          <w:rFonts w:asciiTheme="minorBidi" w:hAnsiTheme="minorBidi"/>
          <w:sz w:val="20"/>
          <w:szCs w:val="20"/>
          <w:lang w:val="es"/>
        </w:rPr>
        <w:t>la construcción colectiva de la región como territorio cultural, social, físico, económico, fiscal y medioambiental planificado e integrado...</w:t>
      </w:r>
      <w:r w:rsidR="00B810E5" w:rsidRPr="00D224BF">
        <w:rPr>
          <w:rFonts w:asciiTheme="minorBidi" w:hAnsiTheme="minorBidi"/>
          <w:sz w:val="20"/>
          <w:szCs w:val="20"/>
          <w:lang w:val="es"/>
        </w:rPr>
        <w:t>”</w:t>
      </w:r>
      <w:r w:rsidRPr="00D224BF">
        <w:rPr>
          <w:rFonts w:asciiTheme="minorBidi" w:hAnsiTheme="minorBidi"/>
          <w:sz w:val="20"/>
          <w:szCs w:val="20"/>
          <w:lang w:val="es"/>
        </w:rPr>
        <w:t xml:space="preserve"> Por lo tanto, la participación de la CTPD aporta al proceso de planificación una perspectiva más amplia que abarca múltiples ámbitos, incluida la cultura. Por último, el Concejo de Bogotá es responsable de la aprobación del plan en un plazo de 90 días tras un proceso de revisión y deliberación.</w:t>
      </w:r>
    </w:p>
    <w:p w14:paraId="10ED1A0E" w14:textId="77777777" w:rsidR="003B7102" w:rsidRPr="00D224BF" w:rsidRDefault="003B7102" w:rsidP="00D224BF">
      <w:pPr>
        <w:spacing w:line="276" w:lineRule="auto"/>
        <w:jc w:val="both"/>
        <w:rPr>
          <w:rFonts w:asciiTheme="minorBidi" w:hAnsiTheme="minorBidi"/>
          <w:sz w:val="20"/>
          <w:szCs w:val="20"/>
        </w:rPr>
      </w:pPr>
    </w:p>
    <w:p w14:paraId="730D4574" w14:textId="77777777" w:rsidR="003B7102" w:rsidRPr="00D224BF" w:rsidRDefault="003B7102" w:rsidP="00D224BF">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Theme="minorBidi" w:hAnsiTheme="minorBidi"/>
          <w:sz w:val="20"/>
          <w:szCs w:val="20"/>
        </w:rPr>
      </w:pPr>
      <w:r w:rsidRPr="00D224BF">
        <w:rPr>
          <w:rFonts w:asciiTheme="minorBidi" w:hAnsiTheme="minorBidi"/>
          <w:sz w:val="20"/>
          <w:szCs w:val="20"/>
          <w:lang w:val="es"/>
        </w:rPr>
        <w:t xml:space="preserve">La participación de entidades como la Secretaría Distrital de Ambiente y el CTPD sirve como ejemplo de procesos de coordinación multisectorial que son clave para permitir el diálogo intersectorial y garantizar que se tengan en cuenta los diferentes puntos de vista. Este tipo de prácticas ayudan a pasar de una mera comprensión espacial de un plan urbano a una visión global que reúne a muchos sectores. </w:t>
      </w:r>
    </w:p>
    <w:p w14:paraId="5F2E6016" w14:textId="77777777" w:rsidR="003B7102" w:rsidRPr="00D224BF" w:rsidRDefault="003B7102" w:rsidP="00D224BF">
      <w:pPr>
        <w:pStyle w:val="Heading1"/>
        <w:numPr>
          <w:ilvl w:val="2"/>
          <w:numId w:val="7"/>
        </w:numPr>
        <w:spacing w:line="276" w:lineRule="auto"/>
        <w:ind w:left="2160" w:hanging="360"/>
        <w:jc w:val="both"/>
        <w:rPr>
          <w:rFonts w:asciiTheme="minorBidi" w:hAnsiTheme="minorBidi" w:cstheme="minorBidi"/>
          <w:color w:val="2F51F9"/>
          <w:sz w:val="20"/>
          <w:szCs w:val="20"/>
        </w:rPr>
      </w:pPr>
      <w:r w:rsidRPr="00D224BF">
        <w:rPr>
          <w:rFonts w:asciiTheme="minorBidi" w:hAnsiTheme="minorBidi" w:cstheme="minorBidi"/>
          <w:color w:val="2F51F9"/>
          <w:sz w:val="20"/>
          <w:szCs w:val="20"/>
          <w:lang w:val="es"/>
        </w:rPr>
        <w:t>Participación pública y consulta</w:t>
      </w:r>
    </w:p>
    <w:p w14:paraId="112909E1" w14:textId="77777777" w:rsidR="003B7102" w:rsidRPr="00D224BF" w:rsidRDefault="003B7102" w:rsidP="00D224BF">
      <w:pPr>
        <w:spacing w:line="276" w:lineRule="auto"/>
        <w:jc w:val="both"/>
        <w:rPr>
          <w:rFonts w:asciiTheme="minorBidi" w:hAnsiTheme="minorBidi"/>
          <w:sz w:val="20"/>
          <w:szCs w:val="20"/>
        </w:rPr>
      </w:pPr>
    </w:p>
    <w:p w14:paraId="6E6CC711" w14:textId="77777777"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sz w:val="20"/>
          <w:szCs w:val="20"/>
          <w:lang w:val="es"/>
        </w:rPr>
        <w:t xml:space="preserve">El proceso de participación y consulta pública del POT está regulado por la Ley 388 de 1997, que establece que en todas las fases del proceso debe llevarse a cabo un proceso participativo para recabar la opinión de las distintas partes interesadas y de la población en general. En este proceso participaron actores de los siguientes grupos: sociales y comunitarios (por ejemplo, CTPD, consejos locales de planeación, asociaciones de vecinos, organizaciones de grupos étnicos, ONG, otros); públicos (por ejemplo, entidades locales y distritales, consejo distrital, CAR, otros); privados (empresas, sindicatos, asociaciones profesionales, organizaciones de culto, otros); líderes de </w:t>
      </w:r>
      <w:r w:rsidRPr="00D224BF">
        <w:rPr>
          <w:rFonts w:asciiTheme="minorBidi" w:hAnsiTheme="minorBidi"/>
          <w:sz w:val="20"/>
          <w:szCs w:val="20"/>
          <w:lang w:val="es"/>
        </w:rPr>
        <w:lastRenderedPageBreak/>
        <w:t xml:space="preserve">opinión (por ejemplo, medios masivos y alternativos, columnistas de opinión y académicos); y ciudadanos individuales no organizados. </w:t>
      </w:r>
    </w:p>
    <w:p w14:paraId="5E1DB835" w14:textId="77777777" w:rsidR="003B7102" w:rsidRPr="00D224BF" w:rsidRDefault="003B7102" w:rsidP="00D224BF">
      <w:pPr>
        <w:spacing w:line="276" w:lineRule="auto"/>
        <w:jc w:val="both"/>
        <w:rPr>
          <w:rFonts w:asciiTheme="minorBidi" w:hAnsiTheme="minorBidi"/>
          <w:sz w:val="20"/>
          <w:szCs w:val="20"/>
        </w:rPr>
      </w:pPr>
    </w:p>
    <w:p w14:paraId="3530ABC9" w14:textId="4D1C47F5"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sz w:val="20"/>
          <w:szCs w:val="20"/>
          <w:lang w:val="es"/>
        </w:rPr>
        <w:t>El POT 2022-2035 recibió cerca de 38 000 contribuciones de más de 30 000 ciudadanos. Según la Secretaría de Planificación del Distrito, el 74 % de todas las contribuciones se incorporaron o coincidieron con el plan propuesto. En total se crearon 26 canales de participación, algunos de los cuales se enumeran a continuación para ejemplificar la naturaleza del proceso de participación pública:</w:t>
      </w:r>
    </w:p>
    <w:p w14:paraId="273B1264" w14:textId="77777777" w:rsidR="003B7102" w:rsidRPr="00D224BF" w:rsidRDefault="003B7102" w:rsidP="00D224BF">
      <w:pPr>
        <w:spacing w:line="276" w:lineRule="auto"/>
        <w:jc w:val="both"/>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3"/>
        <w:gridCol w:w="1558"/>
        <w:gridCol w:w="1607"/>
      </w:tblGrid>
      <w:tr w:rsidR="003B7102" w:rsidRPr="00D71BC8" w14:paraId="13CEE373" w14:textId="77777777" w:rsidTr="00D224BF">
        <w:trPr>
          <w:trHeight w:val="340"/>
          <w:jc w:val="center"/>
        </w:trPr>
        <w:tc>
          <w:tcPr>
            <w:tcW w:w="3209" w:type="pct"/>
            <w:shd w:val="clear" w:color="auto" w:fill="2F51F1"/>
            <w:vAlign w:val="center"/>
            <w:hideMark/>
          </w:tcPr>
          <w:p w14:paraId="203D4E09" w14:textId="77777777" w:rsidR="003B7102" w:rsidRPr="00D224BF" w:rsidRDefault="003B7102" w:rsidP="00D224BF">
            <w:pPr>
              <w:spacing w:line="276" w:lineRule="auto"/>
              <w:jc w:val="both"/>
              <w:rPr>
                <w:rFonts w:asciiTheme="minorBidi" w:eastAsia="Times New Roman" w:hAnsiTheme="minorBidi"/>
                <w:b/>
                <w:bCs/>
                <w:color w:val="FFFFFF" w:themeColor="background1"/>
                <w:sz w:val="20"/>
                <w:szCs w:val="20"/>
              </w:rPr>
            </w:pPr>
            <w:r w:rsidRPr="00D224BF">
              <w:rPr>
                <w:rFonts w:asciiTheme="minorBidi" w:eastAsia="Times New Roman" w:hAnsiTheme="minorBidi"/>
                <w:b/>
                <w:bCs/>
                <w:color w:val="FFFFFF" w:themeColor="background1"/>
                <w:sz w:val="20"/>
                <w:szCs w:val="20"/>
                <w:lang w:val="es"/>
              </w:rPr>
              <w:t>Actividades</w:t>
            </w:r>
          </w:p>
        </w:tc>
        <w:tc>
          <w:tcPr>
            <w:tcW w:w="884" w:type="pct"/>
            <w:shd w:val="clear" w:color="auto" w:fill="2F51F1"/>
            <w:vAlign w:val="center"/>
            <w:hideMark/>
          </w:tcPr>
          <w:p w14:paraId="6AE78296" w14:textId="77777777" w:rsidR="003B7102" w:rsidRPr="00D224BF" w:rsidRDefault="003B7102" w:rsidP="00D224BF">
            <w:pPr>
              <w:spacing w:line="276" w:lineRule="auto"/>
              <w:jc w:val="both"/>
              <w:rPr>
                <w:rFonts w:asciiTheme="minorBidi" w:eastAsia="Times New Roman" w:hAnsiTheme="minorBidi"/>
                <w:b/>
                <w:bCs/>
                <w:color w:val="FFFFFF" w:themeColor="background1"/>
                <w:sz w:val="20"/>
                <w:szCs w:val="20"/>
              </w:rPr>
            </w:pPr>
            <w:r w:rsidRPr="00D224BF">
              <w:rPr>
                <w:rFonts w:asciiTheme="minorBidi" w:eastAsia="Times New Roman" w:hAnsiTheme="minorBidi"/>
                <w:b/>
                <w:bCs/>
                <w:color w:val="FFFFFF" w:themeColor="background1"/>
                <w:sz w:val="20"/>
                <w:szCs w:val="20"/>
                <w:lang w:val="es"/>
              </w:rPr>
              <w:t>Participantes</w:t>
            </w:r>
          </w:p>
        </w:tc>
        <w:tc>
          <w:tcPr>
            <w:tcW w:w="907" w:type="pct"/>
            <w:shd w:val="clear" w:color="auto" w:fill="2F51F1"/>
            <w:vAlign w:val="center"/>
          </w:tcPr>
          <w:p w14:paraId="4E89B418" w14:textId="77777777" w:rsidR="003B7102" w:rsidRPr="00D224BF" w:rsidRDefault="003B7102" w:rsidP="00D224BF">
            <w:pPr>
              <w:spacing w:line="276" w:lineRule="auto"/>
              <w:jc w:val="both"/>
              <w:rPr>
                <w:rFonts w:asciiTheme="minorBidi" w:eastAsia="Times New Roman" w:hAnsiTheme="minorBidi"/>
                <w:b/>
                <w:bCs/>
                <w:color w:val="FFFFFF" w:themeColor="background1"/>
                <w:sz w:val="20"/>
                <w:szCs w:val="20"/>
              </w:rPr>
            </w:pPr>
            <w:r w:rsidRPr="00D224BF">
              <w:rPr>
                <w:rFonts w:asciiTheme="minorBidi" w:eastAsia="Times New Roman" w:hAnsiTheme="minorBidi"/>
                <w:b/>
                <w:bCs/>
                <w:color w:val="FFFFFF" w:themeColor="background1"/>
                <w:sz w:val="20"/>
                <w:szCs w:val="20"/>
                <w:lang w:val="es"/>
              </w:rPr>
              <w:t>Contribuciones</w:t>
            </w:r>
          </w:p>
        </w:tc>
      </w:tr>
      <w:tr w:rsidR="003B7102" w:rsidRPr="00D71BC8" w14:paraId="79F5CCE9" w14:textId="77777777" w:rsidTr="00D224BF">
        <w:trPr>
          <w:trHeight w:val="144"/>
          <w:jc w:val="center"/>
        </w:trPr>
        <w:tc>
          <w:tcPr>
            <w:tcW w:w="3209" w:type="pct"/>
            <w:shd w:val="clear" w:color="auto" w:fill="auto"/>
            <w:vAlign w:val="center"/>
            <w:hideMark/>
          </w:tcPr>
          <w:p w14:paraId="02F86762" w14:textId="77777777" w:rsidR="003B7102" w:rsidRPr="00D224BF" w:rsidRDefault="003B7102" w:rsidP="00D224BF">
            <w:pPr>
              <w:spacing w:line="276" w:lineRule="auto"/>
              <w:jc w:val="both"/>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Llamadas telefónicas</w:t>
            </w:r>
          </w:p>
        </w:tc>
        <w:tc>
          <w:tcPr>
            <w:tcW w:w="884" w:type="pct"/>
            <w:shd w:val="clear" w:color="auto" w:fill="auto"/>
            <w:vAlign w:val="center"/>
            <w:hideMark/>
          </w:tcPr>
          <w:p w14:paraId="0EA2BB59" w14:textId="77777777" w:rsidR="003B7102" w:rsidRPr="00D224BF" w:rsidRDefault="003B7102" w:rsidP="00D224BF">
            <w:pPr>
              <w:spacing w:line="276" w:lineRule="auto"/>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8 059</w:t>
            </w:r>
          </w:p>
        </w:tc>
        <w:tc>
          <w:tcPr>
            <w:tcW w:w="907" w:type="pct"/>
            <w:vAlign w:val="center"/>
          </w:tcPr>
          <w:p w14:paraId="13FA0746" w14:textId="77777777" w:rsidR="003B7102" w:rsidRPr="00D224BF" w:rsidRDefault="003B7102" w:rsidP="00D224BF">
            <w:pPr>
              <w:spacing w:line="276" w:lineRule="auto"/>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7 890</w:t>
            </w:r>
          </w:p>
        </w:tc>
      </w:tr>
      <w:tr w:rsidR="003B7102" w:rsidRPr="00D71BC8" w14:paraId="107271C3" w14:textId="77777777" w:rsidTr="00D224BF">
        <w:trPr>
          <w:trHeight w:val="144"/>
          <w:jc w:val="center"/>
        </w:trPr>
        <w:tc>
          <w:tcPr>
            <w:tcW w:w="3209" w:type="pct"/>
            <w:shd w:val="clear" w:color="auto" w:fill="auto"/>
            <w:vAlign w:val="center"/>
            <w:hideMark/>
          </w:tcPr>
          <w:p w14:paraId="65C30798" w14:textId="77777777" w:rsidR="003B7102" w:rsidRPr="00D224BF" w:rsidRDefault="003B7102" w:rsidP="00D224BF">
            <w:pPr>
              <w:spacing w:line="276" w:lineRule="auto"/>
              <w:jc w:val="both"/>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Reuniones en línea</w:t>
            </w:r>
          </w:p>
        </w:tc>
        <w:tc>
          <w:tcPr>
            <w:tcW w:w="884" w:type="pct"/>
            <w:shd w:val="clear" w:color="auto" w:fill="auto"/>
            <w:vAlign w:val="center"/>
            <w:hideMark/>
          </w:tcPr>
          <w:p w14:paraId="0607434A" w14:textId="77777777" w:rsidR="003B7102" w:rsidRPr="00D224BF" w:rsidRDefault="003B7102" w:rsidP="00D224BF">
            <w:pPr>
              <w:spacing w:line="276" w:lineRule="auto"/>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395</w:t>
            </w:r>
          </w:p>
        </w:tc>
        <w:tc>
          <w:tcPr>
            <w:tcW w:w="907" w:type="pct"/>
            <w:vAlign w:val="center"/>
          </w:tcPr>
          <w:p w14:paraId="5FAD2507" w14:textId="77777777" w:rsidR="003B7102" w:rsidRPr="00D224BF" w:rsidRDefault="003B7102" w:rsidP="00D224BF">
            <w:pPr>
              <w:spacing w:line="276" w:lineRule="auto"/>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1 649</w:t>
            </w:r>
          </w:p>
        </w:tc>
      </w:tr>
      <w:tr w:rsidR="003B7102" w:rsidRPr="00D71BC8" w14:paraId="793E3597" w14:textId="77777777" w:rsidTr="00D224BF">
        <w:trPr>
          <w:trHeight w:val="144"/>
          <w:jc w:val="center"/>
        </w:trPr>
        <w:tc>
          <w:tcPr>
            <w:tcW w:w="3209" w:type="pct"/>
            <w:shd w:val="clear" w:color="auto" w:fill="auto"/>
            <w:vAlign w:val="center"/>
            <w:hideMark/>
          </w:tcPr>
          <w:p w14:paraId="1182EEC1" w14:textId="77777777" w:rsidR="003B7102" w:rsidRPr="00D224BF" w:rsidRDefault="003B7102" w:rsidP="00D224BF">
            <w:pPr>
              <w:spacing w:line="276" w:lineRule="auto"/>
              <w:jc w:val="both"/>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Correos electrónicos</w:t>
            </w:r>
          </w:p>
        </w:tc>
        <w:tc>
          <w:tcPr>
            <w:tcW w:w="884" w:type="pct"/>
            <w:shd w:val="clear" w:color="auto" w:fill="auto"/>
            <w:vAlign w:val="center"/>
            <w:hideMark/>
          </w:tcPr>
          <w:p w14:paraId="670E1C55" w14:textId="77777777" w:rsidR="003B7102" w:rsidRPr="00D224BF" w:rsidRDefault="003B7102" w:rsidP="00D224BF">
            <w:pPr>
              <w:spacing w:line="276" w:lineRule="auto"/>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395</w:t>
            </w:r>
          </w:p>
        </w:tc>
        <w:tc>
          <w:tcPr>
            <w:tcW w:w="907" w:type="pct"/>
            <w:vAlign w:val="center"/>
          </w:tcPr>
          <w:p w14:paraId="2361C7E4" w14:textId="77777777" w:rsidR="003B7102" w:rsidRPr="00D224BF" w:rsidRDefault="003B7102" w:rsidP="00D224BF">
            <w:pPr>
              <w:spacing w:line="276" w:lineRule="auto"/>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1 649</w:t>
            </w:r>
          </w:p>
        </w:tc>
      </w:tr>
      <w:tr w:rsidR="003B7102" w:rsidRPr="00D71BC8" w14:paraId="7E7C61E4" w14:textId="77777777" w:rsidTr="00D224BF">
        <w:trPr>
          <w:trHeight w:val="144"/>
          <w:jc w:val="center"/>
        </w:trPr>
        <w:tc>
          <w:tcPr>
            <w:tcW w:w="3209" w:type="pct"/>
            <w:shd w:val="clear" w:color="auto" w:fill="auto"/>
            <w:vAlign w:val="center"/>
            <w:hideMark/>
          </w:tcPr>
          <w:p w14:paraId="629AD1CC" w14:textId="3D2FF380" w:rsidR="003B7102" w:rsidRPr="00D224BF" w:rsidRDefault="003B7102" w:rsidP="00D224BF">
            <w:pPr>
              <w:spacing w:line="276" w:lineRule="auto"/>
              <w:jc w:val="both"/>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 xml:space="preserve">Mapas en línea: </w:t>
            </w:r>
            <w:r w:rsidR="00813640" w:rsidRPr="00D224BF">
              <w:rPr>
                <w:rFonts w:asciiTheme="minorBidi" w:eastAsia="Times New Roman" w:hAnsiTheme="minorBidi"/>
                <w:i/>
                <w:iCs/>
                <w:color w:val="000000"/>
                <w:sz w:val="20"/>
                <w:szCs w:val="20"/>
                <w:lang w:val="es"/>
              </w:rPr>
              <w:t>“</w:t>
            </w:r>
            <w:r w:rsidRPr="00D224BF">
              <w:rPr>
                <w:rFonts w:asciiTheme="minorBidi" w:eastAsia="Times New Roman" w:hAnsiTheme="minorBidi"/>
                <w:i/>
                <w:iCs/>
                <w:color w:val="000000"/>
                <w:sz w:val="20"/>
                <w:szCs w:val="20"/>
                <w:lang w:val="es"/>
              </w:rPr>
              <w:t>Tu contribución, tu territorio</w:t>
            </w:r>
            <w:r w:rsidR="00813640" w:rsidRPr="00D224BF">
              <w:rPr>
                <w:rFonts w:asciiTheme="minorBidi" w:eastAsia="Times New Roman" w:hAnsiTheme="minorBidi"/>
                <w:i/>
                <w:iCs/>
                <w:color w:val="000000"/>
                <w:sz w:val="20"/>
                <w:szCs w:val="20"/>
                <w:lang w:val="es"/>
              </w:rPr>
              <w:t>”</w:t>
            </w:r>
          </w:p>
        </w:tc>
        <w:tc>
          <w:tcPr>
            <w:tcW w:w="884" w:type="pct"/>
            <w:shd w:val="clear" w:color="auto" w:fill="auto"/>
            <w:vAlign w:val="center"/>
            <w:hideMark/>
          </w:tcPr>
          <w:p w14:paraId="686F672F" w14:textId="77777777" w:rsidR="003B7102" w:rsidRPr="00D224BF" w:rsidRDefault="003B7102" w:rsidP="00D224BF">
            <w:pPr>
              <w:spacing w:line="276" w:lineRule="auto"/>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464</w:t>
            </w:r>
          </w:p>
        </w:tc>
        <w:tc>
          <w:tcPr>
            <w:tcW w:w="907" w:type="pct"/>
            <w:vAlign w:val="center"/>
          </w:tcPr>
          <w:p w14:paraId="14D65B61" w14:textId="77777777" w:rsidR="003B7102" w:rsidRPr="00D224BF" w:rsidRDefault="003B7102" w:rsidP="00D224BF">
            <w:pPr>
              <w:spacing w:line="276" w:lineRule="auto"/>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464</w:t>
            </w:r>
          </w:p>
        </w:tc>
      </w:tr>
      <w:tr w:rsidR="003B7102" w:rsidRPr="00D71BC8" w14:paraId="0A9DC554" w14:textId="77777777" w:rsidTr="00D224BF">
        <w:trPr>
          <w:trHeight w:val="144"/>
          <w:jc w:val="center"/>
        </w:trPr>
        <w:tc>
          <w:tcPr>
            <w:tcW w:w="3209" w:type="pct"/>
            <w:shd w:val="clear" w:color="auto" w:fill="auto"/>
            <w:vAlign w:val="center"/>
            <w:hideMark/>
          </w:tcPr>
          <w:p w14:paraId="04C456E0" w14:textId="76D0F911" w:rsidR="003B7102" w:rsidRPr="00D224BF" w:rsidRDefault="003B7102" w:rsidP="00D224BF">
            <w:pPr>
              <w:spacing w:line="276" w:lineRule="auto"/>
              <w:jc w:val="both"/>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 xml:space="preserve">Curso en línea: </w:t>
            </w:r>
            <w:r w:rsidR="00813640" w:rsidRPr="00D224BF">
              <w:rPr>
                <w:rFonts w:asciiTheme="minorBidi" w:eastAsia="Times New Roman" w:hAnsiTheme="minorBidi"/>
                <w:color w:val="000000"/>
                <w:sz w:val="20"/>
                <w:szCs w:val="20"/>
                <w:lang w:val="es"/>
              </w:rPr>
              <w:t>“</w:t>
            </w:r>
            <w:r w:rsidRPr="00D224BF">
              <w:rPr>
                <w:rFonts w:asciiTheme="minorBidi" w:eastAsia="Times New Roman" w:hAnsiTheme="minorBidi"/>
                <w:color w:val="000000"/>
                <w:sz w:val="20"/>
                <w:szCs w:val="20"/>
                <w:lang w:val="es"/>
              </w:rPr>
              <w:t>Nuestra contribución, nuestro territorio</w:t>
            </w:r>
            <w:r w:rsidR="00813640" w:rsidRPr="00D224BF">
              <w:rPr>
                <w:rFonts w:asciiTheme="minorBidi" w:eastAsia="Times New Roman" w:hAnsiTheme="minorBidi"/>
                <w:color w:val="000000"/>
                <w:sz w:val="20"/>
                <w:szCs w:val="20"/>
                <w:lang w:val="es"/>
              </w:rPr>
              <w:t>”</w:t>
            </w:r>
          </w:p>
        </w:tc>
        <w:tc>
          <w:tcPr>
            <w:tcW w:w="884" w:type="pct"/>
            <w:shd w:val="clear" w:color="auto" w:fill="auto"/>
            <w:vAlign w:val="center"/>
            <w:hideMark/>
          </w:tcPr>
          <w:p w14:paraId="7B458A31" w14:textId="77777777" w:rsidR="003B7102" w:rsidRPr="00D224BF" w:rsidRDefault="003B7102" w:rsidP="00D224BF">
            <w:pPr>
              <w:spacing w:line="276" w:lineRule="auto"/>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1 040</w:t>
            </w:r>
          </w:p>
        </w:tc>
        <w:tc>
          <w:tcPr>
            <w:tcW w:w="907" w:type="pct"/>
            <w:vAlign w:val="center"/>
          </w:tcPr>
          <w:p w14:paraId="35D36A32" w14:textId="77777777" w:rsidR="003B7102" w:rsidRPr="00D224BF" w:rsidRDefault="003B7102" w:rsidP="00D224BF">
            <w:pPr>
              <w:spacing w:line="276" w:lineRule="auto"/>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1 388</w:t>
            </w:r>
          </w:p>
        </w:tc>
      </w:tr>
      <w:tr w:rsidR="003B7102" w:rsidRPr="00D71BC8" w14:paraId="01217EAD" w14:textId="77777777" w:rsidTr="00D224BF">
        <w:trPr>
          <w:trHeight w:val="144"/>
          <w:jc w:val="center"/>
        </w:trPr>
        <w:tc>
          <w:tcPr>
            <w:tcW w:w="3209" w:type="pct"/>
            <w:shd w:val="clear" w:color="auto" w:fill="auto"/>
            <w:vAlign w:val="center"/>
            <w:hideMark/>
          </w:tcPr>
          <w:p w14:paraId="61A7CDBA" w14:textId="77777777" w:rsidR="003B7102" w:rsidRPr="00D224BF" w:rsidRDefault="003B7102" w:rsidP="00D224BF">
            <w:pPr>
              <w:spacing w:line="276" w:lineRule="auto"/>
              <w:jc w:val="both"/>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Directo de Facebook</w:t>
            </w:r>
          </w:p>
        </w:tc>
        <w:tc>
          <w:tcPr>
            <w:tcW w:w="884" w:type="pct"/>
            <w:shd w:val="clear" w:color="auto" w:fill="auto"/>
            <w:vAlign w:val="center"/>
            <w:hideMark/>
          </w:tcPr>
          <w:p w14:paraId="7D8C4AD5" w14:textId="77777777" w:rsidR="003B7102" w:rsidRPr="00D224BF" w:rsidRDefault="003B7102" w:rsidP="00D224BF">
            <w:pPr>
              <w:spacing w:line="276" w:lineRule="auto"/>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346</w:t>
            </w:r>
          </w:p>
        </w:tc>
        <w:tc>
          <w:tcPr>
            <w:tcW w:w="907" w:type="pct"/>
            <w:vAlign w:val="center"/>
          </w:tcPr>
          <w:p w14:paraId="0A1FCDA9" w14:textId="77777777" w:rsidR="003B7102" w:rsidRPr="00D224BF" w:rsidRDefault="003B7102" w:rsidP="00D224BF">
            <w:pPr>
              <w:spacing w:line="276" w:lineRule="auto"/>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135</w:t>
            </w:r>
          </w:p>
        </w:tc>
      </w:tr>
      <w:tr w:rsidR="003B7102" w:rsidRPr="00D71BC8" w14:paraId="722AC310" w14:textId="77777777" w:rsidTr="00D224BF">
        <w:trPr>
          <w:trHeight w:val="144"/>
          <w:jc w:val="center"/>
        </w:trPr>
        <w:tc>
          <w:tcPr>
            <w:tcW w:w="3209" w:type="pct"/>
            <w:shd w:val="clear" w:color="auto" w:fill="auto"/>
            <w:vAlign w:val="center"/>
            <w:hideMark/>
          </w:tcPr>
          <w:p w14:paraId="7D0561C0" w14:textId="77777777" w:rsidR="003B7102" w:rsidRPr="00D224BF" w:rsidRDefault="003B7102" w:rsidP="00D224BF">
            <w:pPr>
              <w:spacing w:line="276" w:lineRule="auto"/>
              <w:jc w:val="both"/>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Reuniones en persona con las Unidades de Planificación Local (UPL)</w:t>
            </w:r>
          </w:p>
        </w:tc>
        <w:tc>
          <w:tcPr>
            <w:tcW w:w="884" w:type="pct"/>
            <w:shd w:val="clear" w:color="auto" w:fill="auto"/>
            <w:vAlign w:val="center"/>
            <w:hideMark/>
          </w:tcPr>
          <w:p w14:paraId="5283F7B7" w14:textId="77777777" w:rsidR="003B7102" w:rsidRPr="00D224BF" w:rsidRDefault="003B7102" w:rsidP="00D224BF">
            <w:pPr>
              <w:spacing w:line="276" w:lineRule="auto"/>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878</w:t>
            </w:r>
          </w:p>
        </w:tc>
        <w:tc>
          <w:tcPr>
            <w:tcW w:w="907" w:type="pct"/>
            <w:vAlign w:val="center"/>
          </w:tcPr>
          <w:p w14:paraId="2BC2FB2D" w14:textId="77777777" w:rsidR="003B7102" w:rsidRPr="00D224BF" w:rsidRDefault="003B7102" w:rsidP="00D224BF">
            <w:pPr>
              <w:spacing w:line="276" w:lineRule="auto"/>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3 597</w:t>
            </w:r>
          </w:p>
        </w:tc>
      </w:tr>
      <w:tr w:rsidR="003B7102" w:rsidRPr="00D71BC8" w14:paraId="0B20415B" w14:textId="77777777" w:rsidTr="00D224BF">
        <w:trPr>
          <w:trHeight w:val="144"/>
          <w:jc w:val="center"/>
        </w:trPr>
        <w:tc>
          <w:tcPr>
            <w:tcW w:w="3209" w:type="pct"/>
            <w:shd w:val="clear" w:color="auto" w:fill="auto"/>
            <w:vAlign w:val="center"/>
            <w:hideMark/>
          </w:tcPr>
          <w:p w14:paraId="6D8A3538" w14:textId="77777777" w:rsidR="003B7102" w:rsidRPr="00D224BF" w:rsidRDefault="003B7102" w:rsidP="00D224BF">
            <w:pPr>
              <w:spacing w:line="276" w:lineRule="auto"/>
              <w:jc w:val="both"/>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Reuniones en línea con las Unidades de Planificación Local (UPL)</w:t>
            </w:r>
          </w:p>
        </w:tc>
        <w:tc>
          <w:tcPr>
            <w:tcW w:w="884" w:type="pct"/>
            <w:shd w:val="clear" w:color="auto" w:fill="auto"/>
            <w:vAlign w:val="center"/>
            <w:hideMark/>
          </w:tcPr>
          <w:p w14:paraId="6A28A1A6" w14:textId="77777777" w:rsidR="003B7102" w:rsidRPr="00D224BF" w:rsidRDefault="003B7102" w:rsidP="00D224BF">
            <w:pPr>
              <w:spacing w:line="276" w:lineRule="auto"/>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1 485</w:t>
            </w:r>
          </w:p>
        </w:tc>
        <w:tc>
          <w:tcPr>
            <w:tcW w:w="907" w:type="pct"/>
            <w:vAlign w:val="center"/>
          </w:tcPr>
          <w:p w14:paraId="33CE4455" w14:textId="77777777" w:rsidR="003B7102" w:rsidRPr="00D224BF" w:rsidRDefault="003B7102" w:rsidP="00D224BF">
            <w:pPr>
              <w:spacing w:line="276" w:lineRule="auto"/>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1 135</w:t>
            </w:r>
          </w:p>
        </w:tc>
      </w:tr>
    </w:tbl>
    <w:p w14:paraId="6F77F6AE" w14:textId="77777777" w:rsidR="003B7102" w:rsidRPr="00D224BF" w:rsidRDefault="003B7102" w:rsidP="00D224BF">
      <w:pPr>
        <w:spacing w:line="276" w:lineRule="auto"/>
        <w:jc w:val="both"/>
        <w:rPr>
          <w:rFonts w:asciiTheme="minorBidi" w:hAnsiTheme="minorBidi"/>
          <w:sz w:val="20"/>
          <w:szCs w:val="20"/>
        </w:rPr>
      </w:pPr>
    </w:p>
    <w:p w14:paraId="1EB85633" w14:textId="49EFE967" w:rsidR="007817BF" w:rsidRPr="00D224BF" w:rsidRDefault="003B7102" w:rsidP="00D224BF">
      <w:pPr>
        <w:spacing w:before="240" w:line="276" w:lineRule="auto"/>
        <w:contextualSpacing/>
        <w:jc w:val="both"/>
        <w:rPr>
          <w:rFonts w:asciiTheme="minorBidi" w:hAnsiTheme="minorBidi"/>
          <w:sz w:val="20"/>
          <w:szCs w:val="20"/>
          <w:lang w:val="es"/>
        </w:rPr>
      </w:pPr>
      <w:r w:rsidRPr="00D224BF">
        <w:rPr>
          <w:rFonts w:asciiTheme="minorBidi" w:hAnsiTheme="minorBidi"/>
          <w:sz w:val="20"/>
          <w:szCs w:val="20"/>
          <w:lang w:val="es"/>
        </w:rPr>
        <w:t xml:space="preserve">Este proceso participativo ilustra el tipo de procesos transversales que son centrales en la metodología para incorporar el PCI en la planificación urbana, considerando que la participación de diversos miembros de la comunidad -incluidos los sectores social, privado y público- puede aportar diferentes puntos de vista y opiniones a los planes urbanos. </w:t>
      </w:r>
    </w:p>
    <w:p w14:paraId="2961442C" w14:textId="7740D23C" w:rsidR="007817BF" w:rsidRPr="00D224BF" w:rsidRDefault="007817BF" w:rsidP="00D224BF">
      <w:pPr>
        <w:pStyle w:val="Heading1"/>
        <w:numPr>
          <w:ilvl w:val="1"/>
          <w:numId w:val="5"/>
        </w:numPr>
        <w:spacing w:before="240" w:line="276" w:lineRule="auto"/>
        <w:contextualSpacing/>
        <w:jc w:val="both"/>
        <w:rPr>
          <w:rFonts w:asciiTheme="minorBidi" w:hAnsiTheme="minorBidi" w:cstheme="minorBidi"/>
          <w:color w:val="2F51F9"/>
          <w:sz w:val="20"/>
          <w:szCs w:val="20"/>
          <w:lang w:val="es"/>
        </w:rPr>
      </w:pPr>
      <w:r w:rsidRPr="00D224BF">
        <w:rPr>
          <w:rFonts w:asciiTheme="minorBidi" w:hAnsiTheme="minorBidi" w:cstheme="minorBidi"/>
          <w:color w:val="2F51F9"/>
          <w:sz w:val="20"/>
          <w:szCs w:val="20"/>
          <w:lang w:val="es"/>
        </w:rPr>
        <w:t>Otras herramientas o mecanismos de aplicación</w:t>
      </w:r>
    </w:p>
    <w:p w14:paraId="138116EA" w14:textId="77777777" w:rsidR="007817BF" w:rsidRPr="00D224BF" w:rsidRDefault="007817BF" w:rsidP="00D224BF">
      <w:pPr>
        <w:spacing w:line="276" w:lineRule="auto"/>
        <w:contextualSpacing/>
        <w:jc w:val="both"/>
        <w:rPr>
          <w:rFonts w:asciiTheme="minorBidi" w:eastAsiaTheme="majorEastAsia" w:hAnsiTheme="minorBidi"/>
          <w:b/>
          <w:bCs/>
          <w:color w:val="0177D4"/>
          <w:sz w:val="20"/>
          <w:szCs w:val="20"/>
          <w:lang w:val="es"/>
        </w:rPr>
      </w:pPr>
    </w:p>
    <w:p w14:paraId="5A58DB0F" w14:textId="77777777" w:rsidR="007817BF" w:rsidRPr="00D224BF" w:rsidRDefault="007817BF" w:rsidP="00D224BF">
      <w:pPr>
        <w:spacing w:line="276" w:lineRule="auto"/>
        <w:contextualSpacing/>
        <w:jc w:val="both"/>
        <w:rPr>
          <w:rFonts w:asciiTheme="minorBidi" w:hAnsiTheme="minorBidi"/>
          <w:sz w:val="20"/>
          <w:szCs w:val="20"/>
        </w:rPr>
      </w:pPr>
      <w:r w:rsidRPr="00D224BF">
        <w:rPr>
          <w:rFonts w:asciiTheme="minorBidi" w:hAnsiTheme="minorBidi"/>
          <w:sz w:val="20"/>
          <w:szCs w:val="20"/>
          <w:lang w:val="es"/>
        </w:rPr>
        <w:t>El POT va acompañado de otras herramientas o mecanismos de aplicación sectoriales (por ejemplo, jurídicos) y transversales (por ejemplo, institucionales), algunos de los cuales están relacionados con la incorporación del PCI en la planificación y se describen a continuación.</w:t>
      </w:r>
    </w:p>
    <w:p w14:paraId="1DD8B64D" w14:textId="77777777" w:rsidR="007817BF" w:rsidRPr="00D224BF" w:rsidRDefault="007817BF" w:rsidP="00D224BF">
      <w:pPr>
        <w:spacing w:line="276" w:lineRule="auto"/>
        <w:jc w:val="both"/>
        <w:rPr>
          <w:rFonts w:asciiTheme="minorBidi" w:hAnsiTheme="minorBidi"/>
          <w:sz w:val="20"/>
          <w:szCs w:val="20"/>
        </w:rPr>
      </w:pPr>
    </w:p>
    <w:p w14:paraId="1DD67860" w14:textId="77777777" w:rsidR="007817BF" w:rsidRPr="00D224BF" w:rsidRDefault="007817BF" w:rsidP="00D224BF">
      <w:pPr>
        <w:spacing w:line="276" w:lineRule="auto"/>
        <w:jc w:val="both"/>
        <w:rPr>
          <w:rFonts w:asciiTheme="minorBidi" w:hAnsiTheme="minorBidi"/>
          <w:sz w:val="20"/>
          <w:szCs w:val="20"/>
        </w:rPr>
      </w:pPr>
      <w:r w:rsidRPr="00D224BF">
        <w:rPr>
          <w:rFonts w:asciiTheme="minorBidi" w:hAnsiTheme="minorBidi"/>
          <w:b/>
          <w:bCs/>
          <w:sz w:val="20"/>
          <w:szCs w:val="20"/>
          <w:lang w:val="es"/>
        </w:rPr>
        <w:t xml:space="preserve">Tratamientos urbanísticos </w:t>
      </w:r>
      <w:r w:rsidRPr="00D224BF">
        <w:rPr>
          <w:rFonts w:asciiTheme="minorBidi" w:hAnsiTheme="minorBidi"/>
          <w:i/>
          <w:iCs/>
          <w:sz w:val="20"/>
          <w:szCs w:val="20"/>
          <w:lang w:val="es"/>
        </w:rPr>
        <w:t>(sectoriales):</w:t>
      </w:r>
      <w:r w:rsidRPr="00D224BF">
        <w:rPr>
          <w:rFonts w:asciiTheme="minorBidi" w:hAnsiTheme="minorBidi"/>
          <w:sz w:val="20"/>
          <w:szCs w:val="20"/>
          <w:lang w:val="es"/>
        </w:rPr>
        <w:t xml:space="preserve"> definen la forma, intensidad y demás normativas aplicables al desarrollo de los espacios públicos y las edificaciones, según los usos definidos por el POT. Además,  establece 5 tratamientos urbanísticos para alcanzar sus objetivos: i) desarrollo, </w:t>
      </w:r>
      <w:proofErr w:type="spellStart"/>
      <w:r w:rsidRPr="00D224BF">
        <w:rPr>
          <w:rFonts w:asciiTheme="minorBidi" w:hAnsiTheme="minorBidi"/>
          <w:sz w:val="20"/>
          <w:szCs w:val="20"/>
          <w:lang w:val="es"/>
        </w:rPr>
        <w:t>ii</w:t>
      </w:r>
      <w:proofErr w:type="spellEnd"/>
      <w:r w:rsidRPr="00D224BF">
        <w:rPr>
          <w:rFonts w:asciiTheme="minorBidi" w:hAnsiTheme="minorBidi"/>
          <w:sz w:val="20"/>
          <w:szCs w:val="20"/>
          <w:lang w:val="es"/>
        </w:rPr>
        <w:t xml:space="preserve">) renovación urbana, </w:t>
      </w:r>
      <w:proofErr w:type="spellStart"/>
      <w:r w:rsidRPr="00D224BF">
        <w:rPr>
          <w:rFonts w:asciiTheme="minorBidi" w:hAnsiTheme="minorBidi"/>
          <w:sz w:val="20"/>
          <w:szCs w:val="20"/>
          <w:lang w:val="es"/>
        </w:rPr>
        <w:t>iii</w:t>
      </w:r>
      <w:proofErr w:type="spellEnd"/>
      <w:r w:rsidRPr="00D224BF">
        <w:rPr>
          <w:rFonts w:asciiTheme="minorBidi" w:hAnsiTheme="minorBidi"/>
          <w:sz w:val="20"/>
          <w:szCs w:val="20"/>
          <w:lang w:val="es"/>
        </w:rPr>
        <w:t xml:space="preserve">) consolidación, </w:t>
      </w:r>
      <w:proofErr w:type="spellStart"/>
      <w:r w:rsidRPr="00D224BF">
        <w:rPr>
          <w:rFonts w:asciiTheme="minorBidi" w:hAnsiTheme="minorBidi"/>
          <w:sz w:val="20"/>
          <w:szCs w:val="20"/>
          <w:lang w:val="es"/>
        </w:rPr>
        <w:t>iv</w:t>
      </w:r>
      <w:proofErr w:type="spellEnd"/>
      <w:r w:rsidRPr="00D224BF">
        <w:rPr>
          <w:rFonts w:asciiTheme="minorBidi" w:hAnsiTheme="minorBidi"/>
          <w:sz w:val="20"/>
          <w:szCs w:val="20"/>
          <w:lang w:val="es"/>
        </w:rPr>
        <w:t xml:space="preserve">) mejora integral, y v) conservación. En este caso, el tratamiento de conservación es el más relevante, ya que busca “preservar la memoria y el patrimonio de la ciudad construida que tienen valores diferenciales desde el punto de vista ambiental, histórico, estético, simbólico, urbanístico o arquitectónico”. </w:t>
      </w:r>
    </w:p>
    <w:p w14:paraId="47D4AA87" w14:textId="77777777" w:rsidR="007817BF" w:rsidRPr="00D224BF" w:rsidRDefault="007817BF" w:rsidP="00D224BF">
      <w:pPr>
        <w:spacing w:line="276" w:lineRule="auto"/>
        <w:jc w:val="both"/>
        <w:rPr>
          <w:rFonts w:asciiTheme="minorBidi" w:hAnsiTheme="minorBidi"/>
          <w:b/>
          <w:bCs/>
          <w:sz w:val="20"/>
          <w:szCs w:val="20"/>
        </w:rPr>
      </w:pPr>
    </w:p>
    <w:p w14:paraId="449EEAF6" w14:textId="77777777" w:rsidR="007817BF" w:rsidRPr="00D224BF" w:rsidRDefault="007817BF" w:rsidP="00D224BF">
      <w:pPr>
        <w:spacing w:line="276" w:lineRule="auto"/>
        <w:jc w:val="both"/>
        <w:rPr>
          <w:rFonts w:asciiTheme="minorBidi" w:hAnsiTheme="minorBidi"/>
          <w:sz w:val="20"/>
          <w:szCs w:val="20"/>
        </w:rPr>
      </w:pPr>
      <w:r w:rsidRPr="00D224BF">
        <w:rPr>
          <w:rFonts w:asciiTheme="minorBidi" w:hAnsiTheme="minorBidi"/>
          <w:b/>
          <w:bCs/>
          <w:sz w:val="20"/>
          <w:szCs w:val="20"/>
          <w:lang w:val="es"/>
        </w:rPr>
        <w:t xml:space="preserve">Plan de Patrimonios Vitales </w:t>
      </w:r>
      <w:r w:rsidRPr="00D224BF">
        <w:rPr>
          <w:rFonts w:asciiTheme="minorBidi" w:hAnsiTheme="minorBidi"/>
          <w:i/>
          <w:iCs/>
          <w:sz w:val="20"/>
          <w:szCs w:val="20"/>
          <w:lang w:val="es"/>
        </w:rPr>
        <w:t xml:space="preserve">(sectorial): </w:t>
      </w:r>
      <w:r w:rsidRPr="00D224BF">
        <w:rPr>
          <w:rFonts w:asciiTheme="minorBidi" w:hAnsiTheme="minorBidi"/>
          <w:sz w:val="20"/>
          <w:szCs w:val="20"/>
          <w:lang w:val="es"/>
        </w:rPr>
        <w:t>el POT</w:t>
      </w:r>
      <w:r w:rsidRPr="00D224BF">
        <w:rPr>
          <w:rFonts w:asciiTheme="minorBidi" w:hAnsiTheme="minorBidi"/>
          <w:b/>
          <w:bCs/>
          <w:sz w:val="20"/>
          <w:szCs w:val="20"/>
          <w:lang w:val="es"/>
        </w:rPr>
        <w:t xml:space="preserve"> </w:t>
      </w:r>
      <w:r w:rsidRPr="00D224BF">
        <w:rPr>
          <w:rFonts w:asciiTheme="minorBidi" w:hAnsiTheme="minorBidi"/>
          <w:sz w:val="20"/>
          <w:szCs w:val="20"/>
          <w:lang w:val="es"/>
        </w:rPr>
        <w:t>ordena la elaboración de Planes de Patrimonio Vital mediante los cuales se materializará la gestión, diseño, promoción, desarrollo y ejecución de medidas en sectores de interés urbano a través de programas y proyectos relacionados con la revitalización del patrimonio cultural del Distrito Capital. Estos planes incluirán la definición de proyectos intersectoriales específicos para la recuperación o protección de bienes de interés cultural, y medidas para el reconocimiento, promoción y salvaguardia de elementos del PCI.</w:t>
      </w:r>
    </w:p>
    <w:p w14:paraId="1FA8CB1E" w14:textId="77777777" w:rsidR="007817BF" w:rsidRPr="00D224BF" w:rsidRDefault="007817BF" w:rsidP="00D224BF">
      <w:pPr>
        <w:spacing w:line="276" w:lineRule="auto"/>
        <w:jc w:val="both"/>
        <w:rPr>
          <w:rFonts w:asciiTheme="minorBidi" w:hAnsiTheme="minorBidi"/>
          <w:sz w:val="20"/>
          <w:szCs w:val="20"/>
        </w:rPr>
      </w:pPr>
    </w:p>
    <w:p w14:paraId="2984F905" w14:textId="77777777" w:rsidR="007817BF" w:rsidRPr="00D224BF" w:rsidRDefault="007817BF" w:rsidP="00D224BF">
      <w:pPr>
        <w:spacing w:line="276" w:lineRule="auto"/>
        <w:jc w:val="both"/>
        <w:rPr>
          <w:rFonts w:asciiTheme="minorBidi" w:hAnsiTheme="minorBidi"/>
          <w:sz w:val="20"/>
          <w:szCs w:val="20"/>
        </w:rPr>
      </w:pPr>
      <w:r w:rsidRPr="00D224BF">
        <w:rPr>
          <w:rFonts w:asciiTheme="minorBidi" w:hAnsiTheme="minorBidi"/>
          <w:b/>
          <w:bCs/>
          <w:sz w:val="20"/>
          <w:szCs w:val="20"/>
          <w:lang w:val="es"/>
        </w:rPr>
        <w:lastRenderedPageBreak/>
        <w:t xml:space="preserve">Programa de resignificación de la identidad, la cultura y el patrimonio </w:t>
      </w:r>
      <w:r w:rsidRPr="00D224BF">
        <w:rPr>
          <w:rFonts w:asciiTheme="minorBidi" w:hAnsiTheme="minorBidi"/>
          <w:i/>
          <w:iCs/>
          <w:sz w:val="20"/>
          <w:szCs w:val="20"/>
          <w:lang w:val="es"/>
        </w:rPr>
        <w:t xml:space="preserve">(sectorial): </w:t>
      </w:r>
      <w:r w:rsidRPr="00D224BF">
        <w:rPr>
          <w:rFonts w:asciiTheme="minorBidi" w:hAnsiTheme="minorBidi"/>
          <w:sz w:val="20"/>
          <w:szCs w:val="20"/>
          <w:lang w:val="es"/>
        </w:rPr>
        <w:t>el POT prevé la creación de este programa para “revitalizar la ciudad a través de intervenciones y proyectos de calidad que garanticen la viabilidad, visibilidad y apropiación del patrimonio natural, material e inmaterial, reforzando su condición de memoria y testimonio de la ciudad históricamente construida”. El programa identificará formas de “permitir su integración física y funcional entre sí y con el resto del paisaje urbano”, y “contribuir a embellecer la ciudad y dignificar el espacio público”. Incluirá un subprograma para la "promoción, atracción y permanencia de las actividades tradicionales y artesanales”.</w:t>
      </w:r>
    </w:p>
    <w:p w14:paraId="6D51F45A" w14:textId="77777777" w:rsidR="007817BF" w:rsidRPr="00D224BF" w:rsidRDefault="007817BF" w:rsidP="00D224BF">
      <w:pPr>
        <w:spacing w:line="276" w:lineRule="auto"/>
        <w:jc w:val="both"/>
        <w:rPr>
          <w:rFonts w:asciiTheme="minorBidi" w:hAnsiTheme="minorBidi"/>
          <w:sz w:val="20"/>
          <w:szCs w:val="20"/>
        </w:rPr>
      </w:pPr>
    </w:p>
    <w:p w14:paraId="2ED4D9BD" w14:textId="13D9E15F" w:rsidR="007817BF" w:rsidRPr="00D224BF" w:rsidRDefault="007817BF" w:rsidP="00D224BF">
      <w:pPr>
        <w:spacing w:line="276" w:lineRule="auto"/>
        <w:contextualSpacing/>
        <w:jc w:val="both"/>
        <w:rPr>
          <w:rFonts w:asciiTheme="minorBidi" w:hAnsiTheme="minorBidi"/>
          <w:sz w:val="20"/>
          <w:szCs w:val="20"/>
        </w:rPr>
      </w:pPr>
      <w:r w:rsidRPr="00D224BF">
        <w:rPr>
          <w:rFonts w:asciiTheme="minorBidi" w:hAnsiTheme="minorBidi"/>
          <w:b/>
          <w:bCs/>
          <w:sz w:val="20"/>
          <w:szCs w:val="20"/>
          <w:lang w:val="es"/>
        </w:rPr>
        <w:t xml:space="preserve">Observatorio de la Estructura Patrimonial del POT </w:t>
      </w:r>
      <w:r w:rsidRPr="00D224BF">
        <w:rPr>
          <w:rFonts w:asciiTheme="minorBidi" w:hAnsiTheme="minorBidi"/>
          <w:i/>
          <w:iCs/>
          <w:sz w:val="20"/>
          <w:szCs w:val="20"/>
          <w:lang w:val="es"/>
        </w:rPr>
        <w:t>(transversal):</w:t>
      </w:r>
      <w:r w:rsidRPr="00D224BF">
        <w:rPr>
          <w:rFonts w:asciiTheme="minorBidi" w:hAnsiTheme="minorBidi"/>
          <w:sz w:val="20"/>
          <w:szCs w:val="20"/>
          <w:lang w:val="es"/>
        </w:rPr>
        <w:t xml:space="preserve"> el Instituto Distrital de Patrimonio Cultural, dentro de los 12 meses siguientes a la aprobación del POT, establecerá un observatorio de los patrimonios culturales material, inmaterial y natural para informar a la población sobre la dinámica territorial del patrimonio; definir las líneas de base e indicadores requeridos para el seguimiento y evaluación de los avances en esta materia; y hacer un seguimiento de los programas y proyectos relacionados con el patrimonio cultural. </w:t>
      </w:r>
    </w:p>
    <w:p w14:paraId="619347D9" w14:textId="54F0C129" w:rsidR="003B7102" w:rsidRPr="00D224BF" w:rsidRDefault="007817BF" w:rsidP="00D224BF">
      <w:pPr>
        <w:pStyle w:val="Heading1"/>
        <w:numPr>
          <w:ilvl w:val="0"/>
          <w:numId w:val="0"/>
        </w:numPr>
        <w:spacing w:line="276" w:lineRule="auto"/>
        <w:contextualSpacing/>
        <w:jc w:val="both"/>
        <w:rPr>
          <w:rFonts w:asciiTheme="minorBidi" w:hAnsiTheme="minorBidi" w:cstheme="minorBidi"/>
          <w:color w:val="0177D4"/>
          <w:sz w:val="20"/>
          <w:szCs w:val="20"/>
        </w:rPr>
      </w:pPr>
      <w:r w:rsidRPr="00421A1F">
        <w:rPr>
          <w:rFonts w:asciiTheme="minorBidi" w:hAnsiTheme="minorBidi" w:cstheme="minorBidi"/>
          <w:color w:val="0042D6"/>
          <w:sz w:val="20"/>
          <w:szCs w:val="20"/>
          <w:lang w:val="es"/>
        </w:rPr>
        <w:t>2.6.</w:t>
      </w:r>
      <w:r w:rsidRPr="00D224BF">
        <w:rPr>
          <w:rFonts w:asciiTheme="minorBidi" w:hAnsiTheme="minorBidi" w:cstheme="minorBidi"/>
          <w:color w:val="0177D4"/>
          <w:sz w:val="20"/>
          <w:szCs w:val="20"/>
          <w:lang w:val="es"/>
        </w:rPr>
        <w:t xml:space="preserve"> </w:t>
      </w:r>
      <w:r w:rsidR="003B7102" w:rsidRPr="00D224BF">
        <w:rPr>
          <w:rFonts w:asciiTheme="minorBidi" w:hAnsiTheme="minorBidi" w:cstheme="minorBidi"/>
          <w:color w:val="2F51F1"/>
          <w:sz w:val="20"/>
          <w:szCs w:val="20"/>
          <w:lang w:val="es"/>
        </w:rPr>
        <w:t xml:space="preserve">Estrategias e intervenciones para la incorporación del </w:t>
      </w:r>
      <w:r w:rsidR="00421A1F">
        <w:rPr>
          <w:rFonts w:asciiTheme="minorBidi" w:hAnsiTheme="minorBidi" w:cstheme="minorBidi"/>
          <w:color w:val="2F51F1"/>
          <w:sz w:val="20"/>
          <w:szCs w:val="20"/>
          <w:lang w:val="es"/>
        </w:rPr>
        <w:t>patrimonio cultural inmaterial</w:t>
      </w:r>
      <w:r w:rsidR="003B7102" w:rsidRPr="00D224BF">
        <w:rPr>
          <w:rFonts w:asciiTheme="minorBidi" w:hAnsiTheme="minorBidi" w:cstheme="minorBidi"/>
          <w:color w:val="2F51F1"/>
          <w:sz w:val="20"/>
          <w:szCs w:val="20"/>
          <w:lang w:val="es"/>
        </w:rPr>
        <w:t xml:space="preserve"> en la planificación</w:t>
      </w:r>
      <w:r w:rsidR="00813640" w:rsidRPr="00D224BF">
        <w:rPr>
          <w:rFonts w:asciiTheme="minorBidi" w:hAnsiTheme="minorBidi" w:cstheme="minorBidi"/>
          <w:color w:val="2F51F1"/>
          <w:sz w:val="20"/>
          <w:szCs w:val="20"/>
          <w:lang w:val="es"/>
        </w:rPr>
        <w:t xml:space="preserve"> urbana</w:t>
      </w:r>
    </w:p>
    <w:p w14:paraId="6A382DCA" w14:textId="77777777" w:rsidR="003B7102" w:rsidRPr="00D224BF" w:rsidRDefault="003B7102" w:rsidP="00D224BF">
      <w:pPr>
        <w:spacing w:line="276" w:lineRule="auto"/>
        <w:contextualSpacing/>
        <w:jc w:val="both"/>
        <w:rPr>
          <w:rFonts w:asciiTheme="minorBidi" w:hAnsiTheme="minorBidi"/>
          <w:sz w:val="20"/>
          <w:szCs w:val="20"/>
        </w:rPr>
      </w:pPr>
    </w:p>
    <w:p w14:paraId="0841960C" w14:textId="46C63380"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sz w:val="20"/>
          <w:szCs w:val="20"/>
          <w:lang w:val="es"/>
        </w:rPr>
        <w:t>Como ya se ha mencionado, el POT se compone de 11 políticas a largo plazo, 15 principios rectores, 7 objetivos a largo plazo y un modelo de ocupación del territorio que incluye 4 estructuras territoriales (a saber, ecológica, función y del cuidado, patrimonio y socioeconómica e innovación). La estructura patrimonial está directamente relacionada con la salvaguardia del patrimonio natural, material e inmaterial y puede respaldar mejor la metodología para la incorporación del PCI en la planificación. A continuación</w:t>
      </w:r>
      <w:r w:rsidR="00CE5B29" w:rsidRPr="00D224BF">
        <w:rPr>
          <w:rFonts w:asciiTheme="minorBidi" w:hAnsiTheme="minorBidi"/>
          <w:sz w:val="20"/>
          <w:szCs w:val="20"/>
          <w:lang w:val="es"/>
        </w:rPr>
        <w:t>,</w:t>
      </w:r>
      <w:r w:rsidRPr="00D224BF">
        <w:rPr>
          <w:rFonts w:asciiTheme="minorBidi" w:hAnsiTheme="minorBidi"/>
          <w:sz w:val="20"/>
          <w:szCs w:val="20"/>
          <w:lang w:val="es"/>
        </w:rPr>
        <w:t xml:space="preserve"> se resumen las estrategias relacionadas con </w:t>
      </w:r>
      <w:r w:rsidR="00E666FA" w:rsidRPr="00D224BF">
        <w:rPr>
          <w:rFonts w:asciiTheme="minorBidi" w:hAnsiTheme="minorBidi"/>
          <w:sz w:val="20"/>
          <w:szCs w:val="20"/>
          <w:lang w:val="es"/>
        </w:rPr>
        <w:t xml:space="preserve">esa </w:t>
      </w:r>
      <w:r w:rsidRPr="00D224BF">
        <w:rPr>
          <w:rFonts w:asciiTheme="minorBidi" w:hAnsiTheme="minorBidi"/>
          <w:sz w:val="20"/>
          <w:szCs w:val="20"/>
          <w:lang w:val="es"/>
        </w:rPr>
        <w:t xml:space="preserve">estructura o derivadas de ella. Para este análisis, las estrategias se organizan por cada una de las cuatro estructuras urbanas de la metodología propuesta. </w:t>
      </w:r>
    </w:p>
    <w:p w14:paraId="572600E8" w14:textId="77777777" w:rsidR="003B7102" w:rsidRPr="00D224BF" w:rsidRDefault="003B7102" w:rsidP="00D224BF">
      <w:pPr>
        <w:spacing w:line="276" w:lineRule="auto"/>
        <w:jc w:val="both"/>
        <w:rPr>
          <w:rFonts w:asciiTheme="minorBidi" w:hAnsiTheme="minorBidi"/>
          <w:sz w:val="20"/>
          <w:szCs w:val="20"/>
        </w:rPr>
      </w:pPr>
    </w:p>
    <w:p w14:paraId="67FDA71C" w14:textId="294BAD1D"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b/>
          <w:bCs/>
          <w:sz w:val="20"/>
          <w:szCs w:val="20"/>
          <w:lang w:val="es"/>
        </w:rPr>
        <w:t xml:space="preserve">Estructura ecológica: </w:t>
      </w:r>
      <w:r w:rsidR="00516556" w:rsidRPr="00D224BF">
        <w:rPr>
          <w:rFonts w:asciiTheme="minorBidi" w:hAnsiTheme="minorBidi"/>
          <w:sz w:val="20"/>
          <w:szCs w:val="20"/>
          <w:lang w:val="es"/>
        </w:rPr>
        <w:t>e</w:t>
      </w:r>
      <w:r w:rsidRPr="00D224BF">
        <w:rPr>
          <w:rFonts w:asciiTheme="minorBidi" w:hAnsiTheme="minorBidi"/>
          <w:sz w:val="20"/>
          <w:szCs w:val="20"/>
          <w:lang w:val="es"/>
        </w:rPr>
        <w:t xml:space="preserve">l POT concede a esta estructura la máxima prioridad en términos de desarrollo territorial y propone aumentar la superficie ecológica en un 30 %, de 95 000 a 124 000 hectáreas. Pretende conservar o restaurar 1 200 hectáreas de la Red de Parques Fluviales de Bogotá, donde se llevarán a cabo actividades culturales, recreativas, educativas y de conservación. Incluye medidas para proteger y restaurar árboles patrimoniales y jardines tradicionales y reactivar senderos históricos en los </w:t>
      </w:r>
      <w:r w:rsidRPr="00D224BF">
        <w:rPr>
          <w:rFonts w:asciiTheme="minorBidi" w:hAnsiTheme="minorBidi"/>
          <w:i/>
          <w:iCs/>
          <w:sz w:val="20"/>
          <w:szCs w:val="20"/>
          <w:lang w:val="es"/>
        </w:rPr>
        <w:t>Cerros Orientales</w:t>
      </w:r>
      <w:r w:rsidRPr="00D224BF">
        <w:rPr>
          <w:rFonts w:asciiTheme="minorBidi" w:hAnsiTheme="minorBidi"/>
          <w:sz w:val="20"/>
          <w:szCs w:val="20"/>
          <w:lang w:val="es"/>
        </w:rPr>
        <w:t xml:space="preserve">. Otras estrategias incluyen la protección de la Reserva Thomas Van der Hammen, el Parque Nacional Natural Sumapaz y la </w:t>
      </w:r>
      <w:proofErr w:type="gramStart"/>
      <w:r w:rsidRPr="00D224BF">
        <w:rPr>
          <w:rFonts w:asciiTheme="minorBidi" w:hAnsiTheme="minorBidi"/>
          <w:sz w:val="20"/>
          <w:szCs w:val="20"/>
          <w:lang w:val="es"/>
        </w:rPr>
        <w:t>Media Luna</w:t>
      </w:r>
      <w:proofErr w:type="gramEnd"/>
      <w:r w:rsidRPr="00D224BF">
        <w:rPr>
          <w:rFonts w:asciiTheme="minorBidi" w:hAnsiTheme="minorBidi"/>
          <w:sz w:val="20"/>
          <w:szCs w:val="20"/>
          <w:lang w:val="es"/>
        </w:rPr>
        <w:t xml:space="preserve"> del Sur, y la creación de tres parques fronterizos: Cerro Seco, Río Bogotá y Cerros Orientales.</w:t>
      </w:r>
    </w:p>
    <w:p w14:paraId="0900CD6B" w14:textId="77777777" w:rsidR="003B7102" w:rsidRPr="00D224BF" w:rsidRDefault="003B7102" w:rsidP="00D224BF">
      <w:pPr>
        <w:spacing w:line="276" w:lineRule="auto"/>
        <w:jc w:val="both"/>
        <w:rPr>
          <w:rFonts w:asciiTheme="minorBidi" w:hAnsiTheme="minorBidi"/>
          <w:sz w:val="20"/>
          <w:szCs w:val="20"/>
        </w:rPr>
      </w:pPr>
    </w:p>
    <w:p w14:paraId="7ED53917" w14:textId="256D7AA4"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sz w:val="20"/>
          <w:szCs w:val="20"/>
          <w:lang w:val="es"/>
        </w:rPr>
        <w:t xml:space="preserve">El Decreto 555, que da soporte legal al POT, incluye disposiciones complementarias respecto al patrimonio cultural relacionado con la estructura ecológica. El artículo 81 fomenta la </w:t>
      </w:r>
      <w:r w:rsidR="00E666FA" w:rsidRPr="00D224BF">
        <w:rPr>
          <w:rFonts w:asciiTheme="minorBidi" w:hAnsiTheme="minorBidi"/>
          <w:sz w:val="20"/>
          <w:szCs w:val="20"/>
          <w:lang w:val="es"/>
        </w:rPr>
        <w:t>“</w:t>
      </w:r>
      <w:r w:rsidRPr="00D224BF">
        <w:rPr>
          <w:rFonts w:asciiTheme="minorBidi" w:hAnsiTheme="minorBidi"/>
          <w:sz w:val="20"/>
          <w:szCs w:val="20"/>
          <w:lang w:val="es"/>
        </w:rPr>
        <w:t>protección del patrimonio natural y la renaturalización de los entornos patrimoniales</w:t>
      </w:r>
      <w:r w:rsidR="00E666FA" w:rsidRPr="00D224BF">
        <w:rPr>
          <w:rFonts w:asciiTheme="minorBidi" w:hAnsiTheme="minorBidi"/>
          <w:sz w:val="20"/>
          <w:szCs w:val="20"/>
          <w:lang w:val="es"/>
        </w:rPr>
        <w:t>”</w:t>
      </w:r>
      <w:r w:rsidRPr="00D224BF">
        <w:rPr>
          <w:rFonts w:asciiTheme="minorBidi" w:hAnsiTheme="minorBidi"/>
          <w:sz w:val="20"/>
          <w:szCs w:val="20"/>
          <w:lang w:val="es"/>
        </w:rPr>
        <w:t xml:space="preserve"> mediante </w:t>
      </w:r>
      <w:r w:rsidR="00E666FA" w:rsidRPr="00D224BF">
        <w:rPr>
          <w:rFonts w:asciiTheme="minorBidi" w:hAnsiTheme="minorBidi"/>
          <w:sz w:val="20"/>
          <w:szCs w:val="20"/>
          <w:lang w:val="es"/>
        </w:rPr>
        <w:t>“</w:t>
      </w:r>
      <w:r w:rsidRPr="00D224BF">
        <w:rPr>
          <w:rFonts w:asciiTheme="minorBidi" w:hAnsiTheme="minorBidi"/>
          <w:sz w:val="20"/>
          <w:szCs w:val="20"/>
          <w:lang w:val="es"/>
        </w:rPr>
        <w:t>jardines tradicionales y árboles del patrimonio histórico</w:t>
      </w:r>
      <w:r w:rsidR="00E666FA" w:rsidRPr="00D224BF">
        <w:rPr>
          <w:rFonts w:asciiTheme="minorBidi" w:hAnsiTheme="minorBidi"/>
          <w:sz w:val="20"/>
          <w:szCs w:val="20"/>
          <w:lang w:val="es"/>
        </w:rPr>
        <w:t>”</w:t>
      </w:r>
      <w:r w:rsidRPr="00D224BF">
        <w:rPr>
          <w:rFonts w:asciiTheme="minorBidi" w:hAnsiTheme="minorBidi"/>
          <w:sz w:val="20"/>
          <w:szCs w:val="20"/>
          <w:lang w:val="es"/>
        </w:rPr>
        <w:t xml:space="preserve">. El artículo 84 establece que </w:t>
      </w:r>
      <w:r w:rsidR="00E666FA" w:rsidRPr="00D224BF">
        <w:rPr>
          <w:rFonts w:asciiTheme="minorBidi" w:hAnsiTheme="minorBidi"/>
          <w:sz w:val="20"/>
          <w:szCs w:val="20"/>
          <w:lang w:val="es"/>
        </w:rPr>
        <w:t>“</w:t>
      </w:r>
      <w:r w:rsidRPr="00D224BF">
        <w:rPr>
          <w:rFonts w:asciiTheme="minorBidi" w:hAnsiTheme="minorBidi"/>
          <w:sz w:val="20"/>
          <w:szCs w:val="20"/>
          <w:lang w:val="es"/>
        </w:rPr>
        <w:t xml:space="preserve">cualquier intervención sobre áreas con presencia de sistemas hidráulicos prehispánicos de la </w:t>
      </w:r>
      <w:r w:rsidRPr="00D224BF">
        <w:rPr>
          <w:rFonts w:asciiTheme="minorBidi" w:hAnsiTheme="minorBidi"/>
          <w:i/>
          <w:iCs/>
          <w:sz w:val="20"/>
          <w:szCs w:val="20"/>
          <w:lang w:val="es"/>
        </w:rPr>
        <w:t>Sabana de</w:t>
      </w:r>
      <w:r w:rsidRPr="00D224BF">
        <w:rPr>
          <w:rFonts w:asciiTheme="minorBidi" w:hAnsiTheme="minorBidi"/>
          <w:sz w:val="20"/>
          <w:szCs w:val="20"/>
          <w:lang w:val="es"/>
        </w:rPr>
        <w:t xml:space="preserve"> </w:t>
      </w:r>
      <w:r w:rsidRPr="00D224BF">
        <w:rPr>
          <w:rFonts w:asciiTheme="minorBidi" w:hAnsiTheme="minorBidi"/>
          <w:i/>
          <w:iCs/>
          <w:sz w:val="20"/>
          <w:szCs w:val="20"/>
          <w:lang w:val="es"/>
        </w:rPr>
        <w:t>Bogotá</w:t>
      </w:r>
      <w:r w:rsidRPr="00D224BF">
        <w:rPr>
          <w:rFonts w:asciiTheme="minorBidi" w:hAnsiTheme="minorBidi"/>
          <w:sz w:val="20"/>
          <w:szCs w:val="20"/>
          <w:lang w:val="es"/>
        </w:rPr>
        <w:t xml:space="preserve"> deberá formular y aplicar medidas de gestión del patrimonio arqueológico</w:t>
      </w:r>
      <w:r w:rsidR="00E666FA" w:rsidRPr="00D224BF">
        <w:rPr>
          <w:rFonts w:asciiTheme="minorBidi" w:hAnsiTheme="minorBidi"/>
          <w:sz w:val="20"/>
          <w:szCs w:val="20"/>
          <w:lang w:val="es"/>
        </w:rPr>
        <w:t>”</w:t>
      </w:r>
      <w:r w:rsidRPr="00D224BF">
        <w:rPr>
          <w:rFonts w:asciiTheme="minorBidi" w:hAnsiTheme="minorBidi"/>
          <w:sz w:val="20"/>
          <w:szCs w:val="20"/>
          <w:lang w:val="es"/>
        </w:rPr>
        <w:t xml:space="preserve">. El artículo 86 promueve la creación de </w:t>
      </w:r>
      <w:r w:rsidR="00E666FA" w:rsidRPr="00D224BF">
        <w:rPr>
          <w:rFonts w:asciiTheme="minorBidi" w:hAnsiTheme="minorBidi"/>
          <w:sz w:val="20"/>
          <w:szCs w:val="20"/>
          <w:lang w:val="es"/>
        </w:rPr>
        <w:t>“</w:t>
      </w:r>
      <w:r w:rsidRPr="00D224BF">
        <w:rPr>
          <w:rFonts w:asciiTheme="minorBidi" w:hAnsiTheme="minorBidi"/>
          <w:sz w:val="20"/>
          <w:szCs w:val="20"/>
          <w:lang w:val="es"/>
        </w:rPr>
        <w:t>sistemas cooperativos de producción sostenible como huertos productivos, bancos de semillas nativas y plantas de uso medicinal, entre otros</w:t>
      </w:r>
      <w:r w:rsidR="00E666FA" w:rsidRPr="00D224BF">
        <w:rPr>
          <w:rFonts w:asciiTheme="minorBidi" w:hAnsiTheme="minorBidi"/>
          <w:sz w:val="20"/>
          <w:szCs w:val="20"/>
          <w:lang w:val="es"/>
        </w:rPr>
        <w:t>”</w:t>
      </w:r>
      <w:r w:rsidRPr="00D224BF">
        <w:rPr>
          <w:rFonts w:asciiTheme="minorBidi" w:hAnsiTheme="minorBidi"/>
          <w:sz w:val="20"/>
          <w:szCs w:val="20"/>
          <w:lang w:val="es"/>
        </w:rPr>
        <w:t xml:space="preserve">. Por último, el artículo 86 ordena la </w:t>
      </w:r>
      <w:r w:rsidRPr="00D224BF">
        <w:rPr>
          <w:rFonts w:asciiTheme="minorBidi" w:hAnsiTheme="minorBidi"/>
          <w:sz w:val="20"/>
          <w:szCs w:val="20"/>
          <w:lang w:val="es"/>
        </w:rPr>
        <w:lastRenderedPageBreak/>
        <w:t xml:space="preserve">elaboración de inventarios de bienes naturales mediante un proceso participativo junto con la identificación de proyectos de salvaguardia. </w:t>
      </w:r>
    </w:p>
    <w:p w14:paraId="54FC2289" w14:textId="77777777" w:rsidR="003B7102" w:rsidRPr="00D224BF" w:rsidRDefault="003B7102" w:rsidP="00D224BF">
      <w:pPr>
        <w:spacing w:line="276" w:lineRule="auto"/>
        <w:jc w:val="both"/>
        <w:rPr>
          <w:rFonts w:asciiTheme="minorBidi" w:hAnsiTheme="minorBidi"/>
          <w:sz w:val="20"/>
          <w:szCs w:val="20"/>
        </w:rPr>
      </w:pPr>
    </w:p>
    <w:p w14:paraId="67C5D349" w14:textId="7406A2F1" w:rsidR="003B7102" w:rsidRPr="00D224BF" w:rsidRDefault="003B7102" w:rsidP="00D224BF">
      <w:pPr>
        <w:spacing w:line="276" w:lineRule="auto"/>
        <w:jc w:val="both"/>
        <w:rPr>
          <w:rFonts w:asciiTheme="minorBidi" w:hAnsiTheme="minorBidi"/>
          <w:b/>
          <w:bCs/>
          <w:sz w:val="20"/>
          <w:szCs w:val="20"/>
        </w:rPr>
      </w:pPr>
      <w:r w:rsidRPr="00D224BF">
        <w:rPr>
          <w:rFonts w:asciiTheme="minorBidi" w:hAnsiTheme="minorBidi"/>
          <w:b/>
          <w:bCs/>
          <w:sz w:val="20"/>
          <w:szCs w:val="20"/>
          <w:lang w:val="es"/>
        </w:rPr>
        <w:t xml:space="preserve">Estructura funcional: </w:t>
      </w:r>
      <w:r w:rsidR="00516556" w:rsidRPr="00D224BF">
        <w:rPr>
          <w:rFonts w:asciiTheme="minorBidi" w:hAnsiTheme="minorBidi"/>
          <w:sz w:val="20"/>
          <w:szCs w:val="20"/>
          <w:lang w:val="es"/>
        </w:rPr>
        <w:t>e</w:t>
      </w:r>
      <w:r w:rsidRPr="00D224BF">
        <w:rPr>
          <w:rFonts w:asciiTheme="minorBidi" w:hAnsiTheme="minorBidi"/>
          <w:sz w:val="20"/>
          <w:szCs w:val="20"/>
          <w:lang w:val="es"/>
        </w:rPr>
        <w:t>l POT incluye estrategias e intervenciones en torno a áreas como el transporte, los espacios públicos y las instalaciones urbanas que pueden contribuir directa o indirectamente a salvaguardar el patrimonio cultural.</w:t>
      </w:r>
    </w:p>
    <w:p w14:paraId="2B47787A" w14:textId="77777777" w:rsidR="003B7102" w:rsidRPr="00D224BF" w:rsidRDefault="003B7102" w:rsidP="00D224BF">
      <w:pPr>
        <w:spacing w:line="276" w:lineRule="auto"/>
        <w:jc w:val="both"/>
        <w:rPr>
          <w:rFonts w:asciiTheme="minorBidi" w:hAnsiTheme="minorBidi"/>
          <w:sz w:val="20"/>
          <w:szCs w:val="20"/>
        </w:rPr>
      </w:pPr>
    </w:p>
    <w:p w14:paraId="6FE5BBCE" w14:textId="10B50F06" w:rsidR="003B7102" w:rsidRPr="00D224BF" w:rsidRDefault="003B7102" w:rsidP="00D224BF">
      <w:pPr>
        <w:pStyle w:val="ListParagraph"/>
        <w:numPr>
          <w:ilvl w:val="0"/>
          <w:numId w:val="6"/>
        </w:numPr>
        <w:spacing w:line="276" w:lineRule="auto"/>
        <w:jc w:val="both"/>
        <w:rPr>
          <w:rFonts w:asciiTheme="minorBidi" w:hAnsiTheme="minorBidi"/>
          <w:sz w:val="20"/>
          <w:szCs w:val="20"/>
        </w:rPr>
      </w:pPr>
      <w:r w:rsidRPr="00D224BF">
        <w:rPr>
          <w:rFonts w:asciiTheme="minorBidi" w:hAnsiTheme="minorBidi"/>
          <w:sz w:val="20"/>
          <w:szCs w:val="20"/>
          <w:u w:val="single"/>
          <w:lang w:val="es"/>
        </w:rPr>
        <w:t>Transporte y movilidad:</w:t>
      </w:r>
      <w:r w:rsidRPr="00D224BF">
        <w:rPr>
          <w:rFonts w:asciiTheme="minorBidi" w:hAnsiTheme="minorBidi"/>
          <w:sz w:val="20"/>
          <w:szCs w:val="20"/>
          <w:lang w:val="es"/>
        </w:rPr>
        <w:t xml:space="preserve"> </w:t>
      </w:r>
      <w:r w:rsidR="00516556" w:rsidRPr="00D224BF">
        <w:rPr>
          <w:rFonts w:asciiTheme="minorBidi" w:hAnsiTheme="minorBidi"/>
          <w:sz w:val="20"/>
          <w:szCs w:val="20"/>
          <w:lang w:val="es"/>
        </w:rPr>
        <w:t>e</w:t>
      </w:r>
      <w:r w:rsidRPr="00D224BF">
        <w:rPr>
          <w:rFonts w:asciiTheme="minorBidi" w:hAnsiTheme="minorBidi"/>
          <w:sz w:val="20"/>
          <w:szCs w:val="20"/>
          <w:lang w:val="es"/>
        </w:rPr>
        <w:t xml:space="preserve">l plan pretende consolidar un sistema de transporte sostenible para descarbonizar la ciudad mediante el </w:t>
      </w:r>
      <w:r w:rsidRPr="00D224BF">
        <w:rPr>
          <w:rFonts w:asciiTheme="minorBidi" w:hAnsiTheme="minorBidi"/>
          <w:i/>
          <w:iCs/>
          <w:sz w:val="20"/>
          <w:szCs w:val="20"/>
          <w:lang w:val="es"/>
        </w:rPr>
        <w:t>RegioTram</w:t>
      </w:r>
      <w:r w:rsidRPr="00D224BF">
        <w:rPr>
          <w:rFonts w:asciiTheme="minorBidi" w:hAnsiTheme="minorBidi"/>
          <w:sz w:val="20"/>
          <w:szCs w:val="20"/>
          <w:lang w:val="es"/>
        </w:rPr>
        <w:t xml:space="preserve"> y el Metro y una red de transporte por cable. Prevé construir 500 kilómetros de infraestructuras para bicicletas y micromovilidad, y consolidar una red de corredores verdes no motorizados, entre ellos el </w:t>
      </w:r>
      <w:r w:rsidR="00516556" w:rsidRPr="00D224BF">
        <w:rPr>
          <w:rFonts w:asciiTheme="minorBidi" w:hAnsiTheme="minorBidi"/>
          <w:sz w:val="20"/>
          <w:szCs w:val="20"/>
          <w:lang w:val="es"/>
        </w:rPr>
        <w:t>“</w:t>
      </w:r>
      <w:r w:rsidRPr="00D224BF">
        <w:rPr>
          <w:rFonts w:asciiTheme="minorBidi" w:hAnsiTheme="minorBidi"/>
          <w:sz w:val="20"/>
          <w:szCs w:val="20"/>
          <w:lang w:val="es"/>
        </w:rPr>
        <w:t>Séptimo Corredor Verde</w:t>
      </w:r>
      <w:r w:rsidR="00516556" w:rsidRPr="00D224BF">
        <w:rPr>
          <w:rFonts w:asciiTheme="minorBidi" w:hAnsiTheme="minorBidi"/>
          <w:sz w:val="20"/>
          <w:szCs w:val="20"/>
          <w:lang w:val="es"/>
        </w:rPr>
        <w:t>”</w:t>
      </w:r>
      <w:r w:rsidRPr="00D224BF">
        <w:rPr>
          <w:rFonts w:asciiTheme="minorBidi" w:hAnsiTheme="minorBidi"/>
          <w:sz w:val="20"/>
          <w:szCs w:val="20"/>
          <w:lang w:val="es"/>
        </w:rPr>
        <w:t xml:space="preserve">, donde el 87 % de los desplazamientos serían de cero emisiones, y el </w:t>
      </w:r>
      <w:r w:rsidR="00516556" w:rsidRPr="00D224BF">
        <w:rPr>
          <w:rFonts w:asciiTheme="minorBidi" w:hAnsiTheme="minorBidi"/>
          <w:sz w:val="20"/>
          <w:szCs w:val="20"/>
          <w:lang w:val="es"/>
        </w:rPr>
        <w:t>“</w:t>
      </w:r>
      <w:r w:rsidRPr="00D224BF">
        <w:rPr>
          <w:rFonts w:asciiTheme="minorBidi" w:hAnsiTheme="minorBidi"/>
          <w:sz w:val="20"/>
          <w:szCs w:val="20"/>
          <w:lang w:val="es"/>
        </w:rPr>
        <w:t>Ciclo-Alameda Medio Milenio</w:t>
      </w:r>
      <w:r w:rsidR="00516556" w:rsidRPr="00D224BF">
        <w:rPr>
          <w:rFonts w:asciiTheme="minorBidi" w:hAnsiTheme="minorBidi"/>
          <w:sz w:val="20"/>
          <w:szCs w:val="20"/>
          <w:lang w:val="es"/>
        </w:rPr>
        <w:t>”</w:t>
      </w:r>
      <w:r w:rsidRPr="00D224BF">
        <w:rPr>
          <w:rFonts w:asciiTheme="minorBidi" w:hAnsiTheme="minorBidi"/>
          <w:sz w:val="20"/>
          <w:szCs w:val="20"/>
          <w:lang w:val="es"/>
        </w:rPr>
        <w:t>, que será una autopista ciclista de 26 kilómetros.</w:t>
      </w:r>
    </w:p>
    <w:p w14:paraId="5B62C5B8" w14:textId="77777777" w:rsidR="003B7102" w:rsidRPr="00D224BF" w:rsidRDefault="003B7102" w:rsidP="00D224BF">
      <w:pPr>
        <w:spacing w:line="276" w:lineRule="auto"/>
        <w:jc w:val="both"/>
        <w:rPr>
          <w:rFonts w:asciiTheme="minorBidi" w:hAnsiTheme="minorBidi"/>
          <w:sz w:val="20"/>
          <w:szCs w:val="20"/>
        </w:rPr>
      </w:pPr>
    </w:p>
    <w:p w14:paraId="774815A8" w14:textId="718A3812" w:rsidR="003B7102" w:rsidRPr="00D224BF" w:rsidRDefault="003B7102" w:rsidP="00D224BF">
      <w:pPr>
        <w:pStyle w:val="ListParagraph"/>
        <w:numPr>
          <w:ilvl w:val="0"/>
          <w:numId w:val="6"/>
        </w:numPr>
        <w:spacing w:line="276" w:lineRule="auto"/>
        <w:jc w:val="both"/>
        <w:rPr>
          <w:rFonts w:asciiTheme="minorBidi" w:hAnsiTheme="minorBidi"/>
          <w:sz w:val="20"/>
          <w:szCs w:val="20"/>
        </w:rPr>
      </w:pPr>
      <w:r w:rsidRPr="00D224BF">
        <w:rPr>
          <w:rFonts w:asciiTheme="minorBidi" w:hAnsiTheme="minorBidi"/>
          <w:sz w:val="20"/>
          <w:szCs w:val="20"/>
          <w:u w:val="single"/>
          <w:lang w:val="es"/>
        </w:rPr>
        <w:t>Espacios públicos:</w:t>
      </w:r>
      <w:r w:rsidRPr="00D224BF">
        <w:rPr>
          <w:rFonts w:asciiTheme="minorBidi" w:hAnsiTheme="minorBidi"/>
          <w:sz w:val="20"/>
          <w:szCs w:val="20"/>
          <w:lang w:val="es"/>
        </w:rPr>
        <w:t xml:space="preserve"> </w:t>
      </w:r>
      <w:r w:rsidR="00516556" w:rsidRPr="00D224BF">
        <w:rPr>
          <w:rFonts w:asciiTheme="minorBidi" w:hAnsiTheme="minorBidi"/>
          <w:sz w:val="20"/>
          <w:szCs w:val="20"/>
          <w:lang w:val="es"/>
        </w:rPr>
        <w:t>e</w:t>
      </w:r>
      <w:r w:rsidRPr="00D224BF">
        <w:rPr>
          <w:rFonts w:asciiTheme="minorBidi" w:hAnsiTheme="minorBidi"/>
          <w:sz w:val="20"/>
          <w:szCs w:val="20"/>
          <w:lang w:val="es"/>
        </w:rPr>
        <w:t xml:space="preserve">l plan promueve la </w:t>
      </w:r>
      <w:r w:rsidR="00516556" w:rsidRPr="00D224BF">
        <w:rPr>
          <w:rFonts w:asciiTheme="minorBidi" w:hAnsiTheme="minorBidi"/>
          <w:sz w:val="20"/>
          <w:szCs w:val="20"/>
          <w:lang w:val="es"/>
        </w:rPr>
        <w:t>“</w:t>
      </w:r>
      <w:r w:rsidRPr="00D224BF">
        <w:rPr>
          <w:rFonts w:asciiTheme="minorBidi" w:hAnsiTheme="minorBidi"/>
          <w:sz w:val="20"/>
          <w:szCs w:val="20"/>
          <w:lang w:val="es"/>
        </w:rPr>
        <w:t>Red de Urbanismo Táctico Social</w:t>
      </w:r>
      <w:r w:rsidR="00516556" w:rsidRPr="00D224BF">
        <w:rPr>
          <w:rFonts w:asciiTheme="minorBidi" w:hAnsiTheme="minorBidi"/>
          <w:sz w:val="20"/>
          <w:szCs w:val="20"/>
          <w:lang w:val="es"/>
        </w:rPr>
        <w:t>”</w:t>
      </w:r>
      <w:r w:rsidRPr="00D224BF">
        <w:rPr>
          <w:rFonts w:asciiTheme="minorBidi" w:hAnsiTheme="minorBidi"/>
          <w:sz w:val="20"/>
          <w:szCs w:val="20"/>
          <w:lang w:val="es"/>
        </w:rPr>
        <w:t>, que estaría compuest</w:t>
      </w:r>
      <w:r w:rsidR="00516556" w:rsidRPr="00D224BF">
        <w:rPr>
          <w:rFonts w:asciiTheme="minorBidi" w:hAnsiTheme="minorBidi"/>
          <w:sz w:val="20"/>
          <w:szCs w:val="20"/>
          <w:lang w:val="es"/>
        </w:rPr>
        <w:t>a</w:t>
      </w:r>
      <w:r w:rsidRPr="00D224BF">
        <w:rPr>
          <w:rFonts w:asciiTheme="minorBidi" w:hAnsiTheme="minorBidi"/>
          <w:sz w:val="20"/>
          <w:szCs w:val="20"/>
          <w:lang w:val="es"/>
        </w:rPr>
        <w:t xml:space="preserve"> por nuevos espacios públicos en barrios prioritarios. Propone aumentar la proporción de espacios públicos por persona de 4,5 a 6</w:t>
      </w:r>
      <w:r w:rsidR="00E77330" w:rsidRPr="00D224BF">
        <w:rPr>
          <w:rFonts w:asciiTheme="minorBidi" w:hAnsiTheme="minorBidi"/>
          <w:sz w:val="20"/>
          <w:szCs w:val="20"/>
          <w:lang w:val="es"/>
        </w:rPr>
        <w:t>m</w:t>
      </w:r>
      <w:r w:rsidRPr="00D224BF">
        <w:rPr>
          <w:rFonts w:asciiTheme="minorBidi" w:hAnsiTheme="minorBidi"/>
          <w:sz w:val="20"/>
          <w:szCs w:val="20"/>
          <w:vertAlign w:val="superscript"/>
          <w:lang w:val="es"/>
        </w:rPr>
        <w:t>2</w:t>
      </w:r>
      <w:r w:rsidRPr="00D224BF">
        <w:rPr>
          <w:rFonts w:asciiTheme="minorBidi" w:hAnsiTheme="minorBidi"/>
          <w:sz w:val="20"/>
          <w:szCs w:val="20"/>
          <w:lang w:val="es"/>
        </w:rPr>
        <w:t xml:space="preserve"> y crear 1 770 hectáreas de nuevos parques a gran escala, entre otras medidas.</w:t>
      </w:r>
    </w:p>
    <w:p w14:paraId="2373CADD" w14:textId="77777777" w:rsidR="003B7102" w:rsidRPr="00D224BF" w:rsidRDefault="003B7102" w:rsidP="00D224BF">
      <w:pPr>
        <w:spacing w:line="276" w:lineRule="auto"/>
        <w:jc w:val="both"/>
        <w:rPr>
          <w:rFonts w:asciiTheme="minorBidi" w:hAnsiTheme="minorBidi"/>
          <w:sz w:val="20"/>
          <w:szCs w:val="20"/>
          <w:u w:val="single"/>
        </w:rPr>
      </w:pPr>
    </w:p>
    <w:p w14:paraId="2C3A4B4A" w14:textId="765F6A21" w:rsidR="003B7102" w:rsidRPr="00D224BF" w:rsidRDefault="003B7102" w:rsidP="00D224BF">
      <w:pPr>
        <w:pStyle w:val="ListParagraph"/>
        <w:numPr>
          <w:ilvl w:val="0"/>
          <w:numId w:val="6"/>
        </w:numPr>
        <w:spacing w:line="276" w:lineRule="auto"/>
        <w:jc w:val="both"/>
        <w:rPr>
          <w:rFonts w:asciiTheme="minorBidi" w:hAnsiTheme="minorBidi"/>
          <w:sz w:val="20"/>
          <w:szCs w:val="20"/>
        </w:rPr>
      </w:pPr>
      <w:r w:rsidRPr="00D224BF">
        <w:rPr>
          <w:rFonts w:asciiTheme="minorBidi" w:hAnsiTheme="minorBidi"/>
          <w:sz w:val="20"/>
          <w:szCs w:val="20"/>
          <w:u w:val="single"/>
          <w:lang w:val="es"/>
        </w:rPr>
        <w:t>Instalaciones urbanas:</w:t>
      </w:r>
      <w:r w:rsidRPr="00D224BF">
        <w:rPr>
          <w:rFonts w:asciiTheme="minorBidi" w:hAnsiTheme="minorBidi"/>
          <w:sz w:val="20"/>
          <w:szCs w:val="20"/>
          <w:lang w:val="es"/>
        </w:rPr>
        <w:t xml:space="preserve"> </w:t>
      </w:r>
      <w:r w:rsidR="00516556" w:rsidRPr="00D224BF">
        <w:rPr>
          <w:rFonts w:asciiTheme="minorBidi" w:hAnsiTheme="minorBidi"/>
          <w:sz w:val="20"/>
          <w:szCs w:val="20"/>
          <w:lang w:val="es"/>
        </w:rPr>
        <w:t>e</w:t>
      </w:r>
      <w:r w:rsidRPr="00D224BF">
        <w:rPr>
          <w:rFonts w:asciiTheme="minorBidi" w:hAnsiTheme="minorBidi"/>
          <w:sz w:val="20"/>
          <w:szCs w:val="20"/>
          <w:lang w:val="es"/>
        </w:rPr>
        <w:t>l plan pretende consolidar seis entornos de mercado como lugares para la cultura, el turismo y la promoción del patrimonio gastronómico de Bogotá. Establece 24 sectores de interés cultural en los que se concentrarán las inversiones para recuperar el patrimonio material y promover el patrimonio inmaterial o vivo, y pretende crear una red de corredores de turismo sostenible que conecte los sectores de interés cultural.</w:t>
      </w:r>
    </w:p>
    <w:p w14:paraId="536728E7" w14:textId="77777777" w:rsidR="003B7102" w:rsidRPr="00D224BF" w:rsidRDefault="003B7102" w:rsidP="00D224BF">
      <w:pPr>
        <w:spacing w:line="276" w:lineRule="auto"/>
        <w:jc w:val="both"/>
        <w:rPr>
          <w:rFonts w:asciiTheme="minorBidi" w:hAnsiTheme="minorBidi"/>
          <w:sz w:val="20"/>
          <w:szCs w:val="20"/>
        </w:rPr>
      </w:pPr>
    </w:p>
    <w:p w14:paraId="379909A6" w14:textId="0F247B31"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b/>
          <w:bCs/>
          <w:sz w:val="20"/>
          <w:szCs w:val="20"/>
          <w:lang w:val="es"/>
        </w:rPr>
        <w:t xml:space="preserve">Estructura socioeconómica: </w:t>
      </w:r>
      <w:r w:rsidR="00516556" w:rsidRPr="00D224BF">
        <w:rPr>
          <w:rFonts w:asciiTheme="minorBidi" w:hAnsiTheme="minorBidi"/>
          <w:sz w:val="20"/>
          <w:szCs w:val="20"/>
          <w:lang w:val="es"/>
        </w:rPr>
        <w:t>e</w:t>
      </w:r>
      <w:r w:rsidRPr="00D224BF">
        <w:rPr>
          <w:rFonts w:asciiTheme="minorBidi" w:hAnsiTheme="minorBidi"/>
          <w:sz w:val="20"/>
          <w:szCs w:val="20"/>
          <w:lang w:val="es"/>
        </w:rPr>
        <w:t xml:space="preserve">l POT contiene varias disposiciones relacionadas con el empleo y las actividades generadoras de ingresos, así como con factores demográficos como la etnia y los vínculos entre el campo y la ciudad. Reconoce las zonas rurales como partes activas de la ciudad, ya que representan más del 70 % de su territorio, y pretende garantizar las condiciones adecuadas para que la población rural desarrolle actividades sociales, culturales y productivas. Pretende aliviar la presión de la urbanización en la frontera urbano-rural y promover una producción agrícola sostenible basada en prácticas tradicionales y no tradicionales. Además, el POT institucionaliza un enfoque de género en el desarrollo territorial, como se refleja en el </w:t>
      </w:r>
      <w:r w:rsidR="00E77330" w:rsidRPr="00D224BF">
        <w:rPr>
          <w:rFonts w:asciiTheme="minorBidi" w:hAnsiTheme="minorBidi"/>
          <w:sz w:val="20"/>
          <w:szCs w:val="20"/>
          <w:lang w:val="es"/>
        </w:rPr>
        <w:t>“</w:t>
      </w:r>
      <w:r w:rsidRPr="00D224BF">
        <w:rPr>
          <w:rFonts w:asciiTheme="minorBidi" w:hAnsiTheme="minorBidi"/>
          <w:sz w:val="20"/>
          <w:szCs w:val="20"/>
          <w:lang w:val="es"/>
        </w:rPr>
        <w:t>Sistema de Cuidados</w:t>
      </w:r>
      <w:r w:rsidR="00E77330" w:rsidRPr="00D224BF">
        <w:rPr>
          <w:rFonts w:asciiTheme="minorBidi" w:hAnsiTheme="minorBidi"/>
          <w:sz w:val="20"/>
          <w:szCs w:val="20"/>
          <w:lang w:val="es"/>
        </w:rPr>
        <w:t>”</w:t>
      </w:r>
      <w:r w:rsidRPr="00D224BF">
        <w:rPr>
          <w:rFonts w:asciiTheme="minorBidi" w:hAnsiTheme="minorBidi"/>
          <w:sz w:val="20"/>
          <w:szCs w:val="20"/>
          <w:lang w:val="es"/>
        </w:rPr>
        <w:t xml:space="preserve"> propuesto, compuesto por una red de espacios públicos, servicios e instalaciones. Por último, recomienda la creación de zonas de innovación cultural (o </w:t>
      </w:r>
      <w:r w:rsidR="00E77330" w:rsidRPr="00D224BF">
        <w:rPr>
          <w:rFonts w:asciiTheme="minorBidi" w:hAnsiTheme="minorBidi"/>
          <w:sz w:val="20"/>
          <w:szCs w:val="20"/>
          <w:lang w:val="es"/>
        </w:rPr>
        <w:t>“</w:t>
      </w:r>
      <w:r w:rsidRPr="00D224BF">
        <w:rPr>
          <w:rFonts w:asciiTheme="minorBidi" w:hAnsiTheme="minorBidi"/>
          <w:sz w:val="20"/>
          <w:szCs w:val="20"/>
          <w:lang w:val="es"/>
        </w:rPr>
        <w:t>zonas naranjas de desarrollo</w:t>
      </w:r>
      <w:r w:rsidR="00E77330" w:rsidRPr="00D224BF">
        <w:rPr>
          <w:rFonts w:asciiTheme="minorBidi" w:hAnsiTheme="minorBidi"/>
          <w:sz w:val="20"/>
          <w:szCs w:val="20"/>
          <w:lang w:val="es"/>
        </w:rPr>
        <w:t>”</w:t>
      </w:r>
      <w:r w:rsidRPr="00D224BF">
        <w:rPr>
          <w:rFonts w:asciiTheme="minorBidi" w:hAnsiTheme="minorBidi"/>
          <w:sz w:val="20"/>
          <w:szCs w:val="20"/>
          <w:lang w:val="es"/>
        </w:rPr>
        <w:t>) que albergarán agrupaciones de producción tradicional.</w:t>
      </w:r>
    </w:p>
    <w:p w14:paraId="0513F615" w14:textId="77777777" w:rsidR="003B7102" w:rsidRPr="00D224BF" w:rsidRDefault="003B7102" w:rsidP="00D224BF">
      <w:pPr>
        <w:spacing w:line="276" w:lineRule="auto"/>
        <w:jc w:val="both"/>
        <w:rPr>
          <w:rFonts w:asciiTheme="minorBidi" w:hAnsiTheme="minorBidi"/>
          <w:sz w:val="20"/>
          <w:szCs w:val="20"/>
        </w:rPr>
      </w:pPr>
    </w:p>
    <w:p w14:paraId="69D42FC2" w14:textId="6918C6B4"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sz w:val="20"/>
          <w:szCs w:val="20"/>
          <w:lang w:val="es"/>
        </w:rPr>
        <w:t xml:space="preserve">Además, el artículo 81 del Decreto 555 insta a </w:t>
      </w:r>
      <w:r w:rsidR="00577202" w:rsidRPr="00D224BF">
        <w:rPr>
          <w:rFonts w:asciiTheme="minorBidi" w:hAnsiTheme="minorBidi"/>
          <w:sz w:val="20"/>
          <w:szCs w:val="20"/>
          <w:lang w:val="es"/>
        </w:rPr>
        <w:t>“</w:t>
      </w:r>
      <w:r w:rsidRPr="00D224BF">
        <w:rPr>
          <w:rFonts w:asciiTheme="minorBidi" w:hAnsiTheme="minorBidi"/>
          <w:sz w:val="20"/>
          <w:szCs w:val="20"/>
          <w:lang w:val="es"/>
        </w:rPr>
        <w:t>salvaguardar y fortalecer las iniciativas colectivas relacionadas con actividades productivas tradicionales y ancestrales, formas de vida campesina o proyectos culturales que contribuyan a consolidar el vínculo entre memoria y territorio y aporten a la reactivación económica...</w:t>
      </w:r>
      <w:r w:rsidR="00577202" w:rsidRPr="00D224BF">
        <w:rPr>
          <w:rFonts w:asciiTheme="minorBidi" w:hAnsiTheme="minorBidi"/>
          <w:sz w:val="20"/>
          <w:szCs w:val="20"/>
          <w:lang w:val="es"/>
        </w:rPr>
        <w:t>”</w:t>
      </w:r>
      <w:r w:rsidRPr="00D224BF">
        <w:rPr>
          <w:rFonts w:asciiTheme="minorBidi" w:hAnsiTheme="minorBidi"/>
          <w:sz w:val="20"/>
          <w:szCs w:val="20"/>
          <w:lang w:val="es"/>
        </w:rPr>
        <w:t xml:space="preserve">, y fomenta </w:t>
      </w:r>
      <w:r w:rsidR="00577202" w:rsidRPr="00D224BF">
        <w:rPr>
          <w:rFonts w:asciiTheme="minorBidi" w:hAnsiTheme="minorBidi"/>
          <w:sz w:val="20"/>
          <w:szCs w:val="20"/>
          <w:lang w:val="es"/>
        </w:rPr>
        <w:t>“</w:t>
      </w:r>
      <w:r w:rsidRPr="00D224BF">
        <w:rPr>
          <w:rFonts w:asciiTheme="minorBidi" w:hAnsiTheme="minorBidi"/>
          <w:sz w:val="20"/>
          <w:szCs w:val="20"/>
          <w:lang w:val="es"/>
        </w:rPr>
        <w:t>la activación y consolidación de entornos patrimoniales donde se practican actividades productivas tradicionales y ancestrales</w:t>
      </w:r>
      <w:r w:rsidR="00577202" w:rsidRPr="00D224BF">
        <w:rPr>
          <w:rFonts w:asciiTheme="minorBidi" w:hAnsiTheme="minorBidi"/>
          <w:sz w:val="20"/>
          <w:szCs w:val="20"/>
          <w:lang w:val="es"/>
        </w:rPr>
        <w:t>”</w:t>
      </w:r>
      <w:r w:rsidRPr="00D224BF">
        <w:rPr>
          <w:rFonts w:asciiTheme="minorBidi" w:hAnsiTheme="minorBidi"/>
          <w:sz w:val="20"/>
          <w:szCs w:val="20"/>
          <w:lang w:val="es"/>
        </w:rPr>
        <w:t xml:space="preserve"> para apoyar la innovación cultural y reconoce las "fronteras urbano-rurales</w:t>
      </w:r>
      <w:r w:rsidR="00C52F8F" w:rsidRPr="00D224BF">
        <w:rPr>
          <w:rFonts w:asciiTheme="minorBidi" w:hAnsiTheme="minorBidi"/>
          <w:sz w:val="20"/>
          <w:szCs w:val="20"/>
          <w:lang w:val="es"/>
        </w:rPr>
        <w:t>”</w:t>
      </w:r>
      <w:r w:rsidRPr="00D224BF">
        <w:rPr>
          <w:rFonts w:asciiTheme="minorBidi" w:hAnsiTheme="minorBidi"/>
          <w:sz w:val="20"/>
          <w:szCs w:val="20"/>
          <w:lang w:val="es"/>
        </w:rPr>
        <w:t xml:space="preserve"> como lugares de relevante valor cultural.</w:t>
      </w:r>
    </w:p>
    <w:p w14:paraId="0C392528" w14:textId="77777777" w:rsidR="003B7102" w:rsidRPr="00D224BF" w:rsidRDefault="003B7102" w:rsidP="00D224BF">
      <w:pPr>
        <w:spacing w:line="276" w:lineRule="auto"/>
        <w:jc w:val="both"/>
        <w:rPr>
          <w:rFonts w:asciiTheme="minorBidi" w:hAnsiTheme="minorBidi"/>
          <w:sz w:val="20"/>
          <w:szCs w:val="20"/>
        </w:rPr>
      </w:pPr>
    </w:p>
    <w:p w14:paraId="075336CB" w14:textId="1BA65D4D"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b/>
          <w:bCs/>
          <w:sz w:val="20"/>
          <w:szCs w:val="20"/>
          <w:lang w:val="es"/>
        </w:rPr>
        <w:t xml:space="preserve">Estructura del patrimonio histórico y construido: </w:t>
      </w:r>
      <w:r w:rsidR="00516556" w:rsidRPr="00D224BF">
        <w:rPr>
          <w:rFonts w:asciiTheme="minorBidi" w:hAnsiTheme="minorBidi"/>
          <w:sz w:val="20"/>
          <w:szCs w:val="20"/>
          <w:lang w:val="es"/>
        </w:rPr>
        <w:t>e</w:t>
      </w:r>
      <w:r w:rsidRPr="00D224BF">
        <w:rPr>
          <w:rFonts w:asciiTheme="minorBidi" w:hAnsiTheme="minorBidi"/>
          <w:sz w:val="20"/>
          <w:szCs w:val="20"/>
          <w:lang w:val="es"/>
        </w:rPr>
        <w:t xml:space="preserve">l POT reconoce la </w:t>
      </w:r>
      <w:r w:rsidR="002729AA" w:rsidRPr="00D224BF">
        <w:rPr>
          <w:rFonts w:asciiTheme="minorBidi" w:hAnsiTheme="minorBidi"/>
          <w:sz w:val="20"/>
          <w:szCs w:val="20"/>
          <w:lang w:val="es"/>
        </w:rPr>
        <w:t>“</w:t>
      </w:r>
      <w:r w:rsidRPr="00D224BF">
        <w:rPr>
          <w:rFonts w:asciiTheme="minorBidi" w:hAnsiTheme="minorBidi"/>
          <w:sz w:val="20"/>
          <w:szCs w:val="20"/>
          <w:lang w:val="es"/>
        </w:rPr>
        <w:t>riqueza cultural, natural y arquitectónica de la ciudad en el marco de la ordenación del territorio</w:t>
      </w:r>
      <w:r w:rsidR="002729AA" w:rsidRPr="00D224BF">
        <w:rPr>
          <w:rFonts w:asciiTheme="minorBidi" w:hAnsiTheme="minorBidi"/>
          <w:sz w:val="20"/>
          <w:szCs w:val="20"/>
          <w:lang w:val="es"/>
        </w:rPr>
        <w:t>”</w:t>
      </w:r>
      <w:r w:rsidRPr="00D224BF">
        <w:rPr>
          <w:rFonts w:asciiTheme="minorBidi" w:hAnsiTheme="minorBidi"/>
          <w:sz w:val="20"/>
          <w:szCs w:val="20"/>
          <w:lang w:val="es"/>
        </w:rPr>
        <w:t xml:space="preserve">. Fomenta el reconocimiento, la integración y la puesta en valor de los bienes de interés cultural en el proceso de desarrollo, como, </w:t>
      </w:r>
      <w:r w:rsidRPr="00D224BF">
        <w:rPr>
          <w:rFonts w:asciiTheme="minorBidi" w:hAnsiTheme="minorBidi"/>
          <w:sz w:val="20"/>
          <w:szCs w:val="20"/>
          <w:lang w:val="es"/>
        </w:rPr>
        <w:lastRenderedPageBreak/>
        <w:t xml:space="preserve">por ejemplo, las carreteras históricas de los </w:t>
      </w:r>
      <w:r w:rsidRPr="00D224BF">
        <w:rPr>
          <w:rFonts w:asciiTheme="minorBidi" w:hAnsiTheme="minorBidi"/>
          <w:i/>
          <w:iCs/>
          <w:sz w:val="20"/>
          <w:szCs w:val="20"/>
          <w:lang w:val="es"/>
        </w:rPr>
        <w:t>Cerros Orientales</w:t>
      </w:r>
      <w:r w:rsidRPr="00D224BF">
        <w:rPr>
          <w:rFonts w:asciiTheme="minorBidi" w:hAnsiTheme="minorBidi"/>
          <w:sz w:val="20"/>
          <w:szCs w:val="20"/>
          <w:lang w:val="es"/>
        </w:rPr>
        <w:t xml:space="preserve">. Igualmente, el artículo 81 del Decreto 555 ordena la </w:t>
      </w:r>
      <w:r w:rsidR="00C32E18" w:rsidRPr="00D224BF">
        <w:rPr>
          <w:rFonts w:asciiTheme="minorBidi" w:hAnsiTheme="minorBidi"/>
          <w:sz w:val="20"/>
          <w:szCs w:val="20"/>
          <w:lang w:val="es"/>
        </w:rPr>
        <w:t>“</w:t>
      </w:r>
      <w:r w:rsidRPr="00D224BF">
        <w:rPr>
          <w:rFonts w:asciiTheme="minorBidi" w:hAnsiTheme="minorBidi"/>
          <w:sz w:val="20"/>
          <w:szCs w:val="20"/>
          <w:lang w:val="es"/>
        </w:rPr>
        <w:t>protección e integración del patrimonio del Centro Histórico de Bogotá, mediante la ejecución de un Plan Especial de Manejo y Protección</w:t>
      </w:r>
      <w:r w:rsidR="00C32E18" w:rsidRPr="00D224BF">
        <w:rPr>
          <w:rFonts w:asciiTheme="minorBidi" w:hAnsiTheme="minorBidi"/>
          <w:sz w:val="20"/>
          <w:szCs w:val="20"/>
          <w:lang w:val="es"/>
        </w:rPr>
        <w:t>”</w:t>
      </w:r>
      <w:r w:rsidRPr="00D224BF">
        <w:rPr>
          <w:rFonts w:asciiTheme="minorBidi" w:hAnsiTheme="minorBidi"/>
          <w:sz w:val="20"/>
          <w:szCs w:val="20"/>
          <w:lang w:val="es"/>
        </w:rPr>
        <w:t xml:space="preserve">, mientras que el artículo 85 señala varias disposiciones para garantizar la protección del paisaje urbano o rural que rodea a los bienes de interés cultural, tales como la regulación de la ubicación y dimensiones de antenas de telecomunicaciones, alumbrado público, publicidad, contenedores de residuos sólidos. Asimismo, el artículo 86 fomenta </w:t>
      </w:r>
      <w:r w:rsidR="00C32E18" w:rsidRPr="00D224BF">
        <w:rPr>
          <w:rFonts w:asciiTheme="minorBidi" w:hAnsiTheme="minorBidi"/>
          <w:sz w:val="20"/>
          <w:szCs w:val="20"/>
          <w:lang w:val="es"/>
        </w:rPr>
        <w:t>“</w:t>
      </w:r>
      <w:r w:rsidRPr="00D224BF">
        <w:rPr>
          <w:rFonts w:asciiTheme="minorBidi" w:hAnsiTheme="minorBidi"/>
          <w:sz w:val="20"/>
          <w:szCs w:val="20"/>
          <w:lang w:val="es"/>
        </w:rPr>
        <w:t>la investigación arqueológica sobre la historia de la ocupación humana en la región en la época prehispánica y actual</w:t>
      </w:r>
      <w:r w:rsidR="00C32E18" w:rsidRPr="00D224BF">
        <w:rPr>
          <w:rFonts w:asciiTheme="minorBidi" w:hAnsiTheme="minorBidi"/>
          <w:sz w:val="20"/>
          <w:szCs w:val="20"/>
          <w:lang w:val="es"/>
        </w:rPr>
        <w:t>”</w:t>
      </w:r>
      <w:r w:rsidRPr="00D224BF">
        <w:rPr>
          <w:rFonts w:asciiTheme="minorBidi" w:hAnsiTheme="minorBidi"/>
          <w:sz w:val="20"/>
          <w:szCs w:val="20"/>
          <w:lang w:val="es"/>
        </w:rPr>
        <w:t xml:space="preserve">, y establece que la planificación y gestión del yacimiento arqueológico de Usmeka reflejará </w:t>
      </w:r>
      <w:r w:rsidR="00C32E18" w:rsidRPr="00D224BF">
        <w:rPr>
          <w:rFonts w:asciiTheme="minorBidi" w:hAnsiTheme="minorBidi"/>
          <w:sz w:val="20"/>
          <w:szCs w:val="20"/>
          <w:lang w:val="es"/>
        </w:rPr>
        <w:t>“</w:t>
      </w:r>
      <w:r w:rsidRPr="00D224BF">
        <w:rPr>
          <w:rFonts w:asciiTheme="minorBidi" w:hAnsiTheme="minorBidi"/>
          <w:sz w:val="20"/>
          <w:szCs w:val="20"/>
          <w:lang w:val="es"/>
        </w:rPr>
        <w:t>una perspectiva de interés histórico y de patrimonio cultural material e inmaterial, vinculada a la memoria viva de la ciudad y de la región</w:t>
      </w:r>
      <w:r w:rsidR="00C32E18" w:rsidRPr="00D224BF">
        <w:rPr>
          <w:rFonts w:asciiTheme="minorBidi" w:hAnsiTheme="minorBidi"/>
          <w:sz w:val="20"/>
          <w:szCs w:val="20"/>
          <w:lang w:val="es"/>
        </w:rPr>
        <w:t>”</w:t>
      </w:r>
      <w:r w:rsidRPr="00D224BF">
        <w:rPr>
          <w:rFonts w:asciiTheme="minorBidi" w:hAnsiTheme="minorBidi"/>
          <w:sz w:val="20"/>
          <w:szCs w:val="20"/>
          <w:lang w:val="es"/>
        </w:rPr>
        <w:t>.</w:t>
      </w:r>
    </w:p>
    <w:p w14:paraId="76703007" w14:textId="77777777" w:rsidR="003B7102" w:rsidRPr="00D224BF" w:rsidRDefault="003B7102" w:rsidP="00D224BF">
      <w:pPr>
        <w:pStyle w:val="Texte1"/>
        <w:spacing w:line="276" w:lineRule="auto"/>
        <w:ind w:left="0"/>
        <w:rPr>
          <w:rFonts w:asciiTheme="minorBidi" w:hAnsiTheme="minorBidi" w:cstheme="minorBidi"/>
          <w:color w:val="0177D4"/>
          <w:lang w:val="es-ES"/>
        </w:rPr>
      </w:pPr>
    </w:p>
    <w:p w14:paraId="6FC9C465" w14:textId="7367F6B3" w:rsidR="003B7102" w:rsidRPr="00D224BF" w:rsidRDefault="003B7102" w:rsidP="00D224BF">
      <w:pPr>
        <w:pStyle w:val="Texte1"/>
        <w:numPr>
          <w:ilvl w:val="0"/>
          <w:numId w:val="5"/>
        </w:numPr>
        <w:spacing w:line="276" w:lineRule="auto"/>
        <w:rPr>
          <w:rFonts w:asciiTheme="minorBidi" w:hAnsiTheme="minorBidi" w:cstheme="minorBidi"/>
          <w:b/>
          <w:bCs/>
          <w:color w:val="2F51F1"/>
        </w:rPr>
      </w:pPr>
      <w:r w:rsidRPr="00D224BF">
        <w:rPr>
          <w:rFonts w:asciiTheme="minorBidi" w:hAnsiTheme="minorBidi" w:cstheme="minorBidi"/>
          <w:b/>
          <w:bCs/>
          <w:color w:val="2F51F1"/>
          <w:lang w:val="es"/>
        </w:rPr>
        <w:t>LECCIONES CLAVE DEL POT 2022-2035</w:t>
      </w:r>
    </w:p>
    <w:p w14:paraId="2A805865" w14:textId="77777777" w:rsidR="003B7102" w:rsidRPr="00D224BF" w:rsidRDefault="003B7102" w:rsidP="00D224BF">
      <w:pPr>
        <w:spacing w:line="276" w:lineRule="auto"/>
        <w:jc w:val="both"/>
        <w:rPr>
          <w:rFonts w:asciiTheme="minorBidi" w:hAnsiTheme="minorBidi"/>
          <w:sz w:val="20"/>
          <w:szCs w:val="20"/>
        </w:rPr>
      </w:pPr>
    </w:p>
    <w:p w14:paraId="18CBDE5B" w14:textId="77777777" w:rsidR="003B7102" w:rsidRPr="00D224BF" w:rsidRDefault="003B7102" w:rsidP="00D224BF">
      <w:pPr>
        <w:spacing w:line="276" w:lineRule="auto"/>
        <w:jc w:val="both"/>
        <w:rPr>
          <w:rFonts w:asciiTheme="minorBidi" w:hAnsiTheme="minorBidi"/>
          <w:sz w:val="20"/>
          <w:szCs w:val="20"/>
        </w:rPr>
      </w:pPr>
      <w:r w:rsidRPr="00D224BF">
        <w:rPr>
          <w:rFonts w:asciiTheme="minorBidi" w:hAnsiTheme="minorBidi"/>
          <w:sz w:val="20"/>
          <w:szCs w:val="20"/>
          <w:lang w:val="es"/>
        </w:rPr>
        <w:t xml:space="preserve">En la siguiente tabla se presentan las lecciones clave del POT 2022-2035: </w:t>
      </w:r>
    </w:p>
    <w:p w14:paraId="601DFD5B" w14:textId="77777777" w:rsidR="003B7102" w:rsidRPr="00D224BF" w:rsidRDefault="003B7102" w:rsidP="00D224BF">
      <w:pPr>
        <w:spacing w:line="276" w:lineRule="auto"/>
        <w:jc w:val="both"/>
        <w:rPr>
          <w:rFonts w:asciiTheme="minorBidi" w:hAnsiTheme="minorBid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1"/>
        <w:gridCol w:w="7387"/>
      </w:tblGrid>
      <w:tr w:rsidR="003B7102" w:rsidRPr="00D71BC8" w14:paraId="5940A481" w14:textId="77777777" w:rsidTr="00D224BF">
        <w:trPr>
          <w:trHeight w:val="340"/>
        </w:trPr>
        <w:tc>
          <w:tcPr>
            <w:tcW w:w="800" w:type="pct"/>
            <w:shd w:val="clear" w:color="auto" w:fill="2F51F1"/>
            <w:vAlign w:val="center"/>
            <w:hideMark/>
          </w:tcPr>
          <w:p w14:paraId="798D8404" w14:textId="5D4EC605" w:rsidR="003B7102" w:rsidRPr="00D224BF" w:rsidRDefault="003B7102" w:rsidP="00D224BF">
            <w:pPr>
              <w:spacing w:line="276" w:lineRule="auto"/>
              <w:rPr>
                <w:rFonts w:asciiTheme="minorBidi" w:eastAsia="Times New Roman" w:hAnsiTheme="minorBidi"/>
                <w:b/>
                <w:bCs/>
                <w:color w:val="FFFFFF" w:themeColor="background1"/>
                <w:sz w:val="20"/>
                <w:szCs w:val="20"/>
              </w:rPr>
            </w:pPr>
            <w:r w:rsidRPr="00D224BF">
              <w:rPr>
                <w:rFonts w:asciiTheme="minorBidi" w:eastAsia="Times New Roman" w:hAnsiTheme="minorBidi"/>
                <w:b/>
                <w:bCs/>
                <w:color w:val="FFFFFF" w:themeColor="background1"/>
                <w:sz w:val="20"/>
                <w:szCs w:val="20"/>
                <w:lang w:val="es"/>
              </w:rPr>
              <w:t xml:space="preserve">Componente </w:t>
            </w:r>
          </w:p>
        </w:tc>
        <w:tc>
          <w:tcPr>
            <w:tcW w:w="4200" w:type="pct"/>
            <w:shd w:val="clear" w:color="auto" w:fill="2F51F1"/>
            <w:vAlign w:val="center"/>
            <w:hideMark/>
          </w:tcPr>
          <w:p w14:paraId="450E863D" w14:textId="77777777" w:rsidR="003B7102" w:rsidRPr="00D224BF" w:rsidRDefault="003B7102" w:rsidP="00D224BF">
            <w:pPr>
              <w:spacing w:line="276" w:lineRule="auto"/>
              <w:jc w:val="both"/>
              <w:rPr>
                <w:rFonts w:asciiTheme="minorBidi" w:eastAsia="Times New Roman" w:hAnsiTheme="minorBidi"/>
                <w:b/>
                <w:bCs/>
                <w:color w:val="FFFFFF" w:themeColor="background1"/>
                <w:sz w:val="20"/>
                <w:szCs w:val="20"/>
              </w:rPr>
            </w:pPr>
            <w:r w:rsidRPr="00D224BF">
              <w:rPr>
                <w:rFonts w:asciiTheme="minorBidi" w:eastAsia="Times New Roman" w:hAnsiTheme="minorBidi"/>
                <w:b/>
                <w:bCs/>
                <w:color w:val="FFFFFF" w:themeColor="background1"/>
                <w:sz w:val="20"/>
                <w:szCs w:val="20"/>
                <w:lang w:val="es"/>
              </w:rPr>
              <w:t>Lección clave</w:t>
            </w:r>
          </w:p>
        </w:tc>
      </w:tr>
      <w:tr w:rsidR="003B7102" w:rsidRPr="00D71BC8" w14:paraId="15014354" w14:textId="77777777" w:rsidTr="00D224BF">
        <w:trPr>
          <w:trHeight w:val="144"/>
        </w:trPr>
        <w:tc>
          <w:tcPr>
            <w:tcW w:w="800" w:type="pct"/>
            <w:shd w:val="clear" w:color="auto" w:fill="auto"/>
            <w:vAlign w:val="center"/>
            <w:hideMark/>
          </w:tcPr>
          <w:p w14:paraId="1FF3DA9B" w14:textId="77777777" w:rsidR="003B7102" w:rsidRPr="00D224BF" w:rsidRDefault="003B7102" w:rsidP="00D224BF">
            <w:pPr>
              <w:spacing w:line="276" w:lineRule="auto"/>
              <w:rPr>
                <w:rFonts w:asciiTheme="minorBidi" w:eastAsia="Times New Roman" w:hAnsiTheme="minorBidi"/>
                <w:b/>
                <w:bCs/>
                <w:color w:val="000000"/>
                <w:sz w:val="20"/>
                <w:szCs w:val="20"/>
              </w:rPr>
            </w:pPr>
            <w:r w:rsidRPr="00D224BF">
              <w:rPr>
                <w:rFonts w:asciiTheme="minorBidi" w:eastAsia="Times New Roman" w:hAnsiTheme="minorBidi"/>
                <w:b/>
                <w:bCs/>
                <w:color w:val="000000"/>
                <w:sz w:val="20"/>
                <w:szCs w:val="20"/>
                <w:lang w:val="es"/>
              </w:rPr>
              <w:t>Estructuras urbanas</w:t>
            </w:r>
          </w:p>
        </w:tc>
        <w:tc>
          <w:tcPr>
            <w:tcW w:w="4200" w:type="pct"/>
            <w:shd w:val="clear" w:color="auto" w:fill="auto"/>
            <w:vAlign w:val="center"/>
            <w:hideMark/>
          </w:tcPr>
          <w:p w14:paraId="69163BCE" w14:textId="77777777" w:rsidR="003B7102" w:rsidRPr="00D224BF" w:rsidRDefault="003B7102" w:rsidP="00D224BF">
            <w:pPr>
              <w:spacing w:line="276" w:lineRule="auto"/>
              <w:jc w:val="both"/>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El POT 2022-2035 incluye una estructura patrimonial en su modelo de ocupación territorial y define políticas y estrategias para la salvaguardia del patrimonio natural, material e inmaterial. El POT considera el patrimonio como un componente transversal que afecta a otras estructuras urbanas, como la ecológica y la socioeconómica. Se trata, por tanto, de una buena práctica sobre cómo un plan puede incorporar los factores culturales a los procesos de planificación.</w:t>
            </w:r>
          </w:p>
        </w:tc>
      </w:tr>
      <w:tr w:rsidR="003B7102" w:rsidRPr="00D71BC8" w14:paraId="36C8C4CD" w14:textId="77777777" w:rsidTr="00D224BF">
        <w:trPr>
          <w:trHeight w:val="144"/>
        </w:trPr>
        <w:tc>
          <w:tcPr>
            <w:tcW w:w="800" w:type="pct"/>
            <w:shd w:val="clear" w:color="auto" w:fill="auto"/>
            <w:vAlign w:val="center"/>
            <w:hideMark/>
          </w:tcPr>
          <w:p w14:paraId="6C8099CC" w14:textId="77777777" w:rsidR="003B7102" w:rsidRPr="00D224BF" w:rsidRDefault="003B7102" w:rsidP="00D224BF">
            <w:pPr>
              <w:spacing w:line="276" w:lineRule="auto"/>
              <w:rPr>
                <w:rFonts w:asciiTheme="minorBidi" w:eastAsia="Times New Roman" w:hAnsiTheme="minorBidi"/>
                <w:b/>
                <w:bCs/>
                <w:color w:val="000000"/>
                <w:sz w:val="20"/>
                <w:szCs w:val="20"/>
              </w:rPr>
            </w:pPr>
            <w:r w:rsidRPr="00D224BF">
              <w:rPr>
                <w:rFonts w:asciiTheme="minorBidi" w:eastAsia="Times New Roman" w:hAnsiTheme="minorBidi"/>
                <w:b/>
                <w:bCs/>
                <w:color w:val="000000"/>
                <w:sz w:val="20"/>
                <w:szCs w:val="20"/>
                <w:lang w:val="es"/>
              </w:rPr>
              <w:t>Coordinación multisectorial</w:t>
            </w:r>
          </w:p>
        </w:tc>
        <w:tc>
          <w:tcPr>
            <w:tcW w:w="4200" w:type="pct"/>
            <w:shd w:val="clear" w:color="auto" w:fill="auto"/>
            <w:vAlign w:val="center"/>
            <w:hideMark/>
          </w:tcPr>
          <w:p w14:paraId="1C990E5D" w14:textId="2C8E0C0D" w:rsidR="003B7102" w:rsidRPr="00D224BF" w:rsidRDefault="003B7102" w:rsidP="00D224BF">
            <w:pPr>
              <w:spacing w:line="276" w:lineRule="auto"/>
              <w:jc w:val="both"/>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 xml:space="preserve"> El proceso de elaboración se basó en un enfoque colaborativo liderado por la Secretaría Distrital de Planeación en coordinación con otras entidades públicas y de la sociedad civil, como la Secretaría de Ambiente y el Consejo Territorial de Planeación Distrital. Este planteamiento refleja la importancia de incorporar múltiples puntos de vista y garantizar una representación adecuada en el proceso de planificación.</w:t>
            </w:r>
          </w:p>
        </w:tc>
      </w:tr>
      <w:tr w:rsidR="003B7102" w:rsidRPr="00D71BC8" w14:paraId="0AF67123" w14:textId="77777777" w:rsidTr="00D224BF">
        <w:trPr>
          <w:trHeight w:val="144"/>
        </w:trPr>
        <w:tc>
          <w:tcPr>
            <w:tcW w:w="800" w:type="pct"/>
            <w:shd w:val="clear" w:color="auto" w:fill="auto"/>
            <w:vAlign w:val="center"/>
            <w:hideMark/>
          </w:tcPr>
          <w:p w14:paraId="4F32BD18" w14:textId="77777777" w:rsidR="003B7102" w:rsidRPr="00D224BF" w:rsidRDefault="003B7102" w:rsidP="00D224BF">
            <w:pPr>
              <w:spacing w:line="276" w:lineRule="auto"/>
              <w:rPr>
                <w:rFonts w:asciiTheme="minorBidi" w:eastAsia="Times New Roman" w:hAnsiTheme="minorBidi"/>
                <w:b/>
                <w:bCs/>
                <w:color w:val="000000"/>
                <w:sz w:val="20"/>
                <w:szCs w:val="20"/>
              </w:rPr>
            </w:pPr>
            <w:r w:rsidRPr="00D224BF">
              <w:rPr>
                <w:rFonts w:asciiTheme="minorBidi" w:eastAsia="Times New Roman" w:hAnsiTheme="minorBidi"/>
                <w:b/>
                <w:bCs/>
                <w:color w:val="000000"/>
                <w:sz w:val="20"/>
                <w:szCs w:val="20"/>
                <w:lang w:val="es"/>
              </w:rPr>
              <w:t>Participación social</w:t>
            </w:r>
          </w:p>
        </w:tc>
        <w:tc>
          <w:tcPr>
            <w:tcW w:w="4200" w:type="pct"/>
            <w:shd w:val="clear" w:color="auto" w:fill="auto"/>
            <w:vAlign w:val="center"/>
            <w:hideMark/>
          </w:tcPr>
          <w:p w14:paraId="688D2CA4" w14:textId="3797FB4B" w:rsidR="003B7102" w:rsidRPr="00D224BF" w:rsidRDefault="003B7102" w:rsidP="00D224BF">
            <w:pPr>
              <w:spacing w:line="276" w:lineRule="auto"/>
              <w:jc w:val="both"/>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 xml:space="preserve"> El POT 2022-2035 recibió cerca de 38</w:t>
            </w:r>
            <w:r w:rsidR="00421A1F">
              <w:rPr>
                <w:rFonts w:asciiTheme="minorBidi" w:eastAsia="Times New Roman" w:hAnsiTheme="minorBidi"/>
                <w:color w:val="000000"/>
                <w:sz w:val="20"/>
                <w:szCs w:val="20"/>
                <w:lang w:val="es"/>
              </w:rPr>
              <w:t>.</w:t>
            </w:r>
            <w:r w:rsidRPr="00D224BF">
              <w:rPr>
                <w:rFonts w:asciiTheme="minorBidi" w:eastAsia="Times New Roman" w:hAnsiTheme="minorBidi"/>
                <w:color w:val="000000"/>
                <w:sz w:val="20"/>
                <w:szCs w:val="20"/>
                <w:lang w:val="es"/>
              </w:rPr>
              <w:t>000 a</w:t>
            </w:r>
            <w:r w:rsidR="00421A1F">
              <w:rPr>
                <w:rFonts w:asciiTheme="minorBidi" w:eastAsia="Times New Roman" w:hAnsiTheme="minorBidi"/>
                <w:color w:val="000000"/>
                <w:sz w:val="20"/>
                <w:szCs w:val="20"/>
                <w:lang w:val="es"/>
              </w:rPr>
              <w:t>portes</w:t>
            </w:r>
            <w:r w:rsidRPr="00D224BF">
              <w:rPr>
                <w:rFonts w:asciiTheme="minorBidi" w:eastAsia="Times New Roman" w:hAnsiTheme="minorBidi"/>
                <w:color w:val="000000"/>
                <w:sz w:val="20"/>
                <w:szCs w:val="20"/>
                <w:lang w:val="es"/>
              </w:rPr>
              <w:t xml:space="preserve"> de más de 30</w:t>
            </w:r>
            <w:r w:rsidR="00421A1F">
              <w:rPr>
                <w:rFonts w:asciiTheme="minorBidi" w:eastAsia="Times New Roman" w:hAnsiTheme="minorBidi"/>
                <w:color w:val="000000"/>
                <w:sz w:val="20"/>
                <w:szCs w:val="20"/>
                <w:lang w:val="es"/>
              </w:rPr>
              <w:t>.</w:t>
            </w:r>
            <w:r w:rsidRPr="00D224BF">
              <w:rPr>
                <w:rFonts w:asciiTheme="minorBidi" w:eastAsia="Times New Roman" w:hAnsiTheme="minorBidi"/>
                <w:color w:val="000000"/>
                <w:sz w:val="20"/>
                <w:szCs w:val="20"/>
                <w:lang w:val="es"/>
              </w:rPr>
              <w:t>000 ciudadanos a través de 26 canales de participación. Este proceso participativo refleja cómo la población en general puede contribuir eficazmente a la elaboración de un plan urbanístico y hacer aportaciones sobre múltiples temas, entre ellos la cultura y el patrimonio.</w:t>
            </w:r>
          </w:p>
        </w:tc>
      </w:tr>
      <w:tr w:rsidR="003B7102" w:rsidRPr="00D71BC8" w14:paraId="4A3E2793" w14:textId="77777777" w:rsidTr="00D224BF">
        <w:trPr>
          <w:trHeight w:val="144"/>
        </w:trPr>
        <w:tc>
          <w:tcPr>
            <w:tcW w:w="800" w:type="pct"/>
            <w:shd w:val="clear" w:color="auto" w:fill="auto"/>
            <w:vAlign w:val="center"/>
            <w:hideMark/>
          </w:tcPr>
          <w:p w14:paraId="2B5F1239" w14:textId="77777777" w:rsidR="003B7102" w:rsidRPr="00D224BF" w:rsidRDefault="003B7102" w:rsidP="00D224BF">
            <w:pPr>
              <w:spacing w:line="276" w:lineRule="auto"/>
              <w:rPr>
                <w:rFonts w:asciiTheme="minorBidi" w:eastAsia="Times New Roman" w:hAnsiTheme="minorBidi"/>
                <w:b/>
                <w:bCs/>
                <w:color w:val="000000"/>
                <w:sz w:val="20"/>
                <w:szCs w:val="20"/>
              </w:rPr>
            </w:pPr>
            <w:r w:rsidRPr="00D224BF">
              <w:rPr>
                <w:rFonts w:asciiTheme="minorBidi" w:eastAsia="Times New Roman" w:hAnsiTheme="minorBidi"/>
                <w:b/>
                <w:bCs/>
                <w:color w:val="000000"/>
                <w:sz w:val="20"/>
                <w:szCs w:val="20"/>
                <w:lang w:val="es"/>
              </w:rPr>
              <w:t>Herramientas o mecanismos de aplicación</w:t>
            </w:r>
          </w:p>
        </w:tc>
        <w:tc>
          <w:tcPr>
            <w:tcW w:w="4200" w:type="pct"/>
            <w:shd w:val="clear" w:color="auto" w:fill="auto"/>
            <w:vAlign w:val="center"/>
            <w:hideMark/>
          </w:tcPr>
          <w:p w14:paraId="794AEB9F" w14:textId="62B8ECB1" w:rsidR="003B7102" w:rsidRPr="00D224BF" w:rsidRDefault="003B7102" w:rsidP="00D224BF">
            <w:pPr>
              <w:spacing w:line="276" w:lineRule="auto"/>
              <w:jc w:val="both"/>
              <w:rPr>
                <w:rFonts w:asciiTheme="minorBidi" w:eastAsia="Times New Roman" w:hAnsiTheme="minorBidi"/>
                <w:color w:val="000000"/>
                <w:sz w:val="20"/>
                <w:szCs w:val="20"/>
              </w:rPr>
            </w:pPr>
            <w:r w:rsidRPr="00D224BF">
              <w:rPr>
                <w:rFonts w:asciiTheme="minorBidi" w:eastAsia="Times New Roman" w:hAnsiTheme="minorBidi"/>
                <w:color w:val="000000"/>
                <w:sz w:val="20"/>
                <w:szCs w:val="20"/>
                <w:lang w:val="es"/>
              </w:rPr>
              <w:t xml:space="preserve"> El POT va acompañado de herramientas o mecanismos sectoriales y transversales para facilitar su aplicación. Normativas como los tratamientos urbanísticos pueden asegurar la preservación de los sitios patrimoniales</w:t>
            </w:r>
            <w:r w:rsidR="000424B8" w:rsidRPr="00D224BF">
              <w:rPr>
                <w:rFonts w:asciiTheme="minorBidi" w:eastAsia="Times New Roman" w:hAnsiTheme="minorBidi"/>
                <w:color w:val="000000"/>
                <w:sz w:val="20"/>
                <w:szCs w:val="20"/>
                <w:lang w:val="es"/>
              </w:rPr>
              <w:t>,</w:t>
            </w:r>
            <w:r w:rsidRPr="00D224BF">
              <w:rPr>
                <w:rFonts w:asciiTheme="minorBidi" w:eastAsia="Times New Roman" w:hAnsiTheme="minorBidi"/>
                <w:color w:val="000000"/>
                <w:sz w:val="20"/>
                <w:szCs w:val="20"/>
                <w:lang w:val="es"/>
              </w:rPr>
              <w:t xml:space="preserve"> mientras que otros instrumentos mandatados por el POT, como el Plan de Patrimonios Vitales y el Programa de Resignificación de la Identidad, la Cultura y el Patrimonio, pueden apoyar la aplicación. Por último, la creación de un Observatorio de la Estructura Patrimonial ejemplifica el tipo de entidades institucionales que pueden ayudar a supervisar la incorporación del patrimonio en la planificación urbana.</w:t>
            </w:r>
          </w:p>
        </w:tc>
      </w:tr>
    </w:tbl>
    <w:p w14:paraId="1BFE1F8A" w14:textId="77777777" w:rsidR="003B7102" w:rsidRPr="00D224BF" w:rsidRDefault="003B7102" w:rsidP="00D224BF">
      <w:pPr>
        <w:pStyle w:val="Texte1"/>
        <w:spacing w:line="276" w:lineRule="auto"/>
        <w:ind w:left="0"/>
        <w:rPr>
          <w:rFonts w:asciiTheme="minorBidi" w:hAnsiTheme="minorBidi" w:cstheme="minorBidi"/>
          <w:b/>
          <w:bCs/>
          <w:color w:val="2F51F1"/>
          <w:lang w:val="es-ES"/>
        </w:rPr>
      </w:pPr>
    </w:p>
    <w:p w14:paraId="4D811322" w14:textId="2A3A5C92" w:rsidR="003B7102" w:rsidRPr="00D224BF" w:rsidRDefault="003B7102" w:rsidP="00D224BF">
      <w:pPr>
        <w:pStyle w:val="Texte1"/>
        <w:numPr>
          <w:ilvl w:val="0"/>
          <w:numId w:val="5"/>
        </w:numPr>
        <w:spacing w:line="276" w:lineRule="auto"/>
        <w:rPr>
          <w:rFonts w:asciiTheme="minorBidi" w:hAnsiTheme="minorBidi" w:cstheme="minorBidi"/>
          <w:b/>
          <w:bCs/>
          <w:color w:val="2F51F1"/>
        </w:rPr>
      </w:pPr>
      <w:r w:rsidRPr="00D224BF">
        <w:rPr>
          <w:rFonts w:asciiTheme="minorBidi" w:hAnsiTheme="minorBidi" w:cstheme="minorBidi"/>
          <w:b/>
          <w:bCs/>
          <w:color w:val="2F51F1"/>
          <w:lang w:val="es"/>
        </w:rPr>
        <w:t>CONCLUSIÓN</w:t>
      </w:r>
    </w:p>
    <w:p w14:paraId="6BC7EC4C" w14:textId="77777777" w:rsidR="003B7102" w:rsidRPr="00D224BF" w:rsidRDefault="003B7102" w:rsidP="00D224BF">
      <w:pPr>
        <w:spacing w:line="276" w:lineRule="auto"/>
        <w:jc w:val="both"/>
        <w:rPr>
          <w:rFonts w:asciiTheme="minorBidi" w:hAnsiTheme="minorBidi"/>
          <w:sz w:val="20"/>
          <w:szCs w:val="20"/>
        </w:rPr>
      </w:pPr>
    </w:p>
    <w:p w14:paraId="6FC0FD7E" w14:textId="6B5D213C" w:rsidR="003B7102" w:rsidRDefault="003B7102" w:rsidP="00D224BF">
      <w:pPr>
        <w:spacing w:line="276" w:lineRule="auto"/>
        <w:jc w:val="both"/>
        <w:rPr>
          <w:rFonts w:asciiTheme="minorBidi" w:hAnsiTheme="minorBidi"/>
          <w:sz w:val="20"/>
          <w:szCs w:val="20"/>
          <w:lang w:val="es"/>
        </w:rPr>
      </w:pPr>
      <w:r w:rsidRPr="00D224BF">
        <w:rPr>
          <w:rFonts w:asciiTheme="minorBidi" w:hAnsiTheme="minorBidi"/>
          <w:sz w:val="20"/>
          <w:szCs w:val="20"/>
          <w:lang w:val="es"/>
        </w:rPr>
        <w:t xml:space="preserve">El POT 2022-2035 ilustra cómo el patrimonio cultural, y lo que es más importante en este caso, el patrimonio cultural inmaterial, puede incorporarse a un plan urbano que guiará el desarrollo de </w:t>
      </w:r>
      <w:r w:rsidRPr="00D224BF">
        <w:rPr>
          <w:rFonts w:asciiTheme="minorBidi" w:hAnsiTheme="minorBidi"/>
          <w:sz w:val="20"/>
          <w:szCs w:val="20"/>
          <w:lang w:val="es"/>
        </w:rPr>
        <w:lastRenderedPageBreak/>
        <w:t>Bogotá en los próximos años. No solo ha hecho del patrimonio una estructura central del modelo territorial de Bogotá, sino que ha incorporado estrategias para lograr el objetivo de salvaguardar y valorizar el patrimonio natural, material e inmaterial. El POT incluye otras herramientas o mecanismos complementarios para facilitar su aplicación y demuestra que la participación de las partes interesadas de los sectores social, privado y público puede contribuir a respaldar el plan. En este sentido, el POT 202</w:t>
      </w:r>
      <w:r w:rsidR="006904B8" w:rsidRPr="00D224BF">
        <w:rPr>
          <w:rFonts w:asciiTheme="minorBidi" w:hAnsiTheme="minorBidi"/>
          <w:sz w:val="20"/>
          <w:szCs w:val="20"/>
          <w:lang w:val="es"/>
        </w:rPr>
        <w:t>2</w:t>
      </w:r>
      <w:r w:rsidRPr="00D224BF">
        <w:rPr>
          <w:rFonts w:asciiTheme="minorBidi" w:hAnsiTheme="minorBidi"/>
          <w:sz w:val="20"/>
          <w:szCs w:val="20"/>
          <w:lang w:val="es"/>
        </w:rPr>
        <w:t xml:space="preserve">-2035 de Bogotá es una buena práctica que ayuda a informar sobre la aplicación de la metodología propuesta para la incorporación del PCI en la planificación urbana. </w:t>
      </w:r>
    </w:p>
    <w:p w14:paraId="34D97FEB" w14:textId="77777777" w:rsidR="00421A1F" w:rsidRDefault="00421A1F" w:rsidP="00D224BF">
      <w:pPr>
        <w:spacing w:line="276" w:lineRule="auto"/>
        <w:jc w:val="both"/>
        <w:rPr>
          <w:rFonts w:asciiTheme="minorBidi" w:hAnsiTheme="minorBidi"/>
          <w:sz w:val="20"/>
          <w:szCs w:val="20"/>
          <w:lang w:val="es"/>
        </w:rPr>
      </w:pPr>
    </w:p>
    <w:p w14:paraId="6FD27636" w14:textId="18D1F665" w:rsidR="00421A1F" w:rsidRDefault="00421A1F" w:rsidP="00D224BF">
      <w:pPr>
        <w:spacing w:line="276" w:lineRule="auto"/>
        <w:jc w:val="both"/>
        <w:rPr>
          <w:rFonts w:asciiTheme="minorBidi" w:hAnsiTheme="minorBidi"/>
          <w:b/>
          <w:bCs/>
          <w:sz w:val="20"/>
          <w:szCs w:val="20"/>
          <w:lang w:val="es"/>
        </w:rPr>
      </w:pPr>
      <w:r>
        <w:rPr>
          <w:rFonts w:asciiTheme="minorBidi" w:hAnsiTheme="minorBidi"/>
          <w:b/>
          <w:bCs/>
          <w:sz w:val="20"/>
          <w:szCs w:val="20"/>
          <w:lang w:val="es"/>
        </w:rPr>
        <w:t>REFERENCIAS</w:t>
      </w:r>
    </w:p>
    <w:p w14:paraId="1F91859D" w14:textId="77777777" w:rsidR="00421A1F" w:rsidRDefault="00421A1F" w:rsidP="00D224BF">
      <w:pPr>
        <w:spacing w:line="276" w:lineRule="auto"/>
        <w:jc w:val="both"/>
        <w:rPr>
          <w:rFonts w:asciiTheme="minorBidi" w:hAnsiTheme="minorBidi"/>
          <w:b/>
          <w:bCs/>
          <w:sz w:val="20"/>
          <w:szCs w:val="20"/>
          <w:lang w:val="es"/>
        </w:rPr>
      </w:pPr>
    </w:p>
    <w:p w14:paraId="682427E6" w14:textId="77777777" w:rsidR="00421A1F" w:rsidRPr="00A072F5" w:rsidRDefault="00421A1F" w:rsidP="00421A1F">
      <w:pPr>
        <w:pStyle w:val="Texte1"/>
        <w:spacing w:line="276" w:lineRule="auto"/>
        <w:ind w:left="0"/>
        <w:rPr>
          <w:lang w:val="en-US"/>
        </w:rPr>
      </w:pPr>
      <w:r w:rsidRPr="00A072F5">
        <w:rPr>
          <w:lang w:val="es-MX"/>
        </w:rPr>
        <w:t xml:space="preserve">Alcaldía Mayor de Bogotá (2021). Plan de Ordenamiento Territorial Bogotá Reverdece 2022-2035. </w:t>
      </w:r>
      <w:r w:rsidRPr="00A072F5">
        <w:rPr>
          <w:lang w:val="en-US"/>
        </w:rPr>
        <w:t xml:space="preserve">Retrieved from: </w:t>
      </w:r>
      <w:hyperlink r:id="rId16" w:anchor="que-es" w:history="1">
        <w:r w:rsidRPr="00102AB2">
          <w:rPr>
            <w:rStyle w:val="Hyperlink"/>
            <w:lang w:val="en-US"/>
          </w:rPr>
          <w:t>https://bogota.gov.co/bog</w:t>
        </w:r>
        <w:r w:rsidRPr="00102AB2">
          <w:rPr>
            <w:rStyle w:val="Hyperlink"/>
            <w:lang w:val="en-US"/>
          </w:rPr>
          <w:t>/pot-2022-2035/#que-es</w:t>
        </w:r>
      </w:hyperlink>
      <w:r>
        <w:rPr>
          <w:lang w:val="en-US"/>
        </w:rPr>
        <w:t xml:space="preserve"> </w:t>
      </w:r>
    </w:p>
    <w:p w14:paraId="4EBEEB13" w14:textId="77777777" w:rsidR="00421A1F" w:rsidRPr="00421A1F" w:rsidRDefault="00421A1F" w:rsidP="00D224BF">
      <w:pPr>
        <w:spacing w:line="276" w:lineRule="auto"/>
        <w:jc w:val="both"/>
        <w:rPr>
          <w:rFonts w:asciiTheme="minorBidi" w:hAnsiTheme="minorBidi"/>
          <w:b/>
          <w:bCs/>
          <w:sz w:val="20"/>
          <w:szCs w:val="20"/>
        </w:rPr>
      </w:pPr>
    </w:p>
    <w:p w14:paraId="59B551D9" w14:textId="77777777" w:rsidR="003B7102" w:rsidRPr="00D224BF" w:rsidRDefault="003B7102" w:rsidP="00D224BF">
      <w:pPr>
        <w:spacing w:line="276" w:lineRule="auto"/>
        <w:jc w:val="both"/>
        <w:rPr>
          <w:rFonts w:asciiTheme="minorBidi" w:hAnsiTheme="minorBidi"/>
          <w:sz w:val="20"/>
          <w:szCs w:val="20"/>
        </w:rPr>
      </w:pPr>
    </w:p>
    <w:sectPr w:rsidR="003B7102" w:rsidRPr="00D224BF" w:rsidSect="00D224BF">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F180C" w14:textId="77777777" w:rsidR="00E87248" w:rsidRDefault="00E87248" w:rsidP="00DF3895">
      <w:r>
        <w:separator/>
      </w:r>
    </w:p>
  </w:endnote>
  <w:endnote w:type="continuationSeparator" w:id="0">
    <w:p w14:paraId="26487708" w14:textId="77777777" w:rsidR="00E87248" w:rsidRDefault="00E87248" w:rsidP="00DF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81EC" w14:textId="159F1AB3" w:rsidR="005B6351" w:rsidRPr="00A1188E" w:rsidRDefault="005B6351" w:rsidP="001639B4">
    <w:pPr>
      <w:tabs>
        <w:tab w:val="center" w:pos="4536"/>
        <w:tab w:val="right" w:pos="8820"/>
      </w:tabs>
      <w:rPr>
        <w:rFonts w:asciiTheme="minorBidi" w:hAnsiTheme="minorBidi"/>
        <w:sz w:val="16"/>
        <w:szCs w:val="16"/>
      </w:rPr>
    </w:pPr>
    <w:r>
      <w:rPr>
        <w:rFonts w:asciiTheme="minorBidi" w:hAnsiTheme="minorBidi"/>
        <w:sz w:val="16"/>
        <w:szCs w:val="16"/>
        <w:lang w:val="es"/>
      </w:rPr>
      <w:tab/>
    </w:r>
    <w:r>
      <w:rPr>
        <w:rFonts w:asciiTheme="minorBidi" w:hAnsiTheme="minorBidi"/>
        <w:sz w:val="16"/>
        <w:szCs w:val="16"/>
        <w:lang w:val="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899BA" w14:textId="77777777" w:rsidR="00D224BF" w:rsidRDefault="00D224BF" w:rsidP="00D224BF">
    <w:bookmarkStart w:id="8" w:name="_Hlk188638354"/>
    <w:r w:rsidRPr="001165F6">
      <w:rPr>
        <w:rFonts w:ascii="Arial" w:eastAsia="SimSun" w:hAnsi="Arial" w:cs="Arial"/>
        <w:noProof/>
        <w:snapToGrid w:val="0"/>
        <w:color w:val="000000"/>
        <w:sz w:val="16"/>
        <w:szCs w:val="16"/>
        <w:lang w:val="en-GB" w:eastAsia="zh-CN"/>
      </w:rPr>
      <w:drawing>
        <wp:anchor distT="0" distB="0" distL="114300" distR="114300" simplePos="0" relativeHeight="251667456" behindDoc="0" locked="0" layoutInCell="1" allowOverlap="1" wp14:anchorId="036F72B2" wp14:editId="658FD4A1">
          <wp:simplePos x="0" y="0"/>
          <wp:positionH relativeFrom="column">
            <wp:posOffset>4951730</wp:posOffset>
          </wp:positionH>
          <wp:positionV relativeFrom="page">
            <wp:posOffset>9014883</wp:posOffset>
          </wp:positionV>
          <wp:extent cx="750570" cy="457200"/>
          <wp:effectExtent l="0" t="0" r="0" b="0"/>
          <wp:wrapSquare wrapText="bothSides"/>
          <wp:docPr id="1760524664"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p>
  <w:p w14:paraId="123E341D" w14:textId="66F489EB" w:rsidR="00D224BF" w:rsidRPr="001165F6" w:rsidRDefault="00D224BF" w:rsidP="00D224BF">
    <w:pPr>
      <w:pBdr>
        <w:between w:val="nil"/>
      </w:pBdr>
      <w:tabs>
        <w:tab w:val="left" w:pos="567"/>
        <w:tab w:val="center" w:pos="4423"/>
        <w:tab w:val="right" w:pos="8845"/>
      </w:tabs>
      <w:snapToGrid w:val="0"/>
      <w:rPr>
        <w:rFonts w:ascii="Arial" w:eastAsia="Arial" w:hAnsi="Arial" w:cs="Arial"/>
        <w:snapToGrid w:val="0"/>
        <w:color w:val="000000"/>
        <w:sz w:val="16"/>
        <w:szCs w:val="16"/>
        <w:lang w:val="es-ES" w:eastAsia="zh-CN"/>
      </w:rPr>
    </w:pPr>
    <w:r w:rsidRPr="001165F6">
      <w:rPr>
        <w:rFonts w:ascii="Arial" w:eastAsia="SimSun" w:hAnsi="Arial" w:cs="Arial"/>
        <w:snapToGrid w:val="0"/>
        <w:color w:val="000000"/>
        <w:sz w:val="16"/>
        <w:szCs w:val="16"/>
        <w:lang w:val="es-ES" w:eastAsia="zh-CN"/>
      </w:rPr>
      <w:t>U</w:t>
    </w:r>
    <w:r w:rsidR="00421A1F">
      <w:rPr>
        <w:rFonts w:ascii="Arial" w:eastAsia="SimSun" w:hAnsi="Arial" w:cs="Arial"/>
        <w:snapToGrid w:val="0"/>
        <w:color w:val="000000"/>
        <w:sz w:val="16"/>
        <w:szCs w:val="16"/>
        <w:lang w:val="es-ES" w:eastAsia="zh-CN"/>
      </w:rPr>
      <w:t>C</w:t>
    </w:r>
    <w:r w:rsidRPr="001165F6">
      <w:rPr>
        <w:rFonts w:ascii="Arial" w:eastAsia="SimSun" w:hAnsi="Arial" w:cs="Arial"/>
        <w:snapToGrid w:val="0"/>
        <w:color w:val="000000"/>
        <w:sz w:val="16"/>
        <w:szCs w:val="16"/>
        <w:lang w:val="es-ES" w:eastAsia="zh-CN"/>
      </w:rPr>
      <w:t>-v1.0-</w:t>
    </w:r>
    <w:r>
      <w:rPr>
        <w:rFonts w:ascii="Arial" w:eastAsia="SimSun" w:hAnsi="Arial" w:cs="Arial"/>
        <w:snapToGrid w:val="0"/>
        <w:color w:val="000000"/>
        <w:sz w:val="16"/>
        <w:szCs w:val="16"/>
        <w:lang w:val="es-ES" w:eastAsia="zh-CN"/>
      </w:rPr>
      <w:t>CS</w:t>
    </w:r>
    <w:r w:rsidR="00421A1F">
      <w:rPr>
        <w:rFonts w:ascii="Arial" w:eastAsia="SimSun" w:hAnsi="Arial" w:cs="Arial"/>
        <w:snapToGrid w:val="0"/>
        <w:color w:val="000000"/>
        <w:sz w:val="16"/>
        <w:szCs w:val="16"/>
        <w:lang w:val="es-ES" w:eastAsia="zh-CN"/>
      </w:rPr>
      <w:t>2</w:t>
    </w:r>
    <w:r w:rsidRPr="001165F6">
      <w:rPr>
        <w:rFonts w:ascii="Arial" w:eastAsia="SimSun" w:hAnsi="Arial" w:cs="Arial"/>
        <w:snapToGrid w:val="0"/>
        <w:color w:val="000000"/>
        <w:sz w:val="16"/>
        <w:szCs w:val="16"/>
        <w:lang w:val="es-ES" w:eastAsia="zh-CN"/>
      </w:rPr>
      <w:t>-ES</w:t>
    </w:r>
    <w:r w:rsidRPr="001165F6">
      <w:rPr>
        <w:rFonts w:ascii="Arial" w:eastAsia="SimSun" w:hAnsi="Arial" w:cs="Arial"/>
        <w:snapToGrid w:val="0"/>
        <w:color w:val="000000"/>
        <w:sz w:val="16"/>
        <w:szCs w:val="16"/>
        <w:lang w:val="es-ES" w:eastAsia="zh-CN"/>
      </w:rPr>
      <w:tab/>
      <w:t>© UNESCO - Prohibida su reproducción sin autorización</w:t>
    </w:r>
    <w:r w:rsidRPr="001165F6">
      <w:rPr>
        <w:rFonts w:ascii="Arial" w:eastAsia="SimSun" w:hAnsi="Arial" w:cs="Arial"/>
        <w:snapToGrid w:val="0"/>
        <w:color w:val="000000"/>
        <w:sz w:val="16"/>
        <w:szCs w:val="16"/>
        <w:lang w:val="es-ES" w:eastAsia="zh-CN"/>
      </w:rPr>
      <w:tab/>
    </w:r>
  </w:p>
  <w:p w14:paraId="7761F135" w14:textId="77777777" w:rsidR="00D224BF" w:rsidRPr="007C1312" w:rsidRDefault="00D224BF" w:rsidP="00D224BF">
    <w:pPr>
      <w:tabs>
        <w:tab w:val="left" w:pos="1380"/>
        <w:tab w:val="center" w:pos="4536"/>
        <w:tab w:val="right" w:pos="9072"/>
      </w:tabs>
      <w:rPr>
        <w:rFonts w:ascii="Arial" w:hAnsi="Arial" w:cs="Arial"/>
        <w:sz w:val="16"/>
        <w:szCs w:val="16"/>
      </w:rPr>
    </w:pPr>
    <w:r>
      <w:rPr>
        <w:lang w:val="es"/>
      </w:rPr>
      <w:tab/>
    </w:r>
  </w:p>
  <w:p w14:paraId="69CD60D9" w14:textId="3366EAC0" w:rsidR="00D71BC8" w:rsidRDefault="00D71BC8" w:rsidP="00D71BC8">
    <w:pPr>
      <w:pStyle w:val="Footer"/>
      <w:rPr>
        <w:rFonts w:ascii="Arial" w:hAnsi="Arial" w:cs="Arial"/>
        <w:sz w:val="16"/>
        <w:szCs w:val="16"/>
      </w:rPr>
    </w:pPr>
  </w:p>
  <w:bookmarkEnd w:id="8"/>
  <w:p w14:paraId="00230CBD" w14:textId="7AA7E23C" w:rsidR="005B6351" w:rsidRPr="00E93351" w:rsidRDefault="005B6351" w:rsidP="00E93351">
    <w:pPr>
      <w:tabs>
        <w:tab w:val="center" w:pos="4536"/>
        <w:tab w:val="right" w:pos="9072"/>
      </w:tabs>
      <w:snapToGrid w:val="0"/>
      <w:spacing w:before="120" w:after="120"/>
      <w:jc w:val="both"/>
      <w:rPr>
        <w:rFonts w:ascii="Arial" w:eastAsia="SimSun" w:hAnsi="Arial" w:cs="Times New Roman"/>
        <w:noProof/>
        <w:sz w:val="16"/>
        <w:szCs w:val="16"/>
      </w:rPr>
    </w:pPr>
    <w:r>
      <w:rPr>
        <w:lang w:val="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3B0FC" w14:textId="63BCC925" w:rsidR="00421A1F" w:rsidRDefault="00421A1F" w:rsidP="00421A1F">
    <w:r w:rsidRPr="001165F6">
      <w:rPr>
        <w:rFonts w:ascii="Arial" w:eastAsia="SimSun" w:hAnsi="Arial" w:cs="Arial"/>
        <w:noProof/>
        <w:snapToGrid w:val="0"/>
        <w:color w:val="000000"/>
        <w:sz w:val="16"/>
        <w:szCs w:val="16"/>
        <w:lang w:val="en-GB" w:eastAsia="zh-CN"/>
      </w:rPr>
      <w:drawing>
        <wp:anchor distT="0" distB="0" distL="114300" distR="114300" simplePos="0" relativeHeight="251669504" behindDoc="0" locked="0" layoutInCell="1" allowOverlap="1" wp14:anchorId="42B78FD3" wp14:editId="11F1909A">
          <wp:simplePos x="0" y="0"/>
          <wp:positionH relativeFrom="column">
            <wp:posOffset>4885055</wp:posOffset>
          </wp:positionH>
          <wp:positionV relativeFrom="page">
            <wp:posOffset>8976360</wp:posOffset>
          </wp:positionV>
          <wp:extent cx="750570" cy="457200"/>
          <wp:effectExtent l="0" t="0" r="0" b="0"/>
          <wp:wrapSquare wrapText="bothSides"/>
          <wp:docPr id="1892779598"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p>
  <w:p w14:paraId="1AC99721" w14:textId="2441802D" w:rsidR="00421A1F" w:rsidRDefault="00421A1F" w:rsidP="00421A1F">
    <w:r w:rsidRPr="001165F6">
      <w:rPr>
        <w:rFonts w:ascii="Arial" w:eastAsia="SimSun" w:hAnsi="Arial" w:cs="Arial"/>
        <w:snapToGrid w:val="0"/>
        <w:color w:val="000000"/>
        <w:sz w:val="16"/>
        <w:szCs w:val="16"/>
        <w:lang w:val="es-ES" w:eastAsia="zh-CN"/>
      </w:rPr>
      <w:t>U</w:t>
    </w:r>
    <w:r>
      <w:rPr>
        <w:rFonts w:ascii="Arial" w:eastAsia="SimSun" w:hAnsi="Arial" w:cs="Arial"/>
        <w:snapToGrid w:val="0"/>
        <w:color w:val="000000"/>
        <w:sz w:val="16"/>
        <w:szCs w:val="16"/>
        <w:lang w:val="es-ES" w:eastAsia="zh-CN"/>
      </w:rPr>
      <w:t>C</w:t>
    </w:r>
    <w:r w:rsidRPr="001165F6">
      <w:rPr>
        <w:rFonts w:ascii="Arial" w:eastAsia="SimSun" w:hAnsi="Arial" w:cs="Arial"/>
        <w:snapToGrid w:val="0"/>
        <w:color w:val="000000"/>
        <w:sz w:val="16"/>
        <w:szCs w:val="16"/>
        <w:lang w:val="es-ES" w:eastAsia="zh-CN"/>
      </w:rPr>
      <w:t>-v1.0-</w:t>
    </w:r>
    <w:r>
      <w:rPr>
        <w:rFonts w:ascii="Arial" w:eastAsia="SimSun" w:hAnsi="Arial" w:cs="Arial"/>
        <w:snapToGrid w:val="0"/>
        <w:color w:val="000000"/>
        <w:sz w:val="16"/>
        <w:szCs w:val="16"/>
        <w:lang w:val="es-ES" w:eastAsia="zh-CN"/>
      </w:rPr>
      <w:t>CS</w:t>
    </w:r>
    <w:r>
      <w:rPr>
        <w:rFonts w:ascii="Arial" w:eastAsia="SimSun" w:hAnsi="Arial" w:cs="Arial"/>
        <w:snapToGrid w:val="0"/>
        <w:color w:val="000000"/>
        <w:sz w:val="16"/>
        <w:szCs w:val="16"/>
        <w:lang w:val="es-ES" w:eastAsia="zh-CN"/>
      </w:rPr>
      <w:t>2</w:t>
    </w:r>
    <w:r w:rsidRPr="001165F6">
      <w:rPr>
        <w:rFonts w:ascii="Arial" w:eastAsia="SimSun" w:hAnsi="Arial" w:cs="Arial"/>
        <w:snapToGrid w:val="0"/>
        <w:color w:val="000000"/>
        <w:sz w:val="16"/>
        <w:szCs w:val="16"/>
        <w:lang w:val="es-ES" w:eastAsia="zh-CN"/>
      </w:rPr>
      <w:t>-ES</w:t>
    </w:r>
    <w:r>
      <w:rPr>
        <w:rFonts w:ascii="Arial" w:eastAsia="SimSun" w:hAnsi="Arial" w:cs="Arial"/>
        <w:snapToGrid w:val="0"/>
        <w:color w:val="000000"/>
        <w:sz w:val="16"/>
        <w:szCs w:val="16"/>
        <w:lang w:val="es-ES" w:eastAsia="zh-CN"/>
      </w:rPr>
      <w:t xml:space="preserve">                    </w:t>
    </w:r>
    <w:r w:rsidRPr="001165F6">
      <w:rPr>
        <w:rFonts w:ascii="Arial" w:eastAsia="SimSun" w:hAnsi="Arial" w:cs="Arial"/>
        <w:snapToGrid w:val="0"/>
        <w:color w:val="000000"/>
        <w:sz w:val="16"/>
        <w:szCs w:val="16"/>
        <w:lang w:val="es-ES" w:eastAsia="zh-CN"/>
      </w:rPr>
      <w:tab/>
      <w:t>© UNESCO - Prohibida su reproducción sin autorización</w:t>
    </w:r>
  </w:p>
  <w:p w14:paraId="5CDE264C" w14:textId="1DFA1A7E" w:rsidR="00D224BF" w:rsidRDefault="00D224BF" w:rsidP="00D224BF"/>
  <w:p w14:paraId="51700E25" w14:textId="467AD067" w:rsidR="00D224BF" w:rsidRPr="001165F6" w:rsidRDefault="00D224BF" w:rsidP="00D224BF">
    <w:pPr>
      <w:pBdr>
        <w:between w:val="nil"/>
      </w:pBdr>
      <w:tabs>
        <w:tab w:val="left" w:pos="567"/>
        <w:tab w:val="center" w:pos="4423"/>
        <w:tab w:val="right" w:pos="8845"/>
      </w:tabs>
      <w:snapToGrid w:val="0"/>
      <w:rPr>
        <w:rFonts w:ascii="Arial" w:eastAsia="Arial" w:hAnsi="Arial" w:cs="Arial"/>
        <w:snapToGrid w:val="0"/>
        <w:color w:val="000000"/>
        <w:sz w:val="16"/>
        <w:szCs w:val="16"/>
        <w:lang w:val="es-ES" w:eastAsia="zh-CN"/>
      </w:rPr>
    </w:pPr>
    <w:r w:rsidRPr="001165F6">
      <w:rPr>
        <w:rFonts w:ascii="Arial" w:eastAsia="SimSun" w:hAnsi="Arial" w:cs="Arial"/>
        <w:snapToGrid w:val="0"/>
        <w:color w:val="000000"/>
        <w:sz w:val="16"/>
        <w:szCs w:val="16"/>
        <w:lang w:val="es-ES" w:eastAsia="zh-CN"/>
      </w:rPr>
      <w:tab/>
    </w:r>
  </w:p>
  <w:p w14:paraId="52DB87CB" w14:textId="77777777" w:rsidR="00D224BF" w:rsidRPr="007C1312" w:rsidRDefault="00D224BF" w:rsidP="00D224BF">
    <w:pPr>
      <w:tabs>
        <w:tab w:val="left" w:pos="1380"/>
        <w:tab w:val="center" w:pos="4536"/>
        <w:tab w:val="right" w:pos="9072"/>
      </w:tabs>
      <w:rPr>
        <w:rFonts w:ascii="Arial" w:hAnsi="Arial" w:cs="Arial"/>
        <w:sz w:val="16"/>
        <w:szCs w:val="16"/>
      </w:rPr>
    </w:pPr>
    <w:r>
      <w:rPr>
        <w:lang w:val="es"/>
      </w:rPr>
      <w:tab/>
    </w:r>
  </w:p>
  <w:p w14:paraId="517F6CC6" w14:textId="6ED0D9F4" w:rsidR="005B6351" w:rsidRPr="007C1312" w:rsidRDefault="00C06CDE" w:rsidP="00C06CDE">
    <w:pPr>
      <w:tabs>
        <w:tab w:val="center" w:pos="4536"/>
        <w:tab w:val="right" w:pos="9072"/>
      </w:tabs>
      <w:rPr>
        <w:rFonts w:ascii="Arial" w:hAnsi="Arial" w:cs="Arial"/>
        <w:sz w:val="16"/>
        <w:szCs w:val="16"/>
      </w:rPr>
    </w:pPr>
    <w:r>
      <w:rPr>
        <w:lang w:val="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0438B" w14:textId="77777777" w:rsidR="00E87248" w:rsidRDefault="00E87248" w:rsidP="00DF3895">
      <w:r>
        <w:separator/>
      </w:r>
    </w:p>
  </w:footnote>
  <w:footnote w:type="continuationSeparator" w:id="0">
    <w:p w14:paraId="0C262367" w14:textId="77777777" w:rsidR="00E87248" w:rsidRDefault="00E87248" w:rsidP="00DF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309AB" w14:textId="5B4F2EA0" w:rsidR="005B6351" w:rsidRPr="00A61186" w:rsidRDefault="005B6351" w:rsidP="00A61186">
    <w:pPr>
      <w:pStyle w:val="Header"/>
      <w:ind w:right="360"/>
      <w:rPr>
        <w:rFonts w:asciiTheme="minorBidi" w:hAnsiTheme="minorBid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A448" w14:textId="768E2BA9" w:rsidR="00421A1F" w:rsidRPr="00421A1F" w:rsidRDefault="00421A1F" w:rsidP="00421A1F">
    <w:pPr>
      <w:pStyle w:val="Header"/>
      <w:ind w:right="360"/>
      <w:rPr>
        <w:rFonts w:ascii="Arial" w:hAnsi="Arial"/>
        <w:sz w:val="16"/>
        <w:szCs w:val="16"/>
        <w:lang w:val="en-US"/>
      </w:rPr>
    </w:pPr>
    <w:r w:rsidRPr="00E44852">
      <w:rPr>
        <w:rFonts w:ascii="Arial" w:hAnsi="Arial"/>
        <w:sz w:val="16"/>
        <w:szCs w:val="16"/>
        <w:lang w:val="en-US"/>
      </w:rPr>
      <w:t>LHE/25/PRO URB-1/6</w:t>
    </w:r>
  </w:p>
  <w:p w14:paraId="55D22CFC" w14:textId="67338895" w:rsidR="00D71BC8" w:rsidRPr="00D224BF" w:rsidRDefault="006005B0" w:rsidP="00D224BF">
    <w:pPr>
      <w:pStyle w:val="Header"/>
      <w:ind w:right="680"/>
      <w:rPr>
        <w:rFonts w:asciiTheme="minorBidi" w:hAnsiTheme="minorBidi"/>
        <w:sz w:val="16"/>
        <w:szCs w:val="16"/>
        <w:lang w:val="es-ES"/>
      </w:rPr>
    </w:pPr>
    <w:r w:rsidRPr="0040630D">
      <w:rPr>
        <w:rFonts w:asciiTheme="minorBidi" w:hAnsiTheme="minorBidi"/>
        <w:sz w:val="16"/>
        <w:szCs w:val="16"/>
        <w:lang w:val="es-ES"/>
      </w:rPr>
      <w:t>Unidad 3: Abordaje práctico para</w:t>
    </w:r>
    <w:r>
      <w:rPr>
        <w:rFonts w:asciiTheme="minorBidi" w:hAnsiTheme="minorBidi"/>
        <w:sz w:val="16"/>
        <w:szCs w:val="16"/>
        <w:lang w:val="es-ES"/>
      </w:rPr>
      <w:t xml:space="preserve"> la salvaguardia del patrimonio vivo en contextos urbanos </w:t>
    </w:r>
    <w:r w:rsidRPr="0040630D">
      <w:rPr>
        <w:rFonts w:asciiTheme="minorBidi" w:hAnsiTheme="minorBidi"/>
        <w:sz w:val="16"/>
        <w:szCs w:val="16"/>
        <w:lang w:val="es-ES"/>
      </w:rPr>
      <w:t xml:space="preserve">      </w:t>
    </w:r>
    <w:r>
      <w:rPr>
        <w:rFonts w:asciiTheme="minorBidi" w:hAnsiTheme="minorBidi"/>
        <w:sz w:val="16"/>
        <w:szCs w:val="16"/>
        <w:lang w:val="es-ES"/>
      </w:rPr>
      <w:t xml:space="preserve">   Caso de estudio 2</w:t>
    </w:r>
  </w:p>
  <w:p w14:paraId="2EC24E71" w14:textId="77777777" w:rsidR="00D71BC8" w:rsidRPr="00D224BF" w:rsidRDefault="00D71BC8">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BC23A" w14:textId="77777777" w:rsidR="00D224BF" w:rsidRPr="000F3ADA" w:rsidRDefault="00D224BF" w:rsidP="00D224BF">
    <w:pPr>
      <w:tabs>
        <w:tab w:val="left" w:pos="567"/>
      </w:tabs>
      <w:snapToGrid w:val="0"/>
      <w:spacing w:before="120" w:after="480"/>
      <w:jc w:val="right"/>
      <w:rPr>
        <w:rFonts w:ascii="Arial" w:eastAsia="SimSun" w:hAnsi="Arial" w:cs="Arial"/>
        <w:snapToGrid w:val="0"/>
        <w:sz w:val="22"/>
        <w:lang w:val="en-US" w:eastAsia="zh-CN"/>
      </w:rPr>
    </w:pPr>
    <w:bookmarkStart w:id="9" w:name="_Hlk193978844"/>
    <w:bookmarkStart w:id="10" w:name="_Hlk193978845"/>
    <w:bookmarkStart w:id="11" w:name="_Hlk193978932"/>
    <w:bookmarkStart w:id="12" w:name="_Hlk193978933"/>
    <w:r w:rsidRPr="001165F6">
      <w:rPr>
        <w:rFonts w:ascii="Arial" w:eastAsia="SimSun" w:hAnsi="Arial" w:cs="Arial"/>
        <w:noProof/>
        <w:snapToGrid w:val="0"/>
        <w:sz w:val="22"/>
        <w:szCs w:val="22"/>
        <w:lang w:val="en-GB" w:eastAsia="zh-CN"/>
      </w:rPr>
      <w:drawing>
        <wp:anchor distT="0" distB="0" distL="114300" distR="114300" simplePos="0" relativeHeight="251663360" behindDoc="0" locked="0" layoutInCell="1" allowOverlap="1" wp14:anchorId="5AB89279" wp14:editId="75D810A8">
          <wp:simplePos x="0" y="0"/>
          <wp:positionH relativeFrom="column">
            <wp:posOffset>-29952</wp:posOffset>
          </wp:positionH>
          <wp:positionV relativeFrom="paragraph">
            <wp:posOffset>167005</wp:posOffset>
          </wp:positionV>
          <wp:extent cx="1668780" cy="1311910"/>
          <wp:effectExtent l="0" t="0" r="7620" b="2540"/>
          <wp:wrapSquare wrapText="bothSides"/>
          <wp:docPr id="107648617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86174" name="Pictur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1311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5F6">
      <w:rPr>
        <w:rFonts w:ascii="Arial" w:eastAsia="SimSun" w:hAnsi="Arial" w:cs="Arial"/>
        <w:b/>
        <w:snapToGrid w:val="0"/>
        <w:sz w:val="44"/>
        <w:szCs w:val="44"/>
        <w:lang w:val="pt-PT" w:eastAsia="zh-CN"/>
      </w:rPr>
      <w:t>PRO URB</w:t>
    </w:r>
  </w:p>
  <w:p w14:paraId="53771312" w14:textId="7A08D8F0" w:rsidR="00D224BF" w:rsidRPr="001165F6" w:rsidRDefault="00D224BF" w:rsidP="00D224BF">
    <w:pPr>
      <w:tabs>
        <w:tab w:val="left" w:pos="567"/>
      </w:tabs>
      <w:snapToGrid w:val="0"/>
      <w:spacing w:before="120" w:after="120"/>
      <w:contextualSpacing/>
      <w:jc w:val="right"/>
      <w:rPr>
        <w:rFonts w:ascii="Arial" w:eastAsia="SimSun" w:hAnsi="Arial" w:cs="Arial"/>
        <w:b/>
        <w:snapToGrid w:val="0"/>
        <w:sz w:val="22"/>
        <w:szCs w:val="22"/>
        <w:lang w:val="pt-PT" w:eastAsia="zh-CN"/>
      </w:rPr>
    </w:pPr>
    <w:bookmarkStart w:id="13" w:name="_Hlk193978782"/>
    <w:bookmarkStart w:id="14" w:name="_Hlk193978783"/>
    <w:r w:rsidRPr="001165F6">
      <w:rPr>
        <w:rFonts w:ascii="Arial" w:eastAsia="SimSun" w:hAnsi="Arial" w:cs="Arial"/>
        <w:b/>
        <w:snapToGrid w:val="0"/>
        <w:sz w:val="22"/>
        <w:szCs w:val="22"/>
        <w:lang w:val="pt-PT" w:eastAsia="zh-CN"/>
      </w:rPr>
      <w:t>LHE/25/</w:t>
    </w:r>
    <w:bookmarkStart w:id="15" w:name="_Hlk94624970"/>
    <w:r w:rsidRPr="001165F6">
      <w:rPr>
        <w:rFonts w:ascii="Arial" w:eastAsia="SimSun" w:hAnsi="Arial" w:cs="Arial"/>
        <w:b/>
        <w:snapToGrid w:val="0"/>
        <w:sz w:val="22"/>
        <w:szCs w:val="22"/>
        <w:lang w:val="pt-PT" w:eastAsia="zh-CN"/>
      </w:rPr>
      <w:t>PRO URB/</w:t>
    </w:r>
    <w:r w:rsidR="00421A1F">
      <w:rPr>
        <w:rFonts w:ascii="Arial" w:eastAsia="SimSun" w:hAnsi="Arial" w:cs="Arial"/>
        <w:b/>
        <w:snapToGrid w:val="0"/>
        <w:sz w:val="22"/>
        <w:szCs w:val="22"/>
        <w:lang w:val="pt-PT" w:eastAsia="zh-CN"/>
      </w:rPr>
      <w:t>6</w:t>
    </w:r>
  </w:p>
  <w:bookmarkEnd w:id="15"/>
  <w:p w14:paraId="1A2377E0" w14:textId="7C698A8E" w:rsidR="00D224BF" w:rsidRPr="001165F6" w:rsidRDefault="00D224BF" w:rsidP="00D224BF">
    <w:pPr>
      <w:tabs>
        <w:tab w:val="left" w:pos="567"/>
      </w:tabs>
      <w:snapToGrid w:val="0"/>
      <w:spacing w:before="120" w:after="120"/>
      <w:contextualSpacing/>
      <w:jc w:val="right"/>
      <w:rPr>
        <w:rFonts w:ascii="Arial" w:eastAsia="SimSun" w:hAnsi="Arial" w:cs="Arial"/>
        <w:b/>
        <w:snapToGrid w:val="0"/>
        <w:sz w:val="22"/>
        <w:szCs w:val="22"/>
        <w:lang w:val="pt-PT" w:eastAsia="ko-KR"/>
      </w:rPr>
    </w:pPr>
    <w:r w:rsidRPr="001165F6">
      <w:rPr>
        <w:rFonts w:ascii="Arial" w:eastAsia="SimSun" w:hAnsi="Arial" w:cs="Arial"/>
        <w:b/>
        <w:snapToGrid w:val="0"/>
        <w:sz w:val="22"/>
        <w:szCs w:val="22"/>
        <w:lang w:val="pt-PT" w:eastAsia="zh-CN"/>
      </w:rPr>
      <w:t xml:space="preserve">París, </w:t>
    </w:r>
    <w:r w:rsidR="00421A1F">
      <w:rPr>
        <w:rFonts w:ascii="Arial" w:eastAsia="SimSun" w:hAnsi="Arial" w:cs="Arial"/>
        <w:b/>
        <w:snapToGrid w:val="0"/>
        <w:sz w:val="22"/>
        <w:szCs w:val="22"/>
        <w:lang w:val="pt-PT" w:eastAsia="zh-CN"/>
      </w:rPr>
      <w:t>1 de abril</w:t>
    </w:r>
    <w:r w:rsidRPr="001165F6">
      <w:rPr>
        <w:rFonts w:ascii="Arial" w:eastAsia="SimSun" w:hAnsi="Arial" w:cs="Arial"/>
        <w:b/>
        <w:snapToGrid w:val="0"/>
        <w:sz w:val="22"/>
        <w:szCs w:val="22"/>
        <w:lang w:val="pt-PT" w:eastAsia="zh-CN"/>
      </w:rPr>
      <w:t xml:space="preserve"> de 2025</w:t>
    </w:r>
  </w:p>
  <w:p w14:paraId="00883B85" w14:textId="6EAEA07A" w:rsidR="005B6351" w:rsidRPr="00D224BF" w:rsidRDefault="00D224BF" w:rsidP="00D224BF">
    <w:pPr>
      <w:tabs>
        <w:tab w:val="left" w:pos="567"/>
      </w:tabs>
      <w:snapToGrid w:val="0"/>
      <w:spacing w:before="120" w:after="120"/>
      <w:contextualSpacing/>
      <w:jc w:val="right"/>
      <w:rPr>
        <w:rFonts w:ascii="Arial" w:eastAsia="SimSun" w:hAnsi="Arial" w:cs="Arial"/>
        <w:b/>
        <w:snapToGrid w:val="0"/>
        <w:sz w:val="22"/>
        <w:szCs w:val="22"/>
        <w:lang w:val="es-ES" w:eastAsia="zh-CN"/>
      </w:rPr>
    </w:pPr>
    <w:r w:rsidRPr="001165F6">
      <w:rPr>
        <w:rFonts w:ascii="Arial" w:eastAsia="SimSun" w:hAnsi="Arial" w:cs="Arial"/>
        <w:b/>
        <w:snapToGrid w:val="0"/>
        <w:sz w:val="22"/>
        <w:szCs w:val="22"/>
        <w:lang w:val="es-ES" w:eastAsia="zh-CN"/>
      </w:rPr>
      <w:t>Original: Inglé</w:t>
    </w:r>
    <w:r w:rsidR="00284855">
      <w:rPr>
        <w:rFonts w:ascii="Arial" w:eastAsia="SimSun" w:hAnsi="Arial" w:cs="Arial"/>
        <w:b/>
        <w:snapToGrid w:val="0"/>
        <w:sz w:val="22"/>
        <w:szCs w:val="22"/>
        <w:lang w:val="es-ES" w:eastAsia="zh-CN"/>
      </w:rPr>
      <w:t>s</w:t>
    </w:r>
    <w:bookmarkEnd w:id="13"/>
    <w:bookmarkEnd w:id="14"/>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B2BAE2"/>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cs="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cs="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0E847D7F"/>
    <w:multiLevelType w:val="hybridMultilevel"/>
    <w:tmpl w:val="4B08CD10"/>
    <w:lvl w:ilvl="0" w:tplc="325C787C">
      <w:start w:val="1"/>
      <w:numFmt w:val="bullet"/>
      <w:pStyle w:val="Enutiret"/>
      <w:lvlText w:val="–"/>
      <w:lvlJc w:val="left"/>
      <w:pPr>
        <w:tabs>
          <w:tab w:val="num" w:pos="1134"/>
        </w:tabs>
        <w:ind w:left="1134" w:hanging="283"/>
      </w:pPr>
      <w:rPr>
        <w:rFonts w:ascii="Arial"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807A9"/>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BDA2876"/>
    <w:multiLevelType w:val="multilevel"/>
    <w:tmpl w:val="58123A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B47103"/>
    <w:multiLevelType w:val="hybridMultilevel"/>
    <w:tmpl w:val="7CC628D8"/>
    <w:lvl w:ilvl="0" w:tplc="211A276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F030D8"/>
    <w:multiLevelType w:val="hybridMultilevel"/>
    <w:tmpl w:val="33AE0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8B2F5E"/>
    <w:multiLevelType w:val="hybridMultilevel"/>
    <w:tmpl w:val="05866902"/>
    <w:lvl w:ilvl="0" w:tplc="09960E88">
      <w:start w:val="1"/>
      <w:numFmt w:val="decimal"/>
      <w:lvlText w:val="%1)"/>
      <w:lvlJc w:val="left"/>
      <w:pPr>
        <w:ind w:left="720" w:hanging="360"/>
      </w:pPr>
      <w:rPr>
        <w:rFonts w:hint="default"/>
        <w:b/>
        <w:bCs/>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5FC6B54"/>
    <w:multiLevelType w:val="multilevel"/>
    <w:tmpl w:val="4D60B2A0"/>
    <w:lvl w:ilvl="0">
      <w:start w:val="1"/>
      <w:numFmt w:val="decimal"/>
      <w:lvlText w:val="%1."/>
      <w:lvlJc w:val="left"/>
      <w:pPr>
        <w:ind w:left="720" w:hanging="360"/>
      </w:pPr>
      <w:rPr>
        <w:rFonts w:hint="default"/>
        <w:b/>
        <w:bCs/>
        <w:color w:val="2F51F1"/>
        <w:sz w:val="20"/>
        <w:szCs w:val="2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27A1F51"/>
    <w:multiLevelType w:val="multilevel"/>
    <w:tmpl w:val="34A27D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2F51F9"/>
      </w:rPr>
    </w:lvl>
    <w:lvl w:ilvl="2">
      <w:start w:val="1"/>
      <w:numFmt w:val="decimal"/>
      <w:lvlText w:val="%1.%2.%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1851092">
    <w:abstractNumId w:val="0"/>
  </w:num>
  <w:num w:numId="2" w16cid:durableId="2133160302">
    <w:abstractNumId w:val="2"/>
  </w:num>
  <w:num w:numId="3" w16cid:durableId="1334334039">
    <w:abstractNumId w:val="1"/>
  </w:num>
  <w:num w:numId="4" w16cid:durableId="2030714014">
    <w:abstractNumId w:val="5"/>
  </w:num>
  <w:num w:numId="5" w16cid:durableId="24601111">
    <w:abstractNumId w:val="8"/>
  </w:num>
  <w:num w:numId="6" w16cid:durableId="1278634453">
    <w:abstractNumId w:val="6"/>
  </w:num>
  <w:num w:numId="7" w16cid:durableId="1646545726">
    <w:abstractNumId w:val="9"/>
  </w:num>
  <w:num w:numId="8" w16cid:durableId="1400637742">
    <w:abstractNumId w:val="7"/>
  </w:num>
  <w:num w:numId="9" w16cid:durableId="871958119">
    <w:abstractNumId w:val="2"/>
  </w:num>
  <w:num w:numId="10" w16cid:durableId="513884730">
    <w:abstractNumId w:val="2"/>
  </w:num>
  <w:num w:numId="11" w16cid:durableId="1566141047">
    <w:abstractNumId w:val="2"/>
  </w:num>
  <w:num w:numId="12" w16cid:durableId="1776049647">
    <w:abstractNumId w:val="3"/>
  </w:num>
  <w:num w:numId="13" w16cid:durableId="3103341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7C"/>
    <w:rsid w:val="00000E34"/>
    <w:rsid w:val="00002CA0"/>
    <w:rsid w:val="000139FB"/>
    <w:rsid w:val="0002294A"/>
    <w:rsid w:val="000249F4"/>
    <w:rsid w:val="00024D22"/>
    <w:rsid w:val="000351A8"/>
    <w:rsid w:val="000360D9"/>
    <w:rsid w:val="00036901"/>
    <w:rsid w:val="000424B8"/>
    <w:rsid w:val="00046D61"/>
    <w:rsid w:val="00046D62"/>
    <w:rsid w:val="00050E2B"/>
    <w:rsid w:val="0005380C"/>
    <w:rsid w:val="00057DFE"/>
    <w:rsid w:val="000634BB"/>
    <w:rsid w:val="00063639"/>
    <w:rsid w:val="00063D1F"/>
    <w:rsid w:val="00063FAA"/>
    <w:rsid w:val="00064194"/>
    <w:rsid w:val="000670E0"/>
    <w:rsid w:val="00073544"/>
    <w:rsid w:val="00075F07"/>
    <w:rsid w:val="00077BF9"/>
    <w:rsid w:val="00080585"/>
    <w:rsid w:val="00080673"/>
    <w:rsid w:val="000812A9"/>
    <w:rsid w:val="00082F7E"/>
    <w:rsid w:val="00086AF9"/>
    <w:rsid w:val="00087F74"/>
    <w:rsid w:val="00091889"/>
    <w:rsid w:val="00096753"/>
    <w:rsid w:val="00097FDE"/>
    <w:rsid w:val="000A096D"/>
    <w:rsid w:val="000A276C"/>
    <w:rsid w:val="000A2D13"/>
    <w:rsid w:val="000B308D"/>
    <w:rsid w:val="000B4B00"/>
    <w:rsid w:val="000B63F6"/>
    <w:rsid w:val="000B7892"/>
    <w:rsid w:val="000C5064"/>
    <w:rsid w:val="000D41EE"/>
    <w:rsid w:val="000E0D19"/>
    <w:rsid w:val="000E0E7A"/>
    <w:rsid w:val="000E0FBB"/>
    <w:rsid w:val="000E146A"/>
    <w:rsid w:val="000E14E6"/>
    <w:rsid w:val="000E43AB"/>
    <w:rsid w:val="000E48A3"/>
    <w:rsid w:val="000E5D36"/>
    <w:rsid w:val="000E6A70"/>
    <w:rsid w:val="000E7664"/>
    <w:rsid w:val="000E7D57"/>
    <w:rsid w:val="000F3A2F"/>
    <w:rsid w:val="000F4669"/>
    <w:rsid w:val="00100D5C"/>
    <w:rsid w:val="00100E76"/>
    <w:rsid w:val="00101215"/>
    <w:rsid w:val="0010264F"/>
    <w:rsid w:val="001064C4"/>
    <w:rsid w:val="001101E5"/>
    <w:rsid w:val="00111435"/>
    <w:rsid w:val="00115DC7"/>
    <w:rsid w:val="00124465"/>
    <w:rsid w:val="0012589A"/>
    <w:rsid w:val="00127260"/>
    <w:rsid w:val="00130ABE"/>
    <w:rsid w:val="001327C7"/>
    <w:rsid w:val="001358C9"/>
    <w:rsid w:val="00137A53"/>
    <w:rsid w:val="00141390"/>
    <w:rsid w:val="001444C7"/>
    <w:rsid w:val="00145870"/>
    <w:rsid w:val="00145AAD"/>
    <w:rsid w:val="001461DE"/>
    <w:rsid w:val="00146AD0"/>
    <w:rsid w:val="00147584"/>
    <w:rsid w:val="00147E01"/>
    <w:rsid w:val="001520AA"/>
    <w:rsid w:val="001525AA"/>
    <w:rsid w:val="001527A3"/>
    <w:rsid w:val="00160CBD"/>
    <w:rsid w:val="001639B4"/>
    <w:rsid w:val="00165AEA"/>
    <w:rsid w:val="00166BF5"/>
    <w:rsid w:val="0016738A"/>
    <w:rsid w:val="0016764C"/>
    <w:rsid w:val="00170436"/>
    <w:rsid w:val="00171AA7"/>
    <w:rsid w:val="0017767E"/>
    <w:rsid w:val="00180232"/>
    <w:rsid w:val="00181888"/>
    <w:rsid w:val="00185D2F"/>
    <w:rsid w:val="00197B68"/>
    <w:rsid w:val="001A01E8"/>
    <w:rsid w:val="001A527E"/>
    <w:rsid w:val="001A697B"/>
    <w:rsid w:val="001A70A9"/>
    <w:rsid w:val="001A731B"/>
    <w:rsid w:val="001B2E7D"/>
    <w:rsid w:val="001B5FB4"/>
    <w:rsid w:val="001B5FD3"/>
    <w:rsid w:val="001B6B8F"/>
    <w:rsid w:val="001B6BB8"/>
    <w:rsid w:val="001C08EA"/>
    <w:rsid w:val="001C3750"/>
    <w:rsid w:val="001C38F6"/>
    <w:rsid w:val="001C41AE"/>
    <w:rsid w:val="001C4DB2"/>
    <w:rsid w:val="001D0846"/>
    <w:rsid w:val="001D0A96"/>
    <w:rsid w:val="001D0F97"/>
    <w:rsid w:val="001D1EE0"/>
    <w:rsid w:val="001D4A8B"/>
    <w:rsid w:val="001D57CB"/>
    <w:rsid w:val="001D6C39"/>
    <w:rsid w:val="001D7653"/>
    <w:rsid w:val="001E3002"/>
    <w:rsid w:val="001E4CE7"/>
    <w:rsid w:val="001E7A46"/>
    <w:rsid w:val="001F0CA8"/>
    <w:rsid w:val="001F7CA2"/>
    <w:rsid w:val="0020060F"/>
    <w:rsid w:val="0021456B"/>
    <w:rsid w:val="00216786"/>
    <w:rsid w:val="002169C6"/>
    <w:rsid w:val="00217B2D"/>
    <w:rsid w:val="00217DE9"/>
    <w:rsid w:val="002206FE"/>
    <w:rsid w:val="00222630"/>
    <w:rsid w:val="0023001D"/>
    <w:rsid w:val="00230B4B"/>
    <w:rsid w:val="002316FB"/>
    <w:rsid w:val="00235580"/>
    <w:rsid w:val="002379B3"/>
    <w:rsid w:val="0024727A"/>
    <w:rsid w:val="002477B6"/>
    <w:rsid w:val="00247DC2"/>
    <w:rsid w:val="002519B6"/>
    <w:rsid w:val="00253C91"/>
    <w:rsid w:val="002540F3"/>
    <w:rsid w:val="002563D2"/>
    <w:rsid w:val="00257114"/>
    <w:rsid w:val="00257BA7"/>
    <w:rsid w:val="0026188A"/>
    <w:rsid w:val="00266936"/>
    <w:rsid w:val="002729AA"/>
    <w:rsid w:val="0027344F"/>
    <w:rsid w:val="0027491E"/>
    <w:rsid w:val="00275400"/>
    <w:rsid w:val="00277013"/>
    <w:rsid w:val="00281031"/>
    <w:rsid w:val="00284855"/>
    <w:rsid w:val="00290774"/>
    <w:rsid w:val="00290ECC"/>
    <w:rsid w:val="002917CA"/>
    <w:rsid w:val="00296422"/>
    <w:rsid w:val="002A3DED"/>
    <w:rsid w:val="002A4394"/>
    <w:rsid w:val="002A5AEB"/>
    <w:rsid w:val="002A6AD9"/>
    <w:rsid w:val="002A7414"/>
    <w:rsid w:val="002A7563"/>
    <w:rsid w:val="002B17E4"/>
    <w:rsid w:val="002B215F"/>
    <w:rsid w:val="002B3D3F"/>
    <w:rsid w:val="002B4230"/>
    <w:rsid w:val="002B64E6"/>
    <w:rsid w:val="002B76AD"/>
    <w:rsid w:val="002C3245"/>
    <w:rsid w:val="002C3D82"/>
    <w:rsid w:val="002C3EE7"/>
    <w:rsid w:val="002C40FB"/>
    <w:rsid w:val="002D2FD4"/>
    <w:rsid w:val="002D316B"/>
    <w:rsid w:val="002E0ED8"/>
    <w:rsid w:val="002E147F"/>
    <w:rsid w:val="002E2553"/>
    <w:rsid w:val="002E2C4A"/>
    <w:rsid w:val="002E311B"/>
    <w:rsid w:val="002E361E"/>
    <w:rsid w:val="002E5AD7"/>
    <w:rsid w:val="002E5F72"/>
    <w:rsid w:val="002F12AF"/>
    <w:rsid w:val="002F5F73"/>
    <w:rsid w:val="0030742A"/>
    <w:rsid w:val="003130A9"/>
    <w:rsid w:val="00314005"/>
    <w:rsid w:val="003153B3"/>
    <w:rsid w:val="00315488"/>
    <w:rsid w:val="00316A4C"/>
    <w:rsid w:val="0032196E"/>
    <w:rsid w:val="0032248E"/>
    <w:rsid w:val="00322FF3"/>
    <w:rsid w:val="00323DF7"/>
    <w:rsid w:val="003255DC"/>
    <w:rsid w:val="00327769"/>
    <w:rsid w:val="0033147E"/>
    <w:rsid w:val="00336417"/>
    <w:rsid w:val="00340171"/>
    <w:rsid w:val="00340B9C"/>
    <w:rsid w:val="00341C1E"/>
    <w:rsid w:val="00342CC0"/>
    <w:rsid w:val="003440B8"/>
    <w:rsid w:val="00345D95"/>
    <w:rsid w:val="0035358B"/>
    <w:rsid w:val="00355BF4"/>
    <w:rsid w:val="00357828"/>
    <w:rsid w:val="00361671"/>
    <w:rsid w:val="0036602A"/>
    <w:rsid w:val="00372318"/>
    <w:rsid w:val="0037552B"/>
    <w:rsid w:val="00375CCE"/>
    <w:rsid w:val="00377D70"/>
    <w:rsid w:val="0038131A"/>
    <w:rsid w:val="00382EDD"/>
    <w:rsid w:val="0038647E"/>
    <w:rsid w:val="00392481"/>
    <w:rsid w:val="003953DD"/>
    <w:rsid w:val="003A178E"/>
    <w:rsid w:val="003A1FB3"/>
    <w:rsid w:val="003A619B"/>
    <w:rsid w:val="003A6FB8"/>
    <w:rsid w:val="003A7D60"/>
    <w:rsid w:val="003B057F"/>
    <w:rsid w:val="003B0630"/>
    <w:rsid w:val="003B20AD"/>
    <w:rsid w:val="003B4E67"/>
    <w:rsid w:val="003B596F"/>
    <w:rsid w:val="003B7102"/>
    <w:rsid w:val="003B7C5E"/>
    <w:rsid w:val="003B7D78"/>
    <w:rsid w:val="003C1FCE"/>
    <w:rsid w:val="003C3616"/>
    <w:rsid w:val="003D211A"/>
    <w:rsid w:val="003D49A0"/>
    <w:rsid w:val="003D51C3"/>
    <w:rsid w:val="003D721E"/>
    <w:rsid w:val="003D7875"/>
    <w:rsid w:val="003E0068"/>
    <w:rsid w:val="003E1A19"/>
    <w:rsid w:val="003E6951"/>
    <w:rsid w:val="003F43A7"/>
    <w:rsid w:val="003F6353"/>
    <w:rsid w:val="003F6D0C"/>
    <w:rsid w:val="003F7571"/>
    <w:rsid w:val="004064BE"/>
    <w:rsid w:val="0041257B"/>
    <w:rsid w:val="00415F08"/>
    <w:rsid w:val="00421A1F"/>
    <w:rsid w:val="0042279B"/>
    <w:rsid w:val="00423332"/>
    <w:rsid w:val="004237EC"/>
    <w:rsid w:val="00423F04"/>
    <w:rsid w:val="004250CA"/>
    <w:rsid w:val="0042510C"/>
    <w:rsid w:val="004267D4"/>
    <w:rsid w:val="00426878"/>
    <w:rsid w:val="00430565"/>
    <w:rsid w:val="004311E6"/>
    <w:rsid w:val="00435621"/>
    <w:rsid w:val="00442C4B"/>
    <w:rsid w:val="004440E0"/>
    <w:rsid w:val="0044602A"/>
    <w:rsid w:val="004469A6"/>
    <w:rsid w:val="004475E1"/>
    <w:rsid w:val="0045298D"/>
    <w:rsid w:val="00452F34"/>
    <w:rsid w:val="004603C7"/>
    <w:rsid w:val="004613A5"/>
    <w:rsid w:val="004620BD"/>
    <w:rsid w:val="0046225F"/>
    <w:rsid w:val="0046518B"/>
    <w:rsid w:val="00470B15"/>
    <w:rsid w:val="004710D9"/>
    <w:rsid w:val="004714D0"/>
    <w:rsid w:val="00472273"/>
    <w:rsid w:val="00476E06"/>
    <w:rsid w:val="00477F3F"/>
    <w:rsid w:val="00480FA1"/>
    <w:rsid w:val="0048466F"/>
    <w:rsid w:val="0048494F"/>
    <w:rsid w:val="00484C59"/>
    <w:rsid w:val="00487AD9"/>
    <w:rsid w:val="00490F0F"/>
    <w:rsid w:val="00492156"/>
    <w:rsid w:val="0049255D"/>
    <w:rsid w:val="00492A4B"/>
    <w:rsid w:val="00497E8F"/>
    <w:rsid w:val="004B14E6"/>
    <w:rsid w:val="004B19DB"/>
    <w:rsid w:val="004B30CE"/>
    <w:rsid w:val="004B56D9"/>
    <w:rsid w:val="004C23D3"/>
    <w:rsid w:val="004C3ACA"/>
    <w:rsid w:val="004D14F2"/>
    <w:rsid w:val="004D5FF8"/>
    <w:rsid w:val="004D7795"/>
    <w:rsid w:val="004F33A2"/>
    <w:rsid w:val="004F4977"/>
    <w:rsid w:val="004F4A4F"/>
    <w:rsid w:val="004F5AB5"/>
    <w:rsid w:val="0050110C"/>
    <w:rsid w:val="0050390F"/>
    <w:rsid w:val="005102B4"/>
    <w:rsid w:val="0051378B"/>
    <w:rsid w:val="00516556"/>
    <w:rsid w:val="0051745D"/>
    <w:rsid w:val="00520DC2"/>
    <w:rsid w:val="00523F18"/>
    <w:rsid w:val="00536A5D"/>
    <w:rsid w:val="00537EA7"/>
    <w:rsid w:val="00542695"/>
    <w:rsid w:val="00547EF6"/>
    <w:rsid w:val="00551AA6"/>
    <w:rsid w:val="005525D3"/>
    <w:rsid w:val="00553143"/>
    <w:rsid w:val="005544C2"/>
    <w:rsid w:val="00561979"/>
    <w:rsid w:val="0056480B"/>
    <w:rsid w:val="00567024"/>
    <w:rsid w:val="0057044A"/>
    <w:rsid w:val="00571892"/>
    <w:rsid w:val="00573BEE"/>
    <w:rsid w:val="0057506D"/>
    <w:rsid w:val="00577202"/>
    <w:rsid w:val="00577EF0"/>
    <w:rsid w:val="005855FF"/>
    <w:rsid w:val="0058733D"/>
    <w:rsid w:val="00592171"/>
    <w:rsid w:val="00594578"/>
    <w:rsid w:val="005965DC"/>
    <w:rsid w:val="005A2500"/>
    <w:rsid w:val="005A3969"/>
    <w:rsid w:val="005A48D9"/>
    <w:rsid w:val="005A670E"/>
    <w:rsid w:val="005A735F"/>
    <w:rsid w:val="005A793C"/>
    <w:rsid w:val="005B0C5D"/>
    <w:rsid w:val="005B2DBC"/>
    <w:rsid w:val="005B6351"/>
    <w:rsid w:val="005C0AE0"/>
    <w:rsid w:val="005C2390"/>
    <w:rsid w:val="005C55BE"/>
    <w:rsid w:val="005C6D31"/>
    <w:rsid w:val="005D296E"/>
    <w:rsid w:val="005D30EF"/>
    <w:rsid w:val="005D75A7"/>
    <w:rsid w:val="005D7639"/>
    <w:rsid w:val="005E106E"/>
    <w:rsid w:val="005E185A"/>
    <w:rsid w:val="005E46BF"/>
    <w:rsid w:val="005F0CD5"/>
    <w:rsid w:val="005F15DC"/>
    <w:rsid w:val="006005B0"/>
    <w:rsid w:val="00601D63"/>
    <w:rsid w:val="006061F2"/>
    <w:rsid w:val="00613F5A"/>
    <w:rsid w:val="006141BE"/>
    <w:rsid w:val="006154A5"/>
    <w:rsid w:val="00615BB3"/>
    <w:rsid w:val="00620515"/>
    <w:rsid w:val="00621456"/>
    <w:rsid w:val="0063119A"/>
    <w:rsid w:val="00631694"/>
    <w:rsid w:val="00635B54"/>
    <w:rsid w:val="00635F2F"/>
    <w:rsid w:val="0063644F"/>
    <w:rsid w:val="006406E3"/>
    <w:rsid w:val="00643208"/>
    <w:rsid w:val="006450AC"/>
    <w:rsid w:val="006477B3"/>
    <w:rsid w:val="00655476"/>
    <w:rsid w:val="006601D3"/>
    <w:rsid w:val="006622D2"/>
    <w:rsid w:val="00664F90"/>
    <w:rsid w:val="00665A6B"/>
    <w:rsid w:val="006669DF"/>
    <w:rsid w:val="0067115E"/>
    <w:rsid w:val="00682719"/>
    <w:rsid w:val="00683AB0"/>
    <w:rsid w:val="0068617F"/>
    <w:rsid w:val="00686FE8"/>
    <w:rsid w:val="006904B8"/>
    <w:rsid w:val="006925EA"/>
    <w:rsid w:val="006A21D6"/>
    <w:rsid w:val="006A3E08"/>
    <w:rsid w:val="006A4C53"/>
    <w:rsid w:val="006B16DC"/>
    <w:rsid w:val="006B5242"/>
    <w:rsid w:val="006C0695"/>
    <w:rsid w:val="006C2E4E"/>
    <w:rsid w:val="006C6C44"/>
    <w:rsid w:val="006D1C81"/>
    <w:rsid w:val="006D1FFF"/>
    <w:rsid w:val="006D296E"/>
    <w:rsid w:val="006D3F99"/>
    <w:rsid w:val="006D4C15"/>
    <w:rsid w:val="006D681C"/>
    <w:rsid w:val="006E0E4C"/>
    <w:rsid w:val="006E4893"/>
    <w:rsid w:val="006F0ED0"/>
    <w:rsid w:val="006F2167"/>
    <w:rsid w:val="006F3DB9"/>
    <w:rsid w:val="006F3DDC"/>
    <w:rsid w:val="0070010B"/>
    <w:rsid w:val="00700E4A"/>
    <w:rsid w:val="007073C9"/>
    <w:rsid w:val="00712E23"/>
    <w:rsid w:val="007176F8"/>
    <w:rsid w:val="00721519"/>
    <w:rsid w:val="00724723"/>
    <w:rsid w:val="007258D4"/>
    <w:rsid w:val="00727322"/>
    <w:rsid w:val="00730738"/>
    <w:rsid w:val="00731A34"/>
    <w:rsid w:val="0074039A"/>
    <w:rsid w:val="0074753C"/>
    <w:rsid w:val="007544AA"/>
    <w:rsid w:val="00755836"/>
    <w:rsid w:val="00757DBD"/>
    <w:rsid w:val="00757DCC"/>
    <w:rsid w:val="00760CEC"/>
    <w:rsid w:val="00761381"/>
    <w:rsid w:val="007749CD"/>
    <w:rsid w:val="0077644D"/>
    <w:rsid w:val="00780CDA"/>
    <w:rsid w:val="00780F47"/>
    <w:rsid w:val="00781051"/>
    <w:rsid w:val="0078109B"/>
    <w:rsid w:val="00781300"/>
    <w:rsid w:val="007817BF"/>
    <w:rsid w:val="00791042"/>
    <w:rsid w:val="00794780"/>
    <w:rsid w:val="00796813"/>
    <w:rsid w:val="00797B8C"/>
    <w:rsid w:val="007A406A"/>
    <w:rsid w:val="007B0978"/>
    <w:rsid w:val="007B64EA"/>
    <w:rsid w:val="007C1312"/>
    <w:rsid w:val="007C1E25"/>
    <w:rsid w:val="007C3360"/>
    <w:rsid w:val="007C706C"/>
    <w:rsid w:val="007C78DC"/>
    <w:rsid w:val="007D2FF7"/>
    <w:rsid w:val="007D58F5"/>
    <w:rsid w:val="007D63FA"/>
    <w:rsid w:val="007D7D18"/>
    <w:rsid w:val="007E2AD1"/>
    <w:rsid w:val="007E4360"/>
    <w:rsid w:val="007E73F4"/>
    <w:rsid w:val="007E777D"/>
    <w:rsid w:val="007F413E"/>
    <w:rsid w:val="0080043A"/>
    <w:rsid w:val="00800C38"/>
    <w:rsid w:val="0080117F"/>
    <w:rsid w:val="00801801"/>
    <w:rsid w:val="00801C8E"/>
    <w:rsid w:val="00807543"/>
    <w:rsid w:val="008075AD"/>
    <w:rsid w:val="00807B82"/>
    <w:rsid w:val="00807CEE"/>
    <w:rsid w:val="00810D85"/>
    <w:rsid w:val="00811C36"/>
    <w:rsid w:val="00811F62"/>
    <w:rsid w:val="00813640"/>
    <w:rsid w:val="0081520D"/>
    <w:rsid w:val="008205FF"/>
    <w:rsid w:val="0082337B"/>
    <w:rsid w:val="00833B0F"/>
    <w:rsid w:val="00837EEC"/>
    <w:rsid w:val="008402C1"/>
    <w:rsid w:val="008406A6"/>
    <w:rsid w:val="00840D60"/>
    <w:rsid w:val="0084749E"/>
    <w:rsid w:val="008479E0"/>
    <w:rsid w:val="00847F7F"/>
    <w:rsid w:val="00853461"/>
    <w:rsid w:val="00854088"/>
    <w:rsid w:val="008543F6"/>
    <w:rsid w:val="00855DDB"/>
    <w:rsid w:val="00856902"/>
    <w:rsid w:val="00860354"/>
    <w:rsid w:val="00860A5F"/>
    <w:rsid w:val="008610DF"/>
    <w:rsid w:val="00865515"/>
    <w:rsid w:val="00866428"/>
    <w:rsid w:val="0087104E"/>
    <w:rsid w:val="0087106A"/>
    <w:rsid w:val="00872748"/>
    <w:rsid w:val="00873653"/>
    <w:rsid w:val="00873EF1"/>
    <w:rsid w:val="0087561F"/>
    <w:rsid w:val="0087594E"/>
    <w:rsid w:val="00876D8D"/>
    <w:rsid w:val="0087772C"/>
    <w:rsid w:val="00885207"/>
    <w:rsid w:val="00886439"/>
    <w:rsid w:val="00887B29"/>
    <w:rsid w:val="008912E5"/>
    <w:rsid w:val="0089452A"/>
    <w:rsid w:val="008957B7"/>
    <w:rsid w:val="008968C7"/>
    <w:rsid w:val="008A03FB"/>
    <w:rsid w:val="008A5FEA"/>
    <w:rsid w:val="008A66F8"/>
    <w:rsid w:val="008A7D6E"/>
    <w:rsid w:val="008B0BFF"/>
    <w:rsid w:val="008B2948"/>
    <w:rsid w:val="008B40F7"/>
    <w:rsid w:val="008B561D"/>
    <w:rsid w:val="008B5FB2"/>
    <w:rsid w:val="008B771B"/>
    <w:rsid w:val="008C07F6"/>
    <w:rsid w:val="008C159D"/>
    <w:rsid w:val="008C1F11"/>
    <w:rsid w:val="008D5D23"/>
    <w:rsid w:val="008D74F6"/>
    <w:rsid w:val="008E1264"/>
    <w:rsid w:val="008E1449"/>
    <w:rsid w:val="008E3221"/>
    <w:rsid w:val="008E6156"/>
    <w:rsid w:val="008E75B7"/>
    <w:rsid w:val="008E7D83"/>
    <w:rsid w:val="008E7D8E"/>
    <w:rsid w:val="008F1560"/>
    <w:rsid w:val="008F2E93"/>
    <w:rsid w:val="008F42CF"/>
    <w:rsid w:val="008F657F"/>
    <w:rsid w:val="00903AF4"/>
    <w:rsid w:val="009046A2"/>
    <w:rsid w:val="00905CF0"/>
    <w:rsid w:val="00914001"/>
    <w:rsid w:val="00915FF5"/>
    <w:rsid w:val="009210A8"/>
    <w:rsid w:val="00924EB6"/>
    <w:rsid w:val="00925790"/>
    <w:rsid w:val="0093097D"/>
    <w:rsid w:val="0093413C"/>
    <w:rsid w:val="00935F6E"/>
    <w:rsid w:val="0093616B"/>
    <w:rsid w:val="009408E4"/>
    <w:rsid w:val="00943945"/>
    <w:rsid w:val="00947EF6"/>
    <w:rsid w:val="00950B44"/>
    <w:rsid w:val="00953CB1"/>
    <w:rsid w:val="00960D9B"/>
    <w:rsid w:val="009647A6"/>
    <w:rsid w:val="00973CF8"/>
    <w:rsid w:val="00974155"/>
    <w:rsid w:val="0097629F"/>
    <w:rsid w:val="00980605"/>
    <w:rsid w:val="0098671D"/>
    <w:rsid w:val="00986E70"/>
    <w:rsid w:val="009907A2"/>
    <w:rsid w:val="00992441"/>
    <w:rsid w:val="00996E2D"/>
    <w:rsid w:val="00997250"/>
    <w:rsid w:val="009A2A67"/>
    <w:rsid w:val="009B02FF"/>
    <w:rsid w:val="009B0DB1"/>
    <w:rsid w:val="009B2489"/>
    <w:rsid w:val="009B5AA1"/>
    <w:rsid w:val="009B5C88"/>
    <w:rsid w:val="009B6B27"/>
    <w:rsid w:val="009B79D9"/>
    <w:rsid w:val="009C153C"/>
    <w:rsid w:val="009C19BC"/>
    <w:rsid w:val="009D0DC4"/>
    <w:rsid w:val="009D3C6D"/>
    <w:rsid w:val="009D4610"/>
    <w:rsid w:val="009D64B4"/>
    <w:rsid w:val="009D790D"/>
    <w:rsid w:val="009E0BA5"/>
    <w:rsid w:val="009E6855"/>
    <w:rsid w:val="009F1A79"/>
    <w:rsid w:val="009F5B79"/>
    <w:rsid w:val="00A01BC7"/>
    <w:rsid w:val="00A0251A"/>
    <w:rsid w:val="00A052A9"/>
    <w:rsid w:val="00A063F1"/>
    <w:rsid w:val="00A1188E"/>
    <w:rsid w:val="00A11F6B"/>
    <w:rsid w:val="00A2489A"/>
    <w:rsid w:val="00A2514F"/>
    <w:rsid w:val="00A267C4"/>
    <w:rsid w:val="00A30465"/>
    <w:rsid w:val="00A30D67"/>
    <w:rsid w:val="00A31560"/>
    <w:rsid w:val="00A334BB"/>
    <w:rsid w:val="00A33BA9"/>
    <w:rsid w:val="00A33FEB"/>
    <w:rsid w:val="00A400B9"/>
    <w:rsid w:val="00A41D24"/>
    <w:rsid w:val="00A45CCC"/>
    <w:rsid w:val="00A46118"/>
    <w:rsid w:val="00A5282D"/>
    <w:rsid w:val="00A54B0D"/>
    <w:rsid w:val="00A571D0"/>
    <w:rsid w:val="00A61186"/>
    <w:rsid w:val="00A613BA"/>
    <w:rsid w:val="00A64443"/>
    <w:rsid w:val="00A6745F"/>
    <w:rsid w:val="00A70D49"/>
    <w:rsid w:val="00A832FA"/>
    <w:rsid w:val="00A83525"/>
    <w:rsid w:val="00A91A80"/>
    <w:rsid w:val="00A93138"/>
    <w:rsid w:val="00A93B07"/>
    <w:rsid w:val="00A947A6"/>
    <w:rsid w:val="00A977F3"/>
    <w:rsid w:val="00AA13E6"/>
    <w:rsid w:val="00AA36D7"/>
    <w:rsid w:val="00AA5BD4"/>
    <w:rsid w:val="00AA6288"/>
    <w:rsid w:val="00AB0076"/>
    <w:rsid w:val="00AB1A73"/>
    <w:rsid w:val="00AB4020"/>
    <w:rsid w:val="00AB6FD4"/>
    <w:rsid w:val="00AC1A7F"/>
    <w:rsid w:val="00AC1DD2"/>
    <w:rsid w:val="00AC25D2"/>
    <w:rsid w:val="00AC6229"/>
    <w:rsid w:val="00AC78BB"/>
    <w:rsid w:val="00AD0D3B"/>
    <w:rsid w:val="00AD166C"/>
    <w:rsid w:val="00AD3523"/>
    <w:rsid w:val="00AD40C7"/>
    <w:rsid w:val="00AD5493"/>
    <w:rsid w:val="00AD589A"/>
    <w:rsid w:val="00AE06D2"/>
    <w:rsid w:val="00AE225E"/>
    <w:rsid w:val="00AE3205"/>
    <w:rsid w:val="00AE6B77"/>
    <w:rsid w:val="00AF6B1C"/>
    <w:rsid w:val="00B05685"/>
    <w:rsid w:val="00B066C3"/>
    <w:rsid w:val="00B0779D"/>
    <w:rsid w:val="00B107CF"/>
    <w:rsid w:val="00B11CB8"/>
    <w:rsid w:val="00B13ECF"/>
    <w:rsid w:val="00B14AA4"/>
    <w:rsid w:val="00B172DB"/>
    <w:rsid w:val="00B2002E"/>
    <w:rsid w:val="00B20FA7"/>
    <w:rsid w:val="00B2104D"/>
    <w:rsid w:val="00B21A3D"/>
    <w:rsid w:val="00B2722A"/>
    <w:rsid w:val="00B27F36"/>
    <w:rsid w:val="00B31101"/>
    <w:rsid w:val="00B3226C"/>
    <w:rsid w:val="00B349E2"/>
    <w:rsid w:val="00B40A44"/>
    <w:rsid w:val="00B41095"/>
    <w:rsid w:val="00B5307F"/>
    <w:rsid w:val="00B539EF"/>
    <w:rsid w:val="00B60027"/>
    <w:rsid w:val="00B608C2"/>
    <w:rsid w:val="00B656BD"/>
    <w:rsid w:val="00B6593F"/>
    <w:rsid w:val="00B666E4"/>
    <w:rsid w:val="00B67086"/>
    <w:rsid w:val="00B70105"/>
    <w:rsid w:val="00B70243"/>
    <w:rsid w:val="00B71C49"/>
    <w:rsid w:val="00B7481E"/>
    <w:rsid w:val="00B76E65"/>
    <w:rsid w:val="00B810E5"/>
    <w:rsid w:val="00B81597"/>
    <w:rsid w:val="00B82215"/>
    <w:rsid w:val="00B83581"/>
    <w:rsid w:val="00B942F5"/>
    <w:rsid w:val="00B94903"/>
    <w:rsid w:val="00B94A92"/>
    <w:rsid w:val="00B96292"/>
    <w:rsid w:val="00BA7C10"/>
    <w:rsid w:val="00BB1318"/>
    <w:rsid w:val="00BB49FA"/>
    <w:rsid w:val="00BB5A0B"/>
    <w:rsid w:val="00BB6093"/>
    <w:rsid w:val="00BB6AD3"/>
    <w:rsid w:val="00BC072B"/>
    <w:rsid w:val="00BC7973"/>
    <w:rsid w:val="00BD1A62"/>
    <w:rsid w:val="00BD1C9F"/>
    <w:rsid w:val="00BD279E"/>
    <w:rsid w:val="00BD4FD2"/>
    <w:rsid w:val="00BD6370"/>
    <w:rsid w:val="00BE0685"/>
    <w:rsid w:val="00BE0A27"/>
    <w:rsid w:val="00BE3E31"/>
    <w:rsid w:val="00BE3EEF"/>
    <w:rsid w:val="00BE5BD6"/>
    <w:rsid w:val="00BE7400"/>
    <w:rsid w:val="00BF07A6"/>
    <w:rsid w:val="00BF2BB2"/>
    <w:rsid w:val="00BF309A"/>
    <w:rsid w:val="00BF5381"/>
    <w:rsid w:val="00BF5ED3"/>
    <w:rsid w:val="00BF75A8"/>
    <w:rsid w:val="00C0097F"/>
    <w:rsid w:val="00C00E05"/>
    <w:rsid w:val="00C06CDE"/>
    <w:rsid w:val="00C070F1"/>
    <w:rsid w:val="00C070FE"/>
    <w:rsid w:val="00C17B41"/>
    <w:rsid w:val="00C21125"/>
    <w:rsid w:val="00C21507"/>
    <w:rsid w:val="00C216E5"/>
    <w:rsid w:val="00C225B1"/>
    <w:rsid w:val="00C24B72"/>
    <w:rsid w:val="00C26C9F"/>
    <w:rsid w:val="00C32E18"/>
    <w:rsid w:val="00C37ABC"/>
    <w:rsid w:val="00C41CE0"/>
    <w:rsid w:val="00C457BC"/>
    <w:rsid w:val="00C463C3"/>
    <w:rsid w:val="00C52F8F"/>
    <w:rsid w:val="00C56C31"/>
    <w:rsid w:val="00C57D62"/>
    <w:rsid w:val="00C6082C"/>
    <w:rsid w:val="00C63134"/>
    <w:rsid w:val="00C64781"/>
    <w:rsid w:val="00C64FD7"/>
    <w:rsid w:val="00C66A94"/>
    <w:rsid w:val="00C67302"/>
    <w:rsid w:val="00C711EB"/>
    <w:rsid w:val="00C77B72"/>
    <w:rsid w:val="00C80656"/>
    <w:rsid w:val="00C808E9"/>
    <w:rsid w:val="00C8154D"/>
    <w:rsid w:val="00C826D3"/>
    <w:rsid w:val="00C86365"/>
    <w:rsid w:val="00C9080E"/>
    <w:rsid w:val="00C9455F"/>
    <w:rsid w:val="00C9462A"/>
    <w:rsid w:val="00C96E61"/>
    <w:rsid w:val="00C9707E"/>
    <w:rsid w:val="00CA13D1"/>
    <w:rsid w:val="00CA18F3"/>
    <w:rsid w:val="00CA5914"/>
    <w:rsid w:val="00CB082D"/>
    <w:rsid w:val="00CB5BA6"/>
    <w:rsid w:val="00CB6632"/>
    <w:rsid w:val="00CC00B2"/>
    <w:rsid w:val="00CC1AE2"/>
    <w:rsid w:val="00CC339D"/>
    <w:rsid w:val="00CC5E83"/>
    <w:rsid w:val="00CC6EF6"/>
    <w:rsid w:val="00CD2533"/>
    <w:rsid w:val="00CD4A7F"/>
    <w:rsid w:val="00CE01BE"/>
    <w:rsid w:val="00CE10BA"/>
    <w:rsid w:val="00CE2BB7"/>
    <w:rsid w:val="00CE5B29"/>
    <w:rsid w:val="00CF1C6F"/>
    <w:rsid w:val="00CF347F"/>
    <w:rsid w:val="00CF5ACA"/>
    <w:rsid w:val="00D0000C"/>
    <w:rsid w:val="00D011B1"/>
    <w:rsid w:val="00D01E0B"/>
    <w:rsid w:val="00D07AA7"/>
    <w:rsid w:val="00D11A43"/>
    <w:rsid w:val="00D11BB2"/>
    <w:rsid w:val="00D20390"/>
    <w:rsid w:val="00D2215F"/>
    <w:rsid w:val="00D224BF"/>
    <w:rsid w:val="00D25F91"/>
    <w:rsid w:val="00D314C9"/>
    <w:rsid w:val="00D31EC5"/>
    <w:rsid w:val="00D34976"/>
    <w:rsid w:val="00D37527"/>
    <w:rsid w:val="00D420F4"/>
    <w:rsid w:val="00D42143"/>
    <w:rsid w:val="00D44470"/>
    <w:rsid w:val="00D453EF"/>
    <w:rsid w:val="00D50B59"/>
    <w:rsid w:val="00D524E5"/>
    <w:rsid w:val="00D544AE"/>
    <w:rsid w:val="00D55D60"/>
    <w:rsid w:val="00D571C8"/>
    <w:rsid w:val="00D64213"/>
    <w:rsid w:val="00D66460"/>
    <w:rsid w:val="00D71BC8"/>
    <w:rsid w:val="00D74076"/>
    <w:rsid w:val="00D75624"/>
    <w:rsid w:val="00D76567"/>
    <w:rsid w:val="00D7757F"/>
    <w:rsid w:val="00D77760"/>
    <w:rsid w:val="00D80EBE"/>
    <w:rsid w:val="00D81989"/>
    <w:rsid w:val="00D87FC9"/>
    <w:rsid w:val="00D9026F"/>
    <w:rsid w:val="00D933CA"/>
    <w:rsid w:val="00D9394F"/>
    <w:rsid w:val="00D95270"/>
    <w:rsid w:val="00D96E86"/>
    <w:rsid w:val="00DA1304"/>
    <w:rsid w:val="00DA348E"/>
    <w:rsid w:val="00DA7B37"/>
    <w:rsid w:val="00DB15D0"/>
    <w:rsid w:val="00DB1672"/>
    <w:rsid w:val="00DB1F30"/>
    <w:rsid w:val="00DB5643"/>
    <w:rsid w:val="00DB5F7C"/>
    <w:rsid w:val="00DB6336"/>
    <w:rsid w:val="00DC13CF"/>
    <w:rsid w:val="00DC28EF"/>
    <w:rsid w:val="00DC606A"/>
    <w:rsid w:val="00DC6955"/>
    <w:rsid w:val="00DD012B"/>
    <w:rsid w:val="00DD1000"/>
    <w:rsid w:val="00DD1CB7"/>
    <w:rsid w:val="00DD38B3"/>
    <w:rsid w:val="00DE7968"/>
    <w:rsid w:val="00DF0B75"/>
    <w:rsid w:val="00DF1EDA"/>
    <w:rsid w:val="00DF330A"/>
    <w:rsid w:val="00DF3446"/>
    <w:rsid w:val="00DF3895"/>
    <w:rsid w:val="00DF4E45"/>
    <w:rsid w:val="00DF52F4"/>
    <w:rsid w:val="00DF6CA0"/>
    <w:rsid w:val="00E00282"/>
    <w:rsid w:val="00E0431F"/>
    <w:rsid w:val="00E14760"/>
    <w:rsid w:val="00E25DB3"/>
    <w:rsid w:val="00E26F97"/>
    <w:rsid w:val="00E320A9"/>
    <w:rsid w:val="00E34013"/>
    <w:rsid w:val="00E35FE1"/>
    <w:rsid w:val="00E44F1E"/>
    <w:rsid w:val="00E45971"/>
    <w:rsid w:val="00E46BFC"/>
    <w:rsid w:val="00E47590"/>
    <w:rsid w:val="00E47E4C"/>
    <w:rsid w:val="00E52072"/>
    <w:rsid w:val="00E55F09"/>
    <w:rsid w:val="00E56503"/>
    <w:rsid w:val="00E56505"/>
    <w:rsid w:val="00E567B9"/>
    <w:rsid w:val="00E603AC"/>
    <w:rsid w:val="00E62ACC"/>
    <w:rsid w:val="00E6380F"/>
    <w:rsid w:val="00E666FA"/>
    <w:rsid w:val="00E7079A"/>
    <w:rsid w:val="00E75B95"/>
    <w:rsid w:val="00E76965"/>
    <w:rsid w:val="00E77330"/>
    <w:rsid w:val="00E813E9"/>
    <w:rsid w:val="00E82BD6"/>
    <w:rsid w:val="00E87248"/>
    <w:rsid w:val="00E87E02"/>
    <w:rsid w:val="00E91EF2"/>
    <w:rsid w:val="00E923C1"/>
    <w:rsid w:val="00E927F8"/>
    <w:rsid w:val="00E93351"/>
    <w:rsid w:val="00E94721"/>
    <w:rsid w:val="00E96EB5"/>
    <w:rsid w:val="00E972AC"/>
    <w:rsid w:val="00E97CC7"/>
    <w:rsid w:val="00EA1341"/>
    <w:rsid w:val="00EA24E0"/>
    <w:rsid w:val="00EA52E4"/>
    <w:rsid w:val="00EC12F1"/>
    <w:rsid w:val="00EC1F34"/>
    <w:rsid w:val="00EC2DD9"/>
    <w:rsid w:val="00EC4C0B"/>
    <w:rsid w:val="00EC6D32"/>
    <w:rsid w:val="00ED3809"/>
    <w:rsid w:val="00ED58F5"/>
    <w:rsid w:val="00ED6175"/>
    <w:rsid w:val="00EE674F"/>
    <w:rsid w:val="00EF2EB3"/>
    <w:rsid w:val="00EF37D9"/>
    <w:rsid w:val="00EF3A56"/>
    <w:rsid w:val="00EF3DB9"/>
    <w:rsid w:val="00EF47B7"/>
    <w:rsid w:val="00F00C27"/>
    <w:rsid w:val="00F053F6"/>
    <w:rsid w:val="00F06A8A"/>
    <w:rsid w:val="00F110DD"/>
    <w:rsid w:val="00F12522"/>
    <w:rsid w:val="00F16A3F"/>
    <w:rsid w:val="00F17C9C"/>
    <w:rsid w:val="00F2022A"/>
    <w:rsid w:val="00F22DA2"/>
    <w:rsid w:val="00F24A74"/>
    <w:rsid w:val="00F2518C"/>
    <w:rsid w:val="00F3233D"/>
    <w:rsid w:val="00F33207"/>
    <w:rsid w:val="00F34C5B"/>
    <w:rsid w:val="00F40F06"/>
    <w:rsid w:val="00F4586A"/>
    <w:rsid w:val="00F45D53"/>
    <w:rsid w:val="00F469D6"/>
    <w:rsid w:val="00F51BDC"/>
    <w:rsid w:val="00F53AC6"/>
    <w:rsid w:val="00F56AD0"/>
    <w:rsid w:val="00F56D47"/>
    <w:rsid w:val="00F61FDF"/>
    <w:rsid w:val="00F63873"/>
    <w:rsid w:val="00F72725"/>
    <w:rsid w:val="00F7387B"/>
    <w:rsid w:val="00F81079"/>
    <w:rsid w:val="00F81F3B"/>
    <w:rsid w:val="00F835D8"/>
    <w:rsid w:val="00F84694"/>
    <w:rsid w:val="00F850B0"/>
    <w:rsid w:val="00F8788B"/>
    <w:rsid w:val="00F91E0F"/>
    <w:rsid w:val="00F954DD"/>
    <w:rsid w:val="00F96F4E"/>
    <w:rsid w:val="00FA5A74"/>
    <w:rsid w:val="00FB18BF"/>
    <w:rsid w:val="00FB2391"/>
    <w:rsid w:val="00FB3EAC"/>
    <w:rsid w:val="00FB4330"/>
    <w:rsid w:val="00FB7260"/>
    <w:rsid w:val="00FB7541"/>
    <w:rsid w:val="00FC0077"/>
    <w:rsid w:val="00FC6144"/>
    <w:rsid w:val="00FD3D55"/>
    <w:rsid w:val="00FD5D92"/>
    <w:rsid w:val="00FD64E0"/>
    <w:rsid w:val="00FD689E"/>
    <w:rsid w:val="00FE3478"/>
    <w:rsid w:val="00FE367D"/>
    <w:rsid w:val="00FE3DFA"/>
    <w:rsid w:val="00FE50A0"/>
    <w:rsid w:val="00FF1C76"/>
    <w:rsid w:val="00FF48CA"/>
    <w:rsid w:val="00FF51EA"/>
  </w:rsids>
  <m:mathPr>
    <m:mathFont m:val="Cambria Math"/>
    <m:brkBin m:val="before"/>
    <m:brkBinSub m:val="--"/>
    <m:smallFrac/>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2E3B5"/>
  <w15:docId w15:val="{99001A4C-355F-4DDE-89BA-4AA26E7C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BB"/>
  </w:style>
  <w:style w:type="paragraph" w:styleId="Heading1">
    <w:name w:val="heading 1"/>
    <w:basedOn w:val="Normal"/>
    <w:next w:val="Normal"/>
    <w:link w:val="Heading1Char"/>
    <w:uiPriority w:val="9"/>
    <w:qFormat/>
    <w:rsid w:val="00553143"/>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5314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314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0634BB"/>
    <w:pPr>
      <w:keepNext/>
      <w:keepLines/>
      <w:snapToGrid w:val="0"/>
      <w:spacing w:before="480" w:after="240" w:line="300" w:lineRule="exact"/>
      <w:outlineLvl w:val="3"/>
    </w:pPr>
    <w:rPr>
      <w:rFonts w:ascii="Arial" w:eastAsia="Times New Roman" w:hAnsi="Arial" w:cs="Arial"/>
      <w:b/>
      <w:bCs/>
      <w:caps/>
      <w:sz w:val="20"/>
      <w:lang w:val="fr-FR" w:eastAsia="en-US"/>
    </w:rPr>
  </w:style>
  <w:style w:type="paragraph" w:styleId="Heading5">
    <w:name w:val="heading 5"/>
    <w:basedOn w:val="Normal"/>
    <w:next w:val="Normal"/>
    <w:link w:val="Heading5Char"/>
    <w:uiPriority w:val="9"/>
    <w:semiHidden/>
    <w:unhideWhenUsed/>
    <w:qFormat/>
    <w:rsid w:val="0055314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314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14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14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314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F7C"/>
    <w:pPr>
      <w:ind w:left="720"/>
      <w:contextualSpacing/>
    </w:pPr>
  </w:style>
  <w:style w:type="paragraph" w:customStyle="1" w:styleId="Niveauducommentaire11">
    <w:name w:val="Niveau du commentaire : 11"/>
    <w:basedOn w:val="Normal"/>
    <w:uiPriority w:val="99"/>
    <w:unhideWhenUsed/>
    <w:rsid w:val="00553143"/>
    <w:pPr>
      <w:keepNext/>
      <w:numPr>
        <w:numId w:val="1"/>
      </w:numPr>
      <w:tabs>
        <w:tab w:val="clear" w:pos="0"/>
        <w:tab w:val="num" w:pos="360"/>
      </w:tabs>
      <w:contextualSpacing/>
      <w:outlineLvl w:val="0"/>
    </w:pPr>
    <w:rPr>
      <w:rFonts w:ascii="Verdana" w:hAnsi="Verdana"/>
    </w:rPr>
  </w:style>
  <w:style w:type="paragraph" w:customStyle="1" w:styleId="Niveauducommentaire21">
    <w:name w:val="Niveau du commentaire : 21"/>
    <w:basedOn w:val="Normal"/>
    <w:uiPriority w:val="99"/>
    <w:unhideWhenUsed/>
    <w:rsid w:val="00553143"/>
    <w:pPr>
      <w:keepNext/>
      <w:numPr>
        <w:ilvl w:val="1"/>
        <w:numId w:val="1"/>
      </w:numPr>
      <w:contextualSpacing/>
      <w:outlineLvl w:val="1"/>
    </w:pPr>
    <w:rPr>
      <w:rFonts w:ascii="Verdana" w:hAnsi="Verdana"/>
    </w:rPr>
  </w:style>
  <w:style w:type="paragraph" w:customStyle="1" w:styleId="Niveauducommentaire31">
    <w:name w:val="Niveau du commentaire : 31"/>
    <w:basedOn w:val="Normal"/>
    <w:uiPriority w:val="99"/>
    <w:unhideWhenUsed/>
    <w:rsid w:val="00553143"/>
    <w:pPr>
      <w:keepNext/>
      <w:numPr>
        <w:ilvl w:val="2"/>
        <w:numId w:val="1"/>
      </w:numPr>
      <w:contextualSpacing/>
      <w:outlineLvl w:val="2"/>
    </w:pPr>
    <w:rPr>
      <w:rFonts w:ascii="Verdana" w:hAnsi="Verdana"/>
    </w:rPr>
  </w:style>
  <w:style w:type="paragraph" w:customStyle="1" w:styleId="Niveauducommentaire41">
    <w:name w:val="Niveau du commentaire : 41"/>
    <w:basedOn w:val="Normal"/>
    <w:uiPriority w:val="99"/>
    <w:unhideWhenUsed/>
    <w:rsid w:val="00553143"/>
    <w:pPr>
      <w:keepNext/>
      <w:numPr>
        <w:ilvl w:val="3"/>
        <w:numId w:val="1"/>
      </w:numPr>
      <w:contextualSpacing/>
      <w:outlineLvl w:val="3"/>
    </w:pPr>
    <w:rPr>
      <w:rFonts w:ascii="Verdana" w:hAnsi="Verdana"/>
    </w:rPr>
  </w:style>
  <w:style w:type="paragraph" w:customStyle="1" w:styleId="Niveauducommentaire51">
    <w:name w:val="Niveau du commentaire : 51"/>
    <w:basedOn w:val="Normal"/>
    <w:uiPriority w:val="99"/>
    <w:semiHidden/>
    <w:unhideWhenUsed/>
    <w:rsid w:val="00553143"/>
    <w:pPr>
      <w:keepNext/>
      <w:numPr>
        <w:ilvl w:val="4"/>
        <w:numId w:val="1"/>
      </w:numPr>
      <w:contextualSpacing/>
      <w:outlineLvl w:val="4"/>
    </w:pPr>
    <w:rPr>
      <w:rFonts w:ascii="Verdana" w:hAnsi="Verdana"/>
    </w:rPr>
  </w:style>
  <w:style w:type="paragraph" w:customStyle="1" w:styleId="Niveauducommentaire61">
    <w:name w:val="Niveau du commentaire : 61"/>
    <w:basedOn w:val="Normal"/>
    <w:uiPriority w:val="99"/>
    <w:unhideWhenUsed/>
    <w:rsid w:val="00553143"/>
    <w:pPr>
      <w:keepNext/>
      <w:numPr>
        <w:ilvl w:val="5"/>
        <w:numId w:val="1"/>
      </w:numPr>
      <w:contextualSpacing/>
      <w:outlineLvl w:val="5"/>
    </w:pPr>
    <w:rPr>
      <w:rFonts w:ascii="Verdana" w:hAnsi="Verdana"/>
    </w:rPr>
  </w:style>
  <w:style w:type="paragraph" w:customStyle="1" w:styleId="Niveauducommentaire71">
    <w:name w:val="Niveau du commentaire : 71"/>
    <w:basedOn w:val="Normal"/>
    <w:uiPriority w:val="99"/>
    <w:semiHidden/>
    <w:unhideWhenUsed/>
    <w:rsid w:val="00553143"/>
    <w:pPr>
      <w:keepNext/>
      <w:numPr>
        <w:ilvl w:val="6"/>
        <w:numId w:val="1"/>
      </w:numPr>
      <w:contextualSpacing/>
      <w:outlineLvl w:val="6"/>
    </w:pPr>
    <w:rPr>
      <w:rFonts w:ascii="Verdana" w:hAnsi="Verdana"/>
    </w:rPr>
  </w:style>
  <w:style w:type="paragraph" w:customStyle="1" w:styleId="Niveauducommentaire81">
    <w:name w:val="Niveau du commentaire : 81"/>
    <w:basedOn w:val="Normal"/>
    <w:uiPriority w:val="99"/>
    <w:semiHidden/>
    <w:unhideWhenUsed/>
    <w:rsid w:val="00553143"/>
    <w:pPr>
      <w:keepNext/>
      <w:numPr>
        <w:ilvl w:val="7"/>
        <w:numId w:val="1"/>
      </w:numPr>
      <w:contextualSpacing/>
      <w:outlineLvl w:val="7"/>
    </w:pPr>
    <w:rPr>
      <w:rFonts w:ascii="Verdana" w:hAnsi="Verdana"/>
    </w:rPr>
  </w:style>
  <w:style w:type="paragraph" w:customStyle="1" w:styleId="Niveauducommentaire91">
    <w:name w:val="Niveau du commentaire : 91"/>
    <w:basedOn w:val="Normal"/>
    <w:uiPriority w:val="99"/>
    <w:semiHidden/>
    <w:unhideWhenUsed/>
    <w:rsid w:val="00553143"/>
    <w:pPr>
      <w:keepNext/>
      <w:numPr>
        <w:ilvl w:val="8"/>
        <w:numId w:val="1"/>
      </w:numPr>
      <w:contextualSpacing/>
      <w:outlineLvl w:val="8"/>
    </w:pPr>
    <w:rPr>
      <w:rFonts w:ascii="Verdana" w:hAnsi="Verdana"/>
    </w:rPr>
  </w:style>
  <w:style w:type="character" w:customStyle="1" w:styleId="Heading1Char">
    <w:name w:val="Heading 1 Char"/>
    <w:basedOn w:val="DefaultParagraphFont"/>
    <w:link w:val="Heading1"/>
    <w:uiPriority w:val="9"/>
    <w:rsid w:val="0055314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531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3143"/>
    <w:rPr>
      <w:rFonts w:asciiTheme="majorHAnsi" w:eastAsiaTheme="majorEastAsia" w:hAnsiTheme="majorHAnsi" w:cstheme="majorBidi"/>
      <w:b/>
      <w:bCs/>
      <w:color w:val="4F81BD" w:themeColor="accent1"/>
    </w:rPr>
  </w:style>
  <w:style w:type="character" w:customStyle="1" w:styleId="Heading4Char">
    <w:name w:val="Heading 4 Char"/>
    <w:link w:val="Heading4"/>
    <w:rsid w:val="000634BB"/>
    <w:rPr>
      <w:rFonts w:ascii="Arial" w:eastAsia="Times New Roman" w:hAnsi="Arial" w:cs="Arial"/>
      <w:b/>
      <w:bCs/>
      <w:caps/>
      <w:sz w:val="20"/>
      <w:lang w:val="fr-FR" w:eastAsia="en-US"/>
    </w:rPr>
  </w:style>
  <w:style w:type="character" w:customStyle="1" w:styleId="Heading5Char">
    <w:name w:val="Heading 5 Char"/>
    <w:basedOn w:val="DefaultParagraphFont"/>
    <w:link w:val="Heading5"/>
    <w:uiPriority w:val="9"/>
    <w:semiHidden/>
    <w:rsid w:val="005531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314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531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531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5314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F38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895"/>
    <w:rPr>
      <w:rFonts w:ascii="Lucida Grande" w:hAnsi="Lucida Grande" w:cs="Lucida Grande"/>
      <w:sz w:val="18"/>
      <w:szCs w:val="18"/>
    </w:rPr>
  </w:style>
  <w:style w:type="paragraph" w:styleId="FootnoteText">
    <w:name w:val="footnote text"/>
    <w:basedOn w:val="Normal"/>
    <w:link w:val="FootnoteTextChar"/>
    <w:uiPriority w:val="99"/>
    <w:unhideWhenUsed/>
    <w:rsid w:val="00E76965"/>
    <w:rPr>
      <w:rFonts w:ascii="Arial" w:hAnsi="Arial"/>
      <w:sz w:val="16"/>
    </w:rPr>
  </w:style>
  <w:style w:type="character" w:customStyle="1" w:styleId="FootnoteTextChar">
    <w:name w:val="Footnote Text Char"/>
    <w:basedOn w:val="DefaultParagraphFont"/>
    <w:link w:val="FootnoteText"/>
    <w:uiPriority w:val="99"/>
    <w:rsid w:val="00E76965"/>
    <w:rPr>
      <w:rFonts w:ascii="Arial" w:hAnsi="Arial"/>
      <w:sz w:val="16"/>
    </w:rPr>
  </w:style>
  <w:style w:type="character" w:styleId="FootnoteReference">
    <w:name w:val="footnote reference"/>
    <w:basedOn w:val="DefaultParagraphFont"/>
    <w:uiPriority w:val="99"/>
    <w:unhideWhenUsed/>
    <w:rsid w:val="00DF3895"/>
    <w:rPr>
      <w:vertAlign w:val="superscript"/>
    </w:rPr>
  </w:style>
  <w:style w:type="paragraph" w:styleId="NormalWeb">
    <w:name w:val="Normal (Web)"/>
    <w:basedOn w:val="Normal"/>
    <w:uiPriority w:val="99"/>
    <w:unhideWhenUsed/>
    <w:rsid w:val="00DF3895"/>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DF3895"/>
    <w:rPr>
      <w:sz w:val="18"/>
      <w:szCs w:val="18"/>
    </w:rPr>
  </w:style>
  <w:style w:type="paragraph" w:styleId="CommentText">
    <w:name w:val="annotation text"/>
    <w:basedOn w:val="Normal"/>
    <w:link w:val="CommentTextChar"/>
    <w:unhideWhenUsed/>
    <w:rsid w:val="00DF3895"/>
  </w:style>
  <w:style w:type="character" w:customStyle="1" w:styleId="CommentTextChar">
    <w:name w:val="Comment Text Char"/>
    <w:basedOn w:val="DefaultParagraphFont"/>
    <w:link w:val="CommentText"/>
    <w:rsid w:val="00DF3895"/>
  </w:style>
  <w:style w:type="character" w:customStyle="1" w:styleId="st1">
    <w:name w:val="st1"/>
    <w:rsid w:val="00DF3895"/>
  </w:style>
  <w:style w:type="character" w:styleId="IntenseEmphasis">
    <w:name w:val="Intense Emphasis"/>
    <w:aliases w:val="Texte"/>
    <w:uiPriority w:val="21"/>
    <w:rsid w:val="00DF3895"/>
    <w:rPr>
      <w:rFonts w:ascii="Arial" w:hAnsi="Arial" w:cs="Arial"/>
      <w:sz w:val="22"/>
    </w:rPr>
  </w:style>
  <w:style w:type="paragraph" w:customStyle="1" w:styleId="1">
    <w:name w:val="1."/>
    <w:basedOn w:val="Normal"/>
    <w:link w:val="1Char"/>
    <w:qFormat/>
    <w:rsid w:val="00DF3895"/>
    <w:pPr>
      <w:tabs>
        <w:tab w:val="left" w:pos="680"/>
      </w:tabs>
      <w:autoSpaceDE w:val="0"/>
      <w:autoSpaceDN w:val="0"/>
      <w:adjustRightInd w:val="0"/>
      <w:spacing w:after="120"/>
      <w:ind w:left="1247" w:hanging="680"/>
    </w:pPr>
    <w:rPr>
      <w:rFonts w:ascii="Arial" w:eastAsia="SimSun" w:hAnsi="Arial" w:cs="Arial"/>
      <w:sz w:val="22"/>
      <w:szCs w:val="22"/>
      <w:lang w:val="es-ES" w:eastAsia="fr-FR"/>
    </w:rPr>
  </w:style>
  <w:style w:type="character" w:customStyle="1" w:styleId="1Char">
    <w:name w:val="1. Char"/>
    <w:link w:val="1"/>
    <w:locked/>
    <w:rsid w:val="00DF3895"/>
    <w:rPr>
      <w:rFonts w:ascii="Arial" w:eastAsia="SimSun" w:hAnsi="Arial" w:cs="Arial"/>
      <w:sz w:val="22"/>
      <w:szCs w:val="22"/>
      <w:lang w:val="es-ES" w:eastAsia="fr-FR"/>
    </w:rPr>
  </w:style>
  <w:style w:type="paragraph" w:customStyle="1" w:styleId="U1">
    <w:name w:val="U.1"/>
    <w:basedOn w:val="Normal"/>
    <w:qFormat/>
    <w:rsid w:val="00DF3895"/>
    <w:pPr>
      <w:widowControl w:val="0"/>
      <w:autoSpaceDE w:val="0"/>
      <w:autoSpaceDN w:val="0"/>
      <w:adjustRightInd w:val="0"/>
      <w:spacing w:after="120"/>
      <w:ind w:left="1814" w:hanging="567"/>
    </w:pPr>
    <w:rPr>
      <w:rFonts w:ascii="Arial" w:eastAsia="SimSun" w:hAnsi="Arial" w:cs="Arial"/>
      <w:sz w:val="22"/>
      <w:szCs w:val="22"/>
      <w:lang w:val="es-ES" w:eastAsia="fr-FR"/>
    </w:rPr>
  </w:style>
  <w:style w:type="paragraph" w:customStyle="1" w:styleId="II1">
    <w:name w:val="I.I.1"/>
    <w:basedOn w:val="Normal"/>
    <w:autoRedefine/>
    <w:qFormat/>
    <w:rsid w:val="00DF3895"/>
    <w:pPr>
      <w:keepNext/>
      <w:widowControl w:val="0"/>
      <w:tabs>
        <w:tab w:val="left" w:pos="1418"/>
      </w:tabs>
      <w:autoSpaceDE w:val="0"/>
      <w:autoSpaceDN w:val="0"/>
      <w:adjustRightInd w:val="0"/>
      <w:spacing w:after="120"/>
      <w:ind w:left="1247" w:hanging="680"/>
    </w:pPr>
    <w:rPr>
      <w:rFonts w:ascii="Arial" w:eastAsia="SimSun" w:hAnsi="Arial" w:cs="Arial"/>
      <w:sz w:val="22"/>
      <w:szCs w:val="22"/>
      <w:lang w:val="es-ES" w:eastAsia="fr-FR"/>
    </w:rPr>
  </w:style>
  <w:style w:type="character" w:styleId="Hyperlink">
    <w:name w:val="Hyperlink"/>
    <w:basedOn w:val="DefaultParagraphFont"/>
    <w:uiPriority w:val="99"/>
    <w:unhideWhenUsed/>
    <w:rsid w:val="0097629F"/>
    <w:rPr>
      <w:color w:val="0000FF" w:themeColor="hyperlink"/>
      <w:u w:val="single"/>
    </w:rPr>
  </w:style>
  <w:style w:type="paragraph" w:customStyle="1" w:styleId="Texte1">
    <w:name w:val="Texte1"/>
    <w:basedOn w:val="Normal"/>
    <w:link w:val="Texte1Car"/>
    <w:rsid w:val="000634BB"/>
    <w:pPr>
      <w:snapToGrid w:val="0"/>
      <w:spacing w:after="60" w:line="280" w:lineRule="exact"/>
      <w:ind w:left="851"/>
      <w:jc w:val="both"/>
    </w:pPr>
    <w:rPr>
      <w:rFonts w:ascii="Arial" w:eastAsia="SimSun" w:hAnsi="Arial" w:cs="Arial"/>
      <w:sz w:val="20"/>
      <w:szCs w:val="20"/>
      <w:lang w:val="en-GB" w:eastAsia="zh-CN"/>
    </w:rPr>
  </w:style>
  <w:style w:type="character" w:customStyle="1" w:styleId="Texte1Car">
    <w:name w:val="Texte1 Car"/>
    <w:link w:val="Texte1"/>
    <w:rsid w:val="000634BB"/>
    <w:rPr>
      <w:rFonts w:ascii="Arial" w:eastAsia="SimSun" w:hAnsi="Arial" w:cs="Arial"/>
      <w:sz w:val="20"/>
      <w:szCs w:val="20"/>
      <w:lang w:val="en-GB" w:eastAsia="zh-CN"/>
    </w:rPr>
  </w:style>
  <w:style w:type="paragraph" w:customStyle="1" w:styleId="Txtpucegras">
    <w:name w:val="Txtpucegras"/>
    <w:basedOn w:val="Texte1"/>
    <w:rsid w:val="00DA348E"/>
    <w:pPr>
      <w:ind w:left="0"/>
    </w:pPr>
  </w:style>
  <w:style w:type="paragraph" w:customStyle="1" w:styleId="Enutiret">
    <w:name w:val="Enutiret"/>
    <w:basedOn w:val="Texte1"/>
    <w:link w:val="EnutiretCar"/>
    <w:rsid w:val="00DA348E"/>
    <w:pPr>
      <w:numPr>
        <w:numId w:val="3"/>
      </w:numPr>
    </w:pPr>
  </w:style>
  <w:style w:type="character" w:customStyle="1" w:styleId="EnutiretCar">
    <w:name w:val="Enutiret Car"/>
    <w:basedOn w:val="Texte1Car"/>
    <w:link w:val="Enutiret"/>
    <w:rsid w:val="00DA348E"/>
    <w:rPr>
      <w:rFonts w:ascii="Arial" w:eastAsia="SimSun" w:hAnsi="Arial" w:cs="Arial"/>
      <w:sz w:val="20"/>
      <w:szCs w:val="20"/>
      <w:lang w:val="en-GB" w:eastAsia="zh-CN"/>
    </w:rPr>
  </w:style>
  <w:style w:type="paragraph" w:customStyle="1" w:styleId="Normal1">
    <w:name w:val="Normal1"/>
    <w:rsid w:val="00DA348E"/>
    <w:rPr>
      <w:rFonts w:ascii="Cambria" w:eastAsia="Cambria" w:hAnsi="Cambria" w:cs="Cambria"/>
      <w:color w:val="000000"/>
      <w:szCs w:val="20"/>
    </w:rPr>
  </w:style>
  <w:style w:type="table" w:styleId="TableGrid">
    <w:name w:val="Table Grid"/>
    <w:basedOn w:val="TableNormal"/>
    <w:uiPriority w:val="59"/>
    <w:rsid w:val="00537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34BB"/>
    <w:pPr>
      <w:tabs>
        <w:tab w:val="center" w:pos="4536"/>
        <w:tab w:val="right" w:pos="9072"/>
      </w:tabs>
    </w:pPr>
  </w:style>
  <w:style w:type="character" w:customStyle="1" w:styleId="HeaderChar">
    <w:name w:val="Header Char"/>
    <w:basedOn w:val="DefaultParagraphFont"/>
    <w:link w:val="Header"/>
    <w:uiPriority w:val="99"/>
    <w:rsid w:val="000634BB"/>
  </w:style>
  <w:style w:type="paragraph" w:styleId="Footer">
    <w:name w:val="footer"/>
    <w:basedOn w:val="Normal"/>
    <w:link w:val="FooterChar"/>
    <w:unhideWhenUsed/>
    <w:rsid w:val="000634BB"/>
    <w:pPr>
      <w:tabs>
        <w:tab w:val="center" w:pos="4536"/>
        <w:tab w:val="right" w:pos="9072"/>
      </w:tabs>
    </w:pPr>
  </w:style>
  <w:style w:type="character" w:customStyle="1" w:styleId="FooterChar">
    <w:name w:val="Footer Char"/>
    <w:basedOn w:val="DefaultParagraphFont"/>
    <w:link w:val="Footer"/>
    <w:rsid w:val="000634BB"/>
  </w:style>
  <w:style w:type="paragraph" w:customStyle="1" w:styleId="Chapitre">
    <w:name w:val="Chapitre"/>
    <w:basedOn w:val="Heading1"/>
    <w:link w:val="ChapitreCar"/>
    <w:rsid w:val="000634BB"/>
    <w:pPr>
      <w:numPr>
        <w:numId w:val="0"/>
      </w:num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0634BB"/>
    <w:rPr>
      <w:rFonts w:ascii="Arial" w:eastAsia="Times New Roman" w:hAnsi="Arial" w:cs="Arial"/>
      <w:b/>
      <w:bCs/>
      <w:caps/>
      <w:noProof/>
      <w:snapToGrid w:val="0"/>
      <w:color w:val="3366FF"/>
      <w:kern w:val="28"/>
      <w:sz w:val="70"/>
      <w:szCs w:val="70"/>
      <w:lang w:val="en-GB" w:eastAsia="zh-CN"/>
    </w:rPr>
  </w:style>
  <w:style w:type="paragraph" w:customStyle="1" w:styleId="UPlan">
    <w:name w:val="UPlan"/>
    <w:basedOn w:val="Normal"/>
    <w:link w:val="UPlanCar"/>
    <w:rsid w:val="000634BB"/>
    <w:pPr>
      <w:keepNext/>
      <w:keepLines/>
      <w:tabs>
        <w:tab w:val="left" w:pos="567"/>
      </w:tabs>
      <w:snapToGrid w:val="0"/>
      <w:spacing w:before="480" w:line="480" w:lineRule="exact"/>
      <w:outlineLvl w:val="0"/>
    </w:pPr>
    <w:rPr>
      <w:rFonts w:ascii="Arial" w:eastAsia="Times New Roman" w:hAnsi="Arial"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0634BB"/>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Title"/>
    <w:link w:val="TitcoulCar"/>
    <w:rsid w:val="000634BB"/>
    <w:pPr>
      <w:keepNext/>
      <w:widowControl w:val="0"/>
      <w:pBdr>
        <w:bottom w:val="none" w:sz="0" w:space="0" w:color="auto"/>
      </w:pBdr>
      <w:tabs>
        <w:tab w:val="left" w:pos="851"/>
      </w:tabs>
      <w:snapToGrid w:val="0"/>
      <w:spacing w:before="720" w:after="240" w:line="320" w:lineRule="exact"/>
      <w:contextualSpacing w:val="0"/>
    </w:pPr>
    <w:rPr>
      <w:rFonts w:ascii="Arial" w:eastAsia="SimSun" w:hAnsi="Arial" w:cs="Arial"/>
      <w:b/>
      <w:bCs/>
      <w:caps/>
      <w:snapToGrid w:val="0"/>
      <w:color w:val="3366FF"/>
      <w:spacing w:val="0"/>
      <w:kern w:val="0"/>
      <w:sz w:val="24"/>
      <w:szCs w:val="24"/>
      <w:lang w:val="en-US" w:eastAsia="zh-CN"/>
    </w:rPr>
  </w:style>
  <w:style w:type="character" w:customStyle="1" w:styleId="TitcoulCar">
    <w:name w:val="Titcoul Car"/>
    <w:link w:val="Titcoul"/>
    <w:rsid w:val="000634BB"/>
    <w:rPr>
      <w:rFonts w:ascii="Arial" w:eastAsia="SimSun" w:hAnsi="Arial" w:cs="Arial"/>
      <w:b/>
      <w:bCs/>
      <w:caps/>
      <w:snapToGrid w:val="0"/>
      <w:color w:val="3366FF"/>
      <w:lang w:val="en-US" w:eastAsia="zh-CN"/>
    </w:rPr>
  </w:style>
  <w:style w:type="paragraph" w:styleId="Title">
    <w:name w:val="Title"/>
    <w:basedOn w:val="Normal"/>
    <w:next w:val="Normal"/>
    <w:link w:val="TitleChar"/>
    <w:uiPriority w:val="10"/>
    <w:qFormat/>
    <w:rsid w:val="000634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34B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rsid w:val="00327769"/>
    <w:rPr>
      <w:rFonts w:ascii="Arial" w:hAnsi="Arial"/>
      <w:b w:val="0"/>
      <w:i w:val="0"/>
      <w:color w:val="auto"/>
      <w:sz w:val="16"/>
    </w:rPr>
  </w:style>
  <w:style w:type="paragraph" w:customStyle="1" w:styleId="Txtchap">
    <w:name w:val="Txtchap"/>
    <w:basedOn w:val="Normal"/>
    <w:link w:val="TxtchapCar"/>
    <w:rsid w:val="00ED58F5"/>
    <w:pPr>
      <w:keepNext/>
      <w:snapToGrid w:val="0"/>
      <w:spacing w:after="120" w:line="360" w:lineRule="exact"/>
      <w:jc w:val="both"/>
    </w:pPr>
    <w:rPr>
      <w:rFonts w:ascii="Arial" w:eastAsia="SimSun" w:hAnsi="Arial" w:cs="Arial"/>
      <w:szCs w:val="20"/>
      <w:lang w:val="fr-FR" w:eastAsia="zh-CN"/>
    </w:rPr>
  </w:style>
  <w:style w:type="paragraph" w:customStyle="1" w:styleId="Chapinfo">
    <w:name w:val="Chapinfo"/>
    <w:basedOn w:val="Txtchap"/>
    <w:link w:val="ChapinfoCar"/>
    <w:rsid w:val="00ED58F5"/>
    <w:pPr>
      <w:keepNext w:val="0"/>
      <w:spacing w:before="480" w:after="0" w:line="320" w:lineRule="exact"/>
      <w:ind w:left="567"/>
    </w:pPr>
    <w:rPr>
      <w:i/>
      <w:iCs/>
      <w:color w:val="3366FF"/>
      <w:szCs w:val="24"/>
    </w:rPr>
  </w:style>
  <w:style w:type="character" w:customStyle="1" w:styleId="ChapinfoCar">
    <w:name w:val="Chapinfo Car"/>
    <w:link w:val="Chapinfo"/>
    <w:rsid w:val="00ED58F5"/>
    <w:rPr>
      <w:rFonts w:ascii="Arial" w:eastAsia="SimSun" w:hAnsi="Arial" w:cs="Arial"/>
      <w:i/>
      <w:iCs/>
      <w:color w:val="3366FF"/>
      <w:lang w:val="fr-FR" w:eastAsia="zh-CN"/>
    </w:rPr>
  </w:style>
  <w:style w:type="paragraph" w:customStyle="1" w:styleId="Sschap">
    <w:name w:val="Sschap"/>
    <w:basedOn w:val="Normal"/>
    <w:autoRedefine/>
    <w:rsid w:val="001C08EA"/>
    <w:pPr>
      <w:keepNext/>
      <w:widowControl w:val="0"/>
      <w:snapToGrid w:val="0"/>
      <w:spacing w:before="1200" w:after="480" w:line="300" w:lineRule="exact"/>
      <w:jc w:val="both"/>
    </w:pPr>
    <w:rPr>
      <w:rFonts w:ascii="Arial" w:eastAsia="SimSun" w:hAnsi="Arial" w:cs="Arial"/>
      <w:b/>
      <w:bCs/>
      <w:lang w:eastAsia="zh-CN"/>
    </w:rPr>
  </w:style>
  <w:style w:type="character" w:customStyle="1" w:styleId="TxtchapCar">
    <w:name w:val="Txtchap Car"/>
    <w:basedOn w:val="DefaultParagraphFont"/>
    <w:link w:val="Txtchap"/>
    <w:rsid w:val="00ED58F5"/>
    <w:rPr>
      <w:rFonts w:ascii="Arial" w:eastAsia="SimSun" w:hAnsi="Arial" w:cs="Arial"/>
      <w:szCs w:val="20"/>
      <w:lang w:val="fr-FR" w:eastAsia="zh-CN"/>
    </w:rPr>
  </w:style>
  <w:style w:type="paragraph" w:styleId="CommentSubject">
    <w:name w:val="annotation subject"/>
    <w:basedOn w:val="CommentText"/>
    <w:next w:val="CommentText"/>
    <w:link w:val="CommentSubjectChar"/>
    <w:uiPriority w:val="99"/>
    <w:semiHidden/>
    <w:unhideWhenUsed/>
    <w:rsid w:val="00837EEC"/>
    <w:rPr>
      <w:b/>
      <w:bCs/>
      <w:sz w:val="20"/>
      <w:szCs w:val="20"/>
    </w:rPr>
  </w:style>
  <w:style w:type="character" w:customStyle="1" w:styleId="CommentSubjectChar">
    <w:name w:val="Comment Subject Char"/>
    <w:basedOn w:val="CommentTextChar"/>
    <w:link w:val="CommentSubject"/>
    <w:uiPriority w:val="99"/>
    <w:semiHidden/>
    <w:rsid w:val="00837EEC"/>
    <w:rPr>
      <w:b/>
      <w:bCs/>
      <w:sz w:val="20"/>
      <w:szCs w:val="20"/>
    </w:rPr>
  </w:style>
  <w:style w:type="paragraph" w:styleId="Revision">
    <w:name w:val="Revision"/>
    <w:hidden/>
    <w:uiPriority w:val="99"/>
    <w:semiHidden/>
    <w:rsid w:val="003B057F"/>
  </w:style>
  <w:style w:type="character" w:styleId="FollowedHyperlink">
    <w:name w:val="FollowedHyperlink"/>
    <w:basedOn w:val="DefaultParagraphFont"/>
    <w:uiPriority w:val="99"/>
    <w:semiHidden/>
    <w:unhideWhenUsed/>
    <w:rsid w:val="000E5D36"/>
    <w:rPr>
      <w:color w:val="800080" w:themeColor="followedHyperlink"/>
      <w:u w:val="single"/>
    </w:rPr>
  </w:style>
  <w:style w:type="paragraph" w:customStyle="1" w:styleId="footnote1">
    <w:name w:val="@footnote 1"/>
    <w:basedOn w:val="FootnoteText"/>
    <w:link w:val="footnote1Char"/>
    <w:qFormat/>
    <w:rsid w:val="002E5AD7"/>
    <w:pPr>
      <w:tabs>
        <w:tab w:val="left" w:pos="1418"/>
      </w:tabs>
      <w:ind w:left="1418" w:hanging="567"/>
    </w:pPr>
    <w:rPr>
      <w:rFonts w:eastAsia="SimSun" w:cs="Times New Roman"/>
      <w:sz w:val="18"/>
      <w:szCs w:val="20"/>
      <w:lang w:val="en-US" w:eastAsia="zh-CN"/>
    </w:rPr>
  </w:style>
  <w:style w:type="character" w:customStyle="1" w:styleId="hps">
    <w:name w:val="hps"/>
    <w:rsid w:val="002E5AD7"/>
  </w:style>
  <w:style w:type="character" w:customStyle="1" w:styleId="footnote1Char">
    <w:name w:val="@footnote 1 Char"/>
    <w:link w:val="footnote1"/>
    <w:rsid w:val="002E5AD7"/>
    <w:rPr>
      <w:rFonts w:ascii="Arial" w:eastAsia="SimSun" w:hAnsi="Arial" w:cs="Times New Roman"/>
      <w:sz w:val="18"/>
      <w:szCs w:val="20"/>
      <w:lang w:val="en-US" w:eastAsia="zh-CN"/>
    </w:rPr>
  </w:style>
  <w:style w:type="paragraph" w:customStyle="1" w:styleId="Default">
    <w:name w:val="Default"/>
    <w:rsid w:val="008E75B7"/>
    <w:pPr>
      <w:autoSpaceDE w:val="0"/>
      <w:autoSpaceDN w:val="0"/>
      <w:adjustRightInd w:val="0"/>
    </w:pPr>
    <w:rPr>
      <w:rFonts w:ascii="Times New Roman" w:hAnsi="Times New Roman" w:cs="Times New Roman"/>
      <w:color w:val="000000"/>
      <w:lang w:val="en-GB"/>
    </w:rPr>
  </w:style>
  <w:style w:type="character" w:customStyle="1" w:styleId="atn">
    <w:name w:val="atn"/>
    <w:basedOn w:val="DefaultParagraphFont"/>
    <w:rsid w:val="0058733D"/>
  </w:style>
  <w:style w:type="character" w:styleId="Strong">
    <w:name w:val="Strong"/>
    <w:basedOn w:val="DefaultParagraphFont"/>
    <w:uiPriority w:val="22"/>
    <w:qFormat/>
    <w:rsid w:val="00216786"/>
    <w:rPr>
      <w:b/>
      <w:bCs/>
    </w:rPr>
  </w:style>
  <w:style w:type="character" w:customStyle="1" w:styleId="EnutiretCarCar">
    <w:name w:val="Enutiret Car Car"/>
    <w:rsid w:val="00415F08"/>
    <w:rPr>
      <w:rFonts w:ascii="Arial" w:eastAsia="SimSun" w:hAnsi="Arial" w:cs="Arial"/>
      <w:lang w:eastAsia="zh-CN"/>
    </w:rPr>
  </w:style>
  <w:style w:type="paragraph" w:customStyle="1" w:styleId="Informations">
    <w:name w:val="Informations"/>
    <w:basedOn w:val="Normal"/>
    <w:link w:val="InformationsCar"/>
    <w:rsid w:val="00415F08"/>
    <w:pPr>
      <w:tabs>
        <w:tab w:val="left" w:pos="567"/>
      </w:tabs>
      <w:snapToGrid w:val="0"/>
      <w:spacing w:after="60" w:line="280" w:lineRule="exact"/>
      <w:ind w:left="851"/>
      <w:jc w:val="both"/>
    </w:pPr>
    <w:rPr>
      <w:rFonts w:ascii="Arial" w:eastAsia="SimSun" w:hAnsi="Arial" w:cs="Arial"/>
      <w:i/>
      <w:color w:val="3366FF"/>
      <w:sz w:val="20"/>
      <w:szCs w:val="20"/>
      <w:lang w:val="fr-FR" w:eastAsia="zh-CN"/>
    </w:rPr>
  </w:style>
  <w:style w:type="character" w:customStyle="1" w:styleId="InformationsCar">
    <w:name w:val="Informations Car"/>
    <w:link w:val="Informations"/>
    <w:rsid w:val="00415F08"/>
    <w:rPr>
      <w:rFonts w:ascii="Arial" w:eastAsia="SimSun" w:hAnsi="Arial" w:cs="Arial"/>
      <w:i/>
      <w:color w:val="3366FF"/>
      <w:sz w:val="20"/>
      <w:szCs w:val="20"/>
      <w:lang w:val="fr-FR" w:eastAsia="zh-CN"/>
    </w:rPr>
  </w:style>
  <w:style w:type="paragraph" w:customStyle="1" w:styleId="COMParabodytext">
    <w:name w:val="COM Para body text"/>
    <w:basedOn w:val="Normal"/>
    <w:qFormat/>
    <w:rsid w:val="00573BEE"/>
    <w:pPr>
      <w:numPr>
        <w:numId w:val="4"/>
      </w:numPr>
      <w:tabs>
        <w:tab w:val="left" w:pos="567"/>
      </w:tabs>
      <w:snapToGrid w:val="0"/>
      <w:spacing w:after="120"/>
      <w:ind w:left="567" w:hanging="567"/>
      <w:jc w:val="both"/>
    </w:pPr>
    <w:rPr>
      <w:rFonts w:ascii="Arial" w:eastAsia="Times New Roman" w:hAnsi="Arial" w:cs="Arial"/>
      <w:snapToGrid w:val="0"/>
      <w:sz w:val="22"/>
      <w:szCs w:val="22"/>
      <w:lang w:val="en-US" w:eastAsia="en-US"/>
    </w:rPr>
  </w:style>
  <w:style w:type="paragraph" w:customStyle="1" w:styleId="diapo2">
    <w:name w:val="diapo2"/>
    <w:basedOn w:val="Normal"/>
    <w:link w:val="diapo2Car"/>
    <w:rsid w:val="00573BEE"/>
    <w:pPr>
      <w:keepNext/>
      <w:spacing w:before="200" w:after="60" w:line="280" w:lineRule="exact"/>
      <w:jc w:val="both"/>
    </w:pPr>
    <w:rPr>
      <w:rFonts w:ascii="Arial" w:eastAsia="SimSun" w:hAnsi="Arial" w:cs="Arial"/>
      <w:b/>
      <w:noProof/>
      <w:snapToGrid w:val="0"/>
      <w:szCs w:val="22"/>
      <w:lang w:val="fr-FR" w:eastAsia="en-US"/>
    </w:rPr>
  </w:style>
  <w:style w:type="character" w:customStyle="1" w:styleId="diapo2Car">
    <w:name w:val="diapo2 Car"/>
    <w:link w:val="diapo2"/>
    <w:rsid w:val="00573BEE"/>
    <w:rPr>
      <w:rFonts w:ascii="Arial" w:eastAsia="SimSun" w:hAnsi="Arial" w:cs="Arial"/>
      <w:b/>
      <w:noProof/>
      <w:snapToGrid w:val="0"/>
      <w:szCs w:val="22"/>
      <w:lang w:val="fr-FR" w:eastAsia="en-US"/>
    </w:rPr>
  </w:style>
  <w:style w:type="paragraph" w:customStyle="1" w:styleId="Marge">
    <w:name w:val="Marge"/>
    <w:basedOn w:val="Normal"/>
    <w:rsid w:val="00A832FA"/>
    <w:pPr>
      <w:tabs>
        <w:tab w:val="left" w:pos="567"/>
      </w:tabs>
      <w:snapToGrid w:val="0"/>
      <w:spacing w:after="240"/>
      <w:jc w:val="both"/>
    </w:pPr>
    <w:rPr>
      <w:rFonts w:ascii="Arial" w:eastAsia="Times New Roman" w:hAnsi="Arial" w:cs="Times New Roman"/>
      <w:sz w:val="22"/>
      <w:lang w:val="fr-FR" w:eastAsia="fr-FR"/>
    </w:rPr>
  </w:style>
  <w:style w:type="paragraph" w:styleId="EndnoteText">
    <w:name w:val="endnote text"/>
    <w:basedOn w:val="Normal"/>
    <w:link w:val="EndnoteTextChar"/>
    <w:uiPriority w:val="99"/>
    <w:semiHidden/>
    <w:unhideWhenUsed/>
    <w:rsid w:val="00AE6B77"/>
    <w:rPr>
      <w:sz w:val="20"/>
      <w:szCs w:val="20"/>
    </w:rPr>
  </w:style>
  <w:style w:type="character" w:customStyle="1" w:styleId="EndnoteTextChar">
    <w:name w:val="Endnote Text Char"/>
    <w:basedOn w:val="DefaultParagraphFont"/>
    <w:link w:val="EndnoteText"/>
    <w:uiPriority w:val="99"/>
    <w:semiHidden/>
    <w:rsid w:val="00AE6B77"/>
    <w:rPr>
      <w:sz w:val="20"/>
      <w:szCs w:val="20"/>
    </w:rPr>
  </w:style>
  <w:style w:type="character" w:styleId="EndnoteReference">
    <w:name w:val="endnote reference"/>
    <w:basedOn w:val="DefaultParagraphFont"/>
    <w:uiPriority w:val="99"/>
    <w:semiHidden/>
    <w:unhideWhenUsed/>
    <w:rsid w:val="00AE6B77"/>
    <w:rPr>
      <w:vertAlign w:val="superscript"/>
    </w:rPr>
  </w:style>
  <w:style w:type="paragraph" w:customStyle="1" w:styleId="Soustitre">
    <w:name w:val="Soustitre"/>
    <w:basedOn w:val="diapo2"/>
    <w:link w:val="SoustitreCar"/>
    <w:qFormat/>
    <w:rsid w:val="003F43A7"/>
    <w:pPr>
      <w:jc w:val="left"/>
    </w:pPr>
    <w:rPr>
      <w:bCs/>
      <w:i/>
      <w:snapToGrid/>
      <w:sz w:val="20"/>
      <w:szCs w:val="20"/>
    </w:rPr>
  </w:style>
  <w:style w:type="character" w:customStyle="1" w:styleId="SoustitreCar">
    <w:name w:val="Soustitre Car"/>
    <w:link w:val="Soustitre"/>
    <w:rsid w:val="003F43A7"/>
    <w:rPr>
      <w:rFonts w:ascii="Arial" w:eastAsia="SimSun" w:hAnsi="Arial" w:cs="Arial"/>
      <w:b/>
      <w:bCs/>
      <w:i/>
      <w:noProof/>
      <w:sz w:val="20"/>
      <w:szCs w:val="20"/>
      <w:lang w:val="fr-FR" w:eastAsia="en-US"/>
    </w:rPr>
  </w:style>
  <w:style w:type="paragraph" w:styleId="BodyText">
    <w:name w:val="Body Text"/>
    <w:basedOn w:val="Normal"/>
    <w:link w:val="BodyTextChar"/>
    <w:rsid w:val="00854088"/>
    <w:pPr>
      <w:jc w:val="both"/>
    </w:pPr>
    <w:rPr>
      <w:rFonts w:ascii="Times New Roman" w:eastAsia="Times New Roman" w:hAnsi="Times New Roman" w:cs="Times New Roman"/>
      <w:szCs w:val="20"/>
      <w:lang w:val="pt-BR" w:eastAsia="pt-BR"/>
    </w:rPr>
  </w:style>
  <w:style w:type="character" w:customStyle="1" w:styleId="BodyTextChar">
    <w:name w:val="Body Text Char"/>
    <w:basedOn w:val="DefaultParagraphFont"/>
    <w:link w:val="BodyText"/>
    <w:rsid w:val="00854088"/>
    <w:rPr>
      <w:rFonts w:ascii="Times New Roman" w:eastAsia="Times New Roman" w:hAnsi="Times New Roman" w:cs="Times New Roman"/>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308">
      <w:bodyDiv w:val="1"/>
      <w:marLeft w:val="0"/>
      <w:marRight w:val="0"/>
      <w:marTop w:val="0"/>
      <w:marBottom w:val="0"/>
      <w:divBdr>
        <w:top w:val="none" w:sz="0" w:space="0" w:color="auto"/>
        <w:left w:val="none" w:sz="0" w:space="0" w:color="auto"/>
        <w:bottom w:val="none" w:sz="0" w:space="0" w:color="auto"/>
        <w:right w:val="none" w:sz="0" w:space="0" w:color="auto"/>
      </w:divBdr>
    </w:div>
    <w:div w:id="107507312">
      <w:bodyDiv w:val="1"/>
      <w:marLeft w:val="0"/>
      <w:marRight w:val="0"/>
      <w:marTop w:val="0"/>
      <w:marBottom w:val="0"/>
      <w:divBdr>
        <w:top w:val="none" w:sz="0" w:space="0" w:color="auto"/>
        <w:left w:val="none" w:sz="0" w:space="0" w:color="auto"/>
        <w:bottom w:val="none" w:sz="0" w:space="0" w:color="auto"/>
        <w:right w:val="none" w:sz="0" w:space="0" w:color="auto"/>
      </w:divBdr>
    </w:div>
    <w:div w:id="117182786">
      <w:bodyDiv w:val="1"/>
      <w:marLeft w:val="0"/>
      <w:marRight w:val="0"/>
      <w:marTop w:val="0"/>
      <w:marBottom w:val="0"/>
      <w:divBdr>
        <w:top w:val="none" w:sz="0" w:space="0" w:color="auto"/>
        <w:left w:val="none" w:sz="0" w:space="0" w:color="auto"/>
        <w:bottom w:val="none" w:sz="0" w:space="0" w:color="auto"/>
        <w:right w:val="none" w:sz="0" w:space="0" w:color="auto"/>
      </w:divBdr>
    </w:div>
    <w:div w:id="160243188">
      <w:bodyDiv w:val="1"/>
      <w:marLeft w:val="0"/>
      <w:marRight w:val="0"/>
      <w:marTop w:val="0"/>
      <w:marBottom w:val="0"/>
      <w:divBdr>
        <w:top w:val="none" w:sz="0" w:space="0" w:color="auto"/>
        <w:left w:val="none" w:sz="0" w:space="0" w:color="auto"/>
        <w:bottom w:val="none" w:sz="0" w:space="0" w:color="auto"/>
        <w:right w:val="none" w:sz="0" w:space="0" w:color="auto"/>
      </w:divBdr>
    </w:div>
    <w:div w:id="375353212">
      <w:bodyDiv w:val="1"/>
      <w:marLeft w:val="0"/>
      <w:marRight w:val="0"/>
      <w:marTop w:val="0"/>
      <w:marBottom w:val="0"/>
      <w:divBdr>
        <w:top w:val="none" w:sz="0" w:space="0" w:color="auto"/>
        <w:left w:val="none" w:sz="0" w:space="0" w:color="auto"/>
        <w:bottom w:val="none" w:sz="0" w:space="0" w:color="auto"/>
        <w:right w:val="none" w:sz="0" w:space="0" w:color="auto"/>
      </w:divBdr>
    </w:div>
    <w:div w:id="384138472">
      <w:bodyDiv w:val="1"/>
      <w:marLeft w:val="0"/>
      <w:marRight w:val="0"/>
      <w:marTop w:val="0"/>
      <w:marBottom w:val="0"/>
      <w:divBdr>
        <w:top w:val="none" w:sz="0" w:space="0" w:color="auto"/>
        <w:left w:val="none" w:sz="0" w:space="0" w:color="auto"/>
        <w:bottom w:val="none" w:sz="0" w:space="0" w:color="auto"/>
        <w:right w:val="none" w:sz="0" w:space="0" w:color="auto"/>
      </w:divBdr>
    </w:div>
    <w:div w:id="481167244">
      <w:bodyDiv w:val="1"/>
      <w:marLeft w:val="0"/>
      <w:marRight w:val="0"/>
      <w:marTop w:val="0"/>
      <w:marBottom w:val="0"/>
      <w:divBdr>
        <w:top w:val="none" w:sz="0" w:space="0" w:color="auto"/>
        <w:left w:val="none" w:sz="0" w:space="0" w:color="auto"/>
        <w:bottom w:val="none" w:sz="0" w:space="0" w:color="auto"/>
        <w:right w:val="none" w:sz="0" w:space="0" w:color="auto"/>
      </w:divBdr>
    </w:div>
    <w:div w:id="509835105">
      <w:bodyDiv w:val="1"/>
      <w:marLeft w:val="0"/>
      <w:marRight w:val="0"/>
      <w:marTop w:val="0"/>
      <w:marBottom w:val="0"/>
      <w:divBdr>
        <w:top w:val="none" w:sz="0" w:space="0" w:color="auto"/>
        <w:left w:val="none" w:sz="0" w:space="0" w:color="auto"/>
        <w:bottom w:val="none" w:sz="0" w:space="0" w:color="auto"/>
        <w:right w:val="none" w:sz="0" w:space="0" w:color="auto"/>
      </w:divBdr>
    </w:div>
    <w:div w:id="687222254">
      <w:bodyDiv w:val="1"/>
      <w:marLeft w:val="0"/>
      <w:marRight w:val="0"/>
      <w:marTop w:val="0"/>
      <w:marBottom w:val="0"/>
      <w:divBdr>
        <w:top w:val="none" w:sz="0" w:space="0" w:color="auto"/>
        <w:left w:val="none" w:sz="0" w:space="0" w:color="auto"/>
        <w:bottom w:val="none" w:sz="0" w:space="0" w:color="auto"/>
        <w:right w:val="none" w:sz="0" w:space="0" w:color="auto"/>
      </w:divBdr>
    </w:div>
    <w:div w:id="1014309391">
      <w:bodyDiv w:val="1"/>
      <w:marLeft w:val="0"/>
      <w:marRight w:val="0"/>
      <w:marTop w:val="0"/>
      <w:marBottom w:val="0"/>
      <w:divBdr>
        <w:top w:val="none" w:sz="0" w:space="0" w:color="auto"/>
        <w:left w:val="none" w:sz="0" w:space="0" w:color="auto"/>
        <w:bottom w:val="none" w:sz="0" w:space="0" w:color="auto"/>
        <w:right w:val="none" w:sz="0" w:space="0" w:color="auto"/>
      </w:divBdr>
      <w:divsChild>
        <w:div w:id="281544135">
          <w:marLeft w:val="0"/>
          <w:marRight w:val="0"/>
          <w:marTop w:val="0"/>
          <w:marBottom w:val="0"/>
          <w:divBdr>
            <w:top w:val="none" w:sz="0" w:space="0" w:color="auto"/>
            <w:left w:val="none" w:sz="0" w:space="0" w:color="auto"/>
            <w:bottom w:val="none" w:sz="0" w:space="0" w:color="auto"/>
            <w:right w:val="none" w:sz="0" w:space="0" w:color="auto"/>
          </w:divBdr>
          <w:divsChild>
            <w:div w:id="883249168">
              <w:marLeft w:val="0"/>
              <w:marRight w:val="0"/>
              <w:marTop w:val="0"/>
              <w:marBottom w:val="0"/>
              <w:divBdr>
                <w:top w:val="none" w:sz="0" w:space="0" w:color="auto"/>
                <w:left w:val="none" w:sz="0" w:space="0" w:color="auto"/>
                <w:bottom w:val="none" w:sz="0" w:space="0" w:color="auto"/>
                <w:right w:val="none" w:sz="0" w:space="0" w:color="auto"/>
              </w:divBdr>
              <w:divsChild>
                <w:div w:id="21589798">
                  <w:marLeft w:val="0"/>
                  <w:marRight w:val="0"/>
                  <w:marTop w:val="0"/>
                  <w:marBottom w:val="0"/>
                  <w:divBdr>
                    <w:top w:val="none" w:sz="0" w:space="0" w:color="auto"/>
                    <w:left w:val="none" w:sz="0" w:space="0" w:color="auto"/>
                    <w:bottom w:val="none" w:sz="0" w:space="0" w:color="auto"/>
                    <w:right w:val="none" w:sz="0" w:space="0" w:color="auto"/>
                  </w:divBdr>
                  <w:divsChild>
                    <w:div w:id="1040280716">
                      <w:marLeft w:val="0"/>
                      <w:marRight w:val="0"/>
                      <w:marTop w:val="0"/>
                      <w:marBottom w:val="0"/>
                      <w:divBdr>
                        <w:top w:val="none" w:sz="0" w:space="0" w:color="auto"/>
                        <w:left w:val="none" w:sz="0" w:space="0" w:color="auto"/>
                        <w:bottom w:val="none" w:sz="0" w:space="0" w:color="auto"/>
                        <w:right w:val="none" w:sz="0" w:space="0" w:color="auto"/>
                      </w:divBdr>
                    </w:div>
                    <w:div w:id="16557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50578">
      <w:bodyDiv w:val="1"/>
      <w:marLeft w:val="0"/>
      <w:marRight w:val="0"/>
      <w:marTop w:val="0"/>
      <w:marBottom w:val="0"/>
      <w:divBdr>
        <w:top w:val="none" w:sz="0" w:space="0" w:color="auto"/>
        <w:left w:val="none" w:sz="0" w:space="0" w:color="auto"/>
        <w:bottom w:val="none" w:sz="0" w:space="0" w:color="auto"/>
        <w:right w:val="none" w:sz="0" w:space="0" w:color="auto"/>
      </w:divBdr>
    </w:div>
    <w:div w:id="1335180180">
      <w:bodyDiv w:val="1"/>
      <w:marLeft w:val="0"/>
      <w:marRight w:val="0"/>
      <w:marTop w:val="0"/>
      <w:marBottom w:val="0"/>
      <w:divBdr>
        <w:top w:val="none" w:sz="0" w:space="0" w:color="auto"/>
        <w:left w:val="none" w:sz="0" w:space="0" w:color="auto"/>
        <w:bottom w:val="none" w:sz="0" w:space="0" w:color="auto"/>
        <w:right w:val="none" w:sz="0" w:space="0" w:color="auto"/>
      </w:divBdr>
    </w:div>
    <w:div w:id="1534150817">
      <w:bodyDiv w:val="1"/>
      <w:marLeft w:val="0"/>
      <w:marRight w:val="0"/>
      <w:marTop w:val="0"/>
      <w:marBottom w:val="0"/>
      <w:divBdr>
        <w:top w:val="none" w:sz="0" w:space="0" w:color="auto"/>
        <w:left w:val="none" w:sz="0" w:space="0" w:color="auto"/>
        <w:bottom w:val="none" w:sz="0" w:space="0" w:color="auto"/>
        <w:right w:val="none" w:sz="0" w:space="0" w:color="auto"/>
      </w:divBdr>
      <w:divsChild>
        <w:div w:id="1912036124">
          <w:marLeft w:val="0"/>
          <w:marRight w:val="0"/>
          <w:marTop w:val="0"/>
          <w:marBottom w:val="0"/>
          <w:divBdr>
            <w:top w:val="none" w:sz="0" w:space="0" w:color="auto"/>
            <w:left w:val="none" w:sz="0" w:space="0" w:color="auto"/>
            <w:bottom w:val="none" w:sz="0" w:space="0" w:color="auto"/>
            <w:right w:val="none" w:sz="0" w:space="0" w:color="auto"/>
          </w:divBdr>
          <w:divsChild>
            <w:div w:id="2027977549">
              <w:marLeft w:val="0"/>
              <w:marRight w:val="0"/>
              <w:marTop w:val="0"/>
              <w:marBottom w:val="0"/>
              <w:divBdr>
                <w:top w:val="none" w:sz="0" w:space="0" w:color="auto"/>
                <w:left w:val="none" w:sz="0" w:space="0" w:color="auto"/>
                <w:bottom w:val="none" w:sz="0" w:space="0" w:color="auto"/>
                <w:right w:val="none" w:sz="0" w:space="0" w:color="auto"/>
              </w:divBdr>
              <w:divsChild>
                <w:div w:id="1035470528">
                  <w:marLeft w:val="0"/>
                  <w:marRight w:val="0"/>
                  <w:marTop w:val="0"/>
                  <w:marBottom w:val="0"/>
                  <w:divBdr>
                    <w:top w:val="none" w:sz="0" w:space="0" w:color="auto"/>
                    <w:left w:val="none" w:sz="0" w:space="0" w:color="auto"/>
                    <w:bottom w:val="none" w:sz="0" w:space="0" w:color="auto"/>
                    <w:right w:val="none" w:sz="0" w:space="0" w:color="auto"/>
                  </w:divBdr>
                  <w:divsChild>
                    <w:div w:id="143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55610">
      <w:bodyDiv w:val="1"/>
      <w:marLeft w:val="0"/>
      <w:marRight w:val="0"/>
      <w:marTop w:val="0"/>
      <w:marBottom w:val="0"/>
      <w:divBdr>
        <w:top w:val="none" w:sz="0" w:space="0" w:color="auto"/>
        <w:left w:val="none" w:sz="0" w:space="0" w:color="auto"/>
        <w:bottom w:val="none" w:sz="0" w:space="0" w:color="auto"/>
        <w:right w:val="none" w:sz="0" w:space="0" w:color="auto"/>
      </w:divBdr>
    </w:div>
    <w:div w:id="1555696544">
      <w:bodyDiv w:val="1"/>
      <w:marLeft w:val="0"/>
      <w:marRight w:val="0"/>
      <w:marTop w:val="0"/>
      <w:marBottom w:val="0"/>
      <w:divBdr>
        <w:top w:val="none" w:sz="0" w:space="0" w:color="auto"/>
        <w:left w:val="none" w:sz="0" w:space="0" w:color="auto"/>
        <w:bottom w:val="none" w:sz="0" w:space="0" w:color="auto"/>
        <w:right w:val="none" w:sz="0" w:space="0" w:color="auto"/>
      </w:divBdr>
    </w:div>
    <w:div w:id="1632786809">
      <w:bodyDiv w:val="1"/>
      <w:marLeft w:val="0"/>
      <w:marRight w:val="0"/>
      <w:marTop w:val="0"/>
      <w:marBottom w:val="0"/>
      <w:divBdr>
        <w:top w:val="none" w:sz="0" w:space="0" w:color="auto"/>
        <w:left w:val="none" w:sz="0" w:space="0" w:color="auto"/>
        <w:bottom w:val="none" w:sz="0" w:space="0" w:color="auto"/>
        <w:right w:val="none" w:sz="0" w:space="0" w:color="auto"/>
      </w:divBdr>
    </w:div>
    <w:div w:id="1680085136">
      <w:bodyDiv w:val="1"/>
      <w:marLeft w:val="0"/>
      <w:marRight w:val="0"/>
      <w:marTop w:val="0"/>
      <w:marBottom w:val="0"/>
      <w:divBdr>
        <w:top w:val="none" w:sz="0" w:space="0" w:color="auto"/>
        <w:left w:val="none" w:sz="0" w:space="0" w:color="auto"/>
        <w:bottom w:val="none" w:sz="0" w:space="0" w:color="auto"/>
        <w:right w:val="none" w:sz="0" w:space="0" w:color="auto"/>
      </w:divBdr>
    </w:div>
    <w:div w:id="1706558616">
      <w:bodyDiv w:val="1"/>
      <w:marLeft w:val="0"/>
      <w:marRight w:val="0"/>
      <w:marTop w:val="0"/>
      <w:marBottom w:val="0"/>
      <w:divBdr>
        <w:top w:val="none" w:sz="0" w:space="0" w:color="auto"/>
        <w:left w:val="none" w:sz="0" w:space="0" w:color="auto"/>
        <w:bottom w:val="none" w:sz="0" w:space="0" w:color="auto"/>
        <w:right w:val="none" w:sz="0" w:space="0" w:color="auto"/>
      </w:divBdr>
    </w:div>
    <w:div w:id="1766076587">
      <w:bodyDiv w:val="1"/>
      <w:marLeft w:val="0"/>
      <w:marRight w:val="0"/>
      <w:marTop w:val="0"/>
      <w:marBottom w:val="0"/>
      <w:divBdr>
        <w:top w:val="none" w:sz="0" w:space="0" w:color="auto"/>
        <w:left w:val="none" w:sz="0" w:space="0" w:color="auto"/>
        <w:bottom w:val="none" w:sz="0" w:space="0" w:color="auto"/>
        <w:right w:val="none" w:sz="0" w:space="0" w:color="auto"/>
      </w:divBdr>
    </w:div>
    <w:div w:id="1927693341">
      <w:bodyDiv w:val="1"/>
      <w:marLeft w:val="0"/>
      <w:marRight w:val="0"/>
      <w:marTop w:val="0"/>
      <w:marBottom w:val="0"/>
      <w:divBdr>
        <w:top w:val="none" w:sz="0" w:space="0" w:color="auto"/>
        <w:left w:val="none" w:sz="0" w:space="0" w:color="auto"/>
        <w:bottom w:val="none" w:sz="0" w:space="0" w:color="auto"/>
        <w:right w:val="none" w:sz="0" w:space="0" w:color="auto"/>
      </w:divBdr>
    </w:div>
    <w:div w:id="2096437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ogota.gov.co/bog/pot-2022-20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9F286B-A904-FD45-B7AC-C022C46641C1}" type="doc">
      <dgm:prSet loTypeId="urn:microsoft.com/office/officeart/2005/8/layout/matrix2" loCatId="" qsTypeId="urn:microsoft.com/office/officeart/2005/8/quickstyle/simple1" qsCatId="simple" csTypeId="urn:microsoft.com/office/officeart/2005/8/colors/accent1_2" csCatId="accent1" phldr="1"/>
      <dgm:spPr/>
      <dgm:t>
        <a:bodyPr/>
        <a:lstStyle/>
        <a:p>
          <a:endParaRPr lang="es"/>
        </a:p>
      </dgm:t>
    </dgm:pt>
    <dgm:pt modelId="{AD8B9E9B-9E18-F04C-9606-5E0937787693}">
      <dgm:prSet phldrT="[Texto]" custT="1"/>
      <dgm:spPr>
        <a:solidFill>
          <a:schemeClr val="bg1">
            <a:lumMod val="95000"/>
          </a:schemeClr>
        </a:solidFill>
        <a:ln w="6350">
          <a:solidFill>
            <a:schemeClr val="tx1"/>
          </a:solidFill>
        </a:ln>
      </dgm:spPr>
      <dgm:t>
        <a:bodyPr/>
        <a:lstStyle/>
        <a:p>
          <a:pPr algn="l" rtl="0"/>
          <a:r>
            <a:rPr lang="es" sz="800" b="1" i="0" u="none" baseline="0">
              <a:solidFill>
                <a:schemeClr val="tx1"/>
              </a:solidFill>
            </a:rPr>
            <a:t>Estructura ecológica: </a:t>
          </a:r>
        </a:p>
        <a:p>
          <a:pPr algn="l" rtl="0"/>
          <a:r>
            <a:rPr lang="es" sz="800" b="0" i="0" u="none" baseline="0">
              <a:solidFill>
                <a:schemeClr val="tx1"/>
              </a:solidFill>
            </a:rPr>
            <a:t>Es la estructura jerárquica superior que organiza el territorio y garantiza el equilibrio ecosistémico para un modelo de ocupación sostenible. Se compone de: Sistema Nacional de Áreas Protegidas, Zonas de Conservación, Áreas de especial importancia ecosistémica y Áreas complementarias para la conservación. </a:t>
          </a:r>
        </a:p>
      </dgm:t>
    </dgm:pt>
    <dgm:pt modelId="{EEF63943-4CAA-1947-9C1D-A72FF97689CC}" type="parTrans" cxnId="{EE4B5A9E-398E-094A-AB3E-783980E36085}">
      <dgm:prSet/>
      <dgm:spPr/>
      <dgm:t>
        <a:bodyPr/>
        <a:lstStyle/>
        <a:p>
          <a:endParaRPr lang="es" sz="800"/>
        </a:p>
      </dgm:t>
    </dgm:pt>
    <dgm:pt modelId="{3E93B1E5-9D1A-3940-A019-03993869E6B5}" type="sibTrans" cxnId="{EE4B5A9E-398E-094A-AB3E-783980E36085}">
      <dgm:prSet/>
      <dgm:spPr/>
      <dgm:t>
        <a:bodyPr/>
        <a:lstStyle/>
        <a:p>
          <a:endParaRPr lang="es" sz="800"/>
        </a:p>
      </dgm:t>
    </dgm:pt>
    <dgm:pt modelId="{7C0509A3-621A-104C-80A0-AED4616605BF}">
      <dgm:prSet phldrT="[Texto]" custT="1"/>
      <dgm:spPr>
        <a:solidFill>
          <a:schemeClr val="bg1">
            <a:lumMod val="95000"/>
          </a:schemeClr>
        </a:solidFill>
        <a:ln w="6350">
          <a:solidFill>
            <a:schemeClr val="tx1"/>
          </a:solidFill>
        </a:ln>
      </dgm:spPr>
      <dgm:t>
        <a:bodyPr/>
        <a:lstStyle/>
        <a:p>
          <a:pPr algn="l" rtl="0"/>
          <a:r>
            <a:rPr lang="es" sz="800" b="1" i="0" u="none" baseline="0">
              <a:solidFill>
                <a:schemeClr val="tx1"/>
              </a:solidFill>
            </a:rPr>
            <a:t>Estructura funcional y del cuidado: </a:t>
          </a:r>
        </a:p>
        <a:p>
          <a:pPr algn="l" rtl="0"/>
          <a:r>
            <a:rPr lang="es" sz="800" b="0" i="0" u="none" baseline="0">
              <a:solidFill>
                <a:schemeClr val="tx1"/>
              </a:solidFill>
            </a:rPr>
            <a:t>Su objetivo es garantizar el equilibrio territorial en la disponibilidad de servicios relacionados con los cuidados, el espacio público y la movilidad en zonas urbanas y rurales de bajos ingresos para lograr la inclusión y la sostenibilidad económica y social. Se compone de los siguientes sistemas: Peatones y Espacio Público, Movilidad, Asistencia y Servicios Sociales, y Servicios públicos.</a:t>
          </a:r>
        </a:p>
      </dgm:t>
    </dgm:pt>
    <dgm:pt modelId="{29D779D5-DAF4-F844-B711-7D7613956A26}" type="parTrans" cxnId="{66E7D3C6-BD98-E54D-88FD-53014B5ECB46}">
      <dgm:prSet/>
      <dgm:spPr/>
      <dgm:t>
        <a:bodyPr/>
        <a:lstStyle/>
        <a:p>
          <a:endParaRPr lang="es" sz="800"/>
        </a:p>
      </dgm:t>
    </dgm:pt>
    <dgm:pt modelId="{68DF7565-51D9-FC40-9754-8CCE916CA3BE}" type="sibTrans" cxnId="{66E7D3C6-BD98-E54D-88FD-53014B5ECB46}">
      <dgm:prSet/>
      <dgm:spPr/>
      <dgm:t>
        <a:bodyPr/>
        <a:lstStyle/>
        <a:p>
          <a:endParaRPr lang="es" sz="800"/>
        </a:p>
      </dgm:t>
    </dgm:pt>
    <dgm:pt modelId="{07714424-AFA8-C54E-8150-66CFE646D35F}">
      <dgm:prSet phldrT="[Texto]" custT="1"/>
      <dgm:spPr>
        <a:solidFill>
          <a:schemeClr val="bg1">
            <a:lumMod val="95000"/>
          </a:schemeClr>
        </a:solidFill>
        <a:ln w="6350">
          <a:solidFill>
            <a:schemeClr val="tx1"/>
          </a:solidFill>
        </a:ln>
      </dgm:spPr>
      <dgm:t>
        <a:bodyPr/>
        <a:lstStyle/>
        <a:p>
          <a:pPr algn="l" rtl="0"/>
          <a:r>
            <a:rPr lang="es" sz="800" b="1" i="0" u="none" baseline="0">
              <a:solidFill>
                <a:schemeClr val="tx1"/>
              </a:solidFill>
            </a:rPr>
            <a:t>Estructura patrimonial:</a:t>
          </a:r>
        </a:p>
        <a:p>
          <a:pPr algn="l" rtl="0"/>
          <a:r>
            <a:rPr lang="es" sz="800" b="0" i="0" u="none" baseline="0">
              <a:solidFill>
                <a:schemeClr val="tx1"/>
              </a:solidFill>
              <a:latin typeface="+mn-lt"/>
              <a:ea typeface="+mn-lt"/>
              <a:cs typeface="+mn-lt"/>
            </a:rPr>
            <a:t>Integra el patrimonio que constituye la memoria de la ciudad históricamente construida y los paisajes urbanos y rurales donde se expresan las diversas identidades. </a:t>
          </a:r>
          <a:r>
            <a:rPr lang="es" sz="800" b="0" i="0" u="none" baseline="0">
              <a:solidFill>
                <a:schemeClr val="tx1"/>
              </a:solidFill>
            </a:rPr>
            <a:t>Se compone de: Patrimonio cultural, inmaterial, natural y arqueológico y paleontológico.</a:t>
          </a:r>
          <a:endParaRPr lang="es" sz="800" b="0">
            <a:solidFill>
              <a:schemeClr val="tx1"/>
            </a:solidFill>
            <a:latin typeface="+mn-lt"/>
          </a:endParaRPr>
        </a:p>
      </dgm:t>
    </dgm:pt>
    <dgm:pt modelId="{6E7BE176-858F-4F4A-821D-D6974A474059}" type="parTrans" cxnId="{B87DE068-CE95-D54A-B5C2-BE4E09BBAD78}">
      <dgm:prSet/>
      <dgm:spPr/>
      <dgm:t>
        <a:bodyPr/>
        <a:lstStyle/>
        <a:p>
          <a:endParaRPr lang="es" sz="800"/>
        </a:p>
      </dgm:t>
    </dgm:pt>
    <dgm:pt modelId="{ECEF81C2-3884-9C45-95CC-BAD89F8F614C}" type="sibTrans" cxnId="{B87DE068-CE95-D54A-B5C2-BE4E09BBAD78}">
      <dgm:prSet/>
      <dgm:spPr/>
      <dgm:t>
        <a:bodyPr/>
        <a:lstStyle/>
        <a:p>
          <a:endParaRPr lang="es" sz="800"/>
        </a:p>
      </dgm:t>
    </dgm:pt>
    <dgm:pt modelId="{C5AAB124-6E14-8145-9CDB-B3DEC4EB3D35}">
      <dgm:prSet phldrT="[Texto]" custT="1"/>
      <dgm:spPr>
        <a:solidFill>
          <a:schemeClr val="bg1">
            <a:lumMod val="95000"/>
          </a:schemeClr>
        </a:solidFill>
        <a:ln w="6350">
          <a:solidFill>
            <a:schemeClr val="tx1"/>
          </a:solidFill>
        </a:ln>
      </dgm:spPr>
      <dgm:t>
        <a:bodyPr/>
        <a:lstStyle/>
        <a:p>
          <a:pPr algn="l" rtl="0"/>
          <a:r>
            <a:rPr lang="es" sz="800" b="1" i="0" u="none" baseline="0">
              <a:solidFill>
                <a:schemeClr val="tx1"/>
              </a:solidFill>
            </a:rPr>
            <a:t>Estructura socioeconómica, creativa y de innovación:</a:t>
          </a:r>
        </a:p>
        <a:p>
          <a:pPr algn="l" rtl="0"/>
          <a:r>
            <a:rPr lang="es" sz="800" b="0" i="0" u="none" baseline="0">
              <a:solidFill>
                <a:schemeClr val="tx1"/>
              </a:solidFill>
            </a:rPr>
            <a:t>Encarna el dinamismo y la capacidad de Bogotá para reactivar su economía, proteger su conocimiento, proporcionar vivienda y crear los empleos del futuro. Se materializa a través de tres zonas de actividades y usos del suelo mixtos: Áreas de proximidad, Áreas de estructuración y Grandes áreas metropolitanas de servicios.</a:t>
          </a:r>
          <a:endParaRPr lang="es" sz="800">
            <a:solidFill>
              <a:schemeClr val="tx1"/>
            </a:solidFill>
          </a:endParaRPr>
        </a:p>
      </dgm:t>
    </dgm:pt>
    <dgm:pt modelId="{408FDA15-0D81-AA4F-9472-C682649C3C84}" type="parTrans" cxnId="{6E3FFB9B-0582-C845-BA6E-49D5D8B318AE}">
      <dgm:prSet/>
      <dgm:spPr/>
      <dgm:t>
        <a:bodyPr/>
        <a:lstStyle/>
        <a:p>
          <a:endParaRPr lang="es" sz="800"/>
        </a:p>
      </dgm:t>
    </dgm:pt>
    <dgm:pt modelId="{28F9EB17-5DDF-DE48-ABF5-C7ED26D10B63}" type="sibTrans" cxnId="{6E3FFB9B-0582-C845-BA6E-49D5D8B318AE}">
      <dgm:prSet/>
      <dgm:spPr/>
      <dgm:t>
        <a:bodyPr/>
        <a:lstStyle/>
        <a:p>
          <a:endParaRPr lang="es" sz="800"/>
        </a:p>
      </dgm:t>
    </dgm:pt>
    <dgm:pt modelId="{8356C3BA-4666-0B47-ADAD-B066BDC87907}" type="pres">
      <dgm:prSet presAssocID="{0F9F286B-A904-FD45-B7AC-C022C46641C1}" presName="matrix" presStyleCnt="0">
        <dgm:presLayoutVars>
          <dgm:chMax val="1"/>
          <dgm:dir/>
          <dgm:resizeHandles val="exact"/>
        </dgm:presLayoutVars>
      </dgm:prSet>
      <dgm:spPr/>
    </dgm:pt>
    <dgm:pt modelId="{37C71388-0D38-CC40-82F9-1265A6E25F32}" type="pres">
      <dgm:prSet presAssocID="{0F9F286B-A904-FD45-B7AC-C022C46641C1}" presName="axisShape" presStyleLbl="bgShp" presStyleIdx="0" presStyleCnt="1"/>
      <dgm:spPr>
        <a:noFill/>
        <a:ln w="6350">
          <a:solidFill>
            <a:schemeClr val="tx1"/>
          </a:solidFill>
        </a:ln>
      </dgm:spPr>
    </dgm:pt>
    <dgm:pt modelId="{6BF63F2F-AFE4-9A41-8FEC-AA054D2173E7}" type="pres">
      <dgm:prSet presAssocID="{0F9F286B-A904-FD45-B7AC-C022C46641C1}" presName="rect1" presStyleLbl="node1" presStyleIdx="0" presStyleCnt="4" custScaleX="294461" custLinFactNeighborX="-99938" custLinFactNeighborY="-4840">
        <dgm:presLayoutVars>
          <dgm:chMax val="0"/>
          <dgm:chPref val="0"/>
          <dgm:bulletEnabled val="1"/>
        </dgm:presLayoutVars>
      </dgm:prSet>
      <dgm:spPr/>
    </dgm:pt>
    <dgm:pt modelId="{8034BCA3-5D44-7E46-99EF-E1B7452B5B83}" type="pres">
      <dgm:prSet presAssocID="{0F9F286B-A904-FD45-B7AC-C022C46641C1}" presName="rect2" presStyleLbl="node1" presStyleIdx="1" presStyleCnt="4" custScaleX="292690" custLinFactNeighborX="98994" custLinFactNeighborY="-4840">
        <dgm:presLayoutVars>
          <dgm:chMax val="0"/>
          <dgm:chPref val="0"/>
          <dgm:bulletEnabled val="1"/>
        </dgm:presLayoutVars>
      </dgm:prSet>
      <dgm:spPr/>
    </dgm:pt>
    <dgm:pt modelId="{CF8B2C3C-1D99-6443-924F-CF516FA65788}" type="pres">
      <dgm:prSet presAssocID="{0F9F286B-A904-FD45-B7AC-C022C46641C1}" presName="rect3" presStyleLbl="node1" presStyleIdx="2" presStyleCnt="4" custScaleX="294461" custLinFactNeighborX="-99938" custLinFactNeighborY="4240">
        <dgm:presLayoutVars>
          <dgm:chMax val="0"/>
          <dgm:chPref val="0"/>
          <dgm:bulletEnabled val="1"/>
        </dgm:presLayoutVars>
      </dgm:prSet>
      <dgm:spPr/>
    </dgm:pt>
    <dgm:pt modelId="{D0B67B07-E861-6E4C-A4AB-425C9FFBB9B8}" type="pres">
      <dgm:prSet presAssocID="{0F9F286B-A904-FD45-B7AC-C022C46641C1}" presName="rect4" presStyleLbl="node1" presStyleIdx="3" presStyleCnt="4" custScaleX="292690" custLinFactNeighborX="98994" custLinFactNeighborY="3630">
        <dgm:presLayoutVars>
          <dgm:chMax val="0"/>
          <dgm:chPref val="0"/>
          <dgm:bulletEnabled val="1"/>
        </dgm:presLayoutVars>
      </dgm:prSet>
      <dgm:spPr/>
    </dgm:pt>
  </dgm:ptLst>
  <dgm:cxnLst>
    <dgm:cxn modelId="{414F0036-3298-174D-AF01-D9D308DD311B}" type="presOf" srcId="{AD8B9E9B-9E18-F04C-9606-5E0937787693}" destId="{6BF63F2F-AFE4-9A41-8FEC-AA054D2173E7}" srcOrd="0" destOrd="0" presId="urn:microsoft.com/office/officeart/2005/8/layout/matrix2"/>
    <dgm:cxn modelId="{B87DE068-CE95-D54A-B5C2-BE4E09BBAD78}" srcId="{0F9F286B-A904-FD45-B7AC-C022C46641C1}" destId="{07714424-AFA8-C54E-8150-66CFE646D35F}" srcOrd="2" destOrd="0" parTransId="{6E7BE176-858F-4F4A-821D-D6974A474059}" sibTransId="{ECEF81C2-3884-9C45-95CC-BAD89F8F614C}"/>
    <dgm:cxn modelId="{04125E99-B407-7B45-A752-5D426E01AF45}" type="presOf" srcId="{07714424-AFA8-C54E-8150-66CFE646D35F}" destId="{CF8B2C3C-1D99-6443-924F-CF516FA65788}" srcOrd="0" destOrd="0" presId="urn:microsoft.com/office/officeart/2005/8/layout/matrix2"/>
    <dgm:cxn modelId="{6E3FFB9B-0582-C845-BA6E-49D5D8B318AE}" srcId="{0F9F286B-A904-FD45-B7AC-C022C46641C1}" destId="{C5AAB124-6E14-8145-9CDB-B3DEC4EB3D35}" srcOrd="3" destOrd="0" parTransId="{408FDA15-0D81-AA4F-9472-C682649C3C84}" sibTransId="{28F9EB17-5DDF-DE48-ABF5-C7ED26D10B63}"/>
    <dgm:cxn modelId="{EE4B5A9E-398E-094A-AB3E-783980E36085}" srcId="{0F9F286B-A904-FD45-B7AC-C022C46641C1}" destId="{AD8B9E9B-9E18-F04C-9606-5E0937787693}" srcOrd="0" destOrd="0" parTransId="{EEF63943-4CAA-1947-9C1D-A72FF97689CC}" sibTransId="{3E93B1E5-9D1A-3940-A019-03993869E6B5}"/>
    <dgm:cxn modelId="{66E7D3C6-BD98-E54D-88FD-53014B5ECB46}" srcId="{0F9F286B-A904-FD45-B7AC-C022C46641C1}" destId="{7C0509A3-621A-104C-80A0-AED4616605BF}" srcOrd="1" destOrd="0" parTransId="{29D779D5-DAF4-F844-B711-7D7613956A26}" sibTransId="{68DF7565-51D9-FC40-9754-8CCE916CA3BE}"/>
    <dgm:cxn modelId="{26B3DCD0-F0EF-C84C-930F-D155A6A39298}" type="presOf" srcId="{C5AAB124-6E14-8145-9CDB-B3DEC4EB3D35}" destId="{D0B67B07-E861-6E4C-A4AB-425C9FFBB9B8}" srcOrd="0" destOrd="0" presId="urn:microsoft.com/office/officeart/2005/8/layout/matrix2"/>
    <dgm:cxn modelId="{D9C880E3-C77D-564A-8990-2BE3D31AF62B}" type="presOf" srcId="{7C0509A3-621A-104C-80A0-AED4616605BF}" destId="{8034BCA3-5D44-7E46-99EF-E1B7452B5B83}" srcOrd="0" destOrd="0" presId="urn:microsoft.com/office/officeart/2005/8/layout/matrix2"/>
    <dgm:cxn modelId="{251FB7EC-6FFA-F340-8294-C0CA41A9C932}" type="presOf" srcId="{0F9F286B-A904-FD45-B7AC-C022C46641C1}" destId="{8356C3BA-4666-0B47-ADAD-B066BDC87907}" srcOrd="0" destOrd="0" presId="urn:microsoft.com/office/officeart/2005/8/layout/matrix2"/>
    <dgm:cxn modelId="{B0B8A372-063F-0B45-AA8A-E89586A85435}" type="presParOf" srcId="{8356C3BA-4666-0B47-ADAD-B066BDC87907}" destId="{37C71388-0D38-CC40-82F9-1265A6E25F32}" srcOrd="0" destOrd="0" presId="urn:microsoft.com/office/officeart/2005/8/layout/matrix2"/>
    <dgm:cxn modelId="{FCB0CEF7-10CC-024E-AFFF-5C46976E9AAB}" type="presParOf" srcId="{8356C3BA-4666-0B47-ADAD-B066BDC87907}" destId="{6BF63F2F-AFE4-9A41-8FEC-AA054D2173E7}" srcOrd="1" destOrd="0" presId="urn:microsoft.com/office/officeart/2005/8/layout/matrix2"/>
    <dgm:cxn modelId="{ED113CD4-3AC1-A24C-BD45-B69B4A1889DF}" type="presParOf" srcId="{8356C3BA-4666-0B47-ADAD-B066BDC87907}" destId="{8034BCA3-5D44-7E46-99EF-E1B7452B5B83}" srcOrd="2" destOrd="0" presId="urn:microsoft.com/office/officeart/2005/8/layout/matrix2"/>
    <dgm:cxn modelId="{9079E3DF-DCBC-CA40-8B56-FD7AEEF7C2B7}" type="presParOf" srcId="{8356C3BA-4666-0B47-ADAD-B066BDC87907}" destId="{CF8B2C3C-1D99-6443-924F-CF516FA65788}" srcOrd="3" destOrd="0" presId="urn:microsoft.com/office/officeart/2005/8/layout/matrix2"/>
    <dgm:cxn modelId="{25A5A995-9DE1-AF45-949A-012646C5440C}" type="presParOf" srcId="{8356C3BA-4666-0B47-ADAD-B066BDC87907}" destId="{D0B67B07-E861-6E4C-A4AB-425C9FFBB9B8}" srcOrd="4" destOrd="0" presId="urn:microsoft.com/office/officeart/2005/8/layout/matrix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71388-0D38-CC40-82F9-1265A6E25F32}">
      <dsp:nvSpPr>
        <dsp:cNvPr id="0" name=""/>
        <dsp:cNvSpPr/>
      </dsp:nvSpPr>
      <dsp:spPr>
        <a:xfrm>
          <a:off x="1837739" y="0"/>
          <a:ext cx="2358390" cy="2358390"/>
        </a:xfrm>
        <a:prstGeom prst="quadArrow">
          <a:avLst>
            <a:gd name="adj1" fmla="val 2000"/>
            <a:gd name="adj2" fmla="val 4000"/>
            <a:gd name="adj3" fmla="val 5000"/>
          </a:avLst>
        </a:prstGeom>
        <a:noFill/>
        <a:ln w="6350">
          <a:solidFill>
            <a:schemeClr val="tx1"/>
          </a:solidFill>
        </a:ln>
        <a:effectLst/>
      </dsp:spPr>
      <dsp:style>
        <a:lnRef idx="0">
          <a:scrgbClr r="0" g="0" b="0"/>
        </a:lnRef>
        <a:fillRef idx="1">
          <a:scrgbClr r="0" g="0" b="0"/>
        </a:fillRef>
        <a:effectRef idx="0">
          <a:scrgbClr r="0" g="0" b="0"/>
        </a:effectRef>
        <a:fontRef idx="minor"/>
      </dsp:style>
    </dsp:sp>
    <dsp:sp modelId="{6BF63F2F-AFE4-9A41-8FEC-AA054D2173E7}">
      <dsp:nvSpPr>
        <dsp:cNvPr id="0" name=""/>
        <dsp:cNvSpPr/>
      </dsp:nvSpPr>
      <dsp:spPr>
        <a:xfrm>
          <a:off x="131033" y="107636"/>
          <a:ext cx="2777815" cy="943356"/>
        </a:xfrm>
        <a:prstGeom prst="roundRect">
          <a:avLst/>
        </a:prstGeom>
        <a:solidFill>
          <a:schemeClr val="bg1">
            <a:lumMod val="95000"/>
          </a:schemeClr>
        </a:solid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rtl="0">
            <a:lnSpc>
              <a:spcPct val="90000"/>
            </a:lnSpc>
            <a:spcBef>
              <a:spcPct val="0"/>
            </a:spcBef>
            <a:spcAft>
              <a:spcPct val="35000"/>
            </a:spcAft>
            <a:buNone/>
          </a:pPr>
          <a:r>
            <a:rPr lang="es" sz="800" b="1" i="0" u="none" kern="1200" baseline="0">
              <a:solidFill>
                <a:schemeClr val="tx1"/>
              </a:solidFill>
            </a:rPr>
            <a:t>Estructura ecológica: </a:t>
          </a:r>
        </a:p>
        <a:p>
          <a:pPr marL="0" lvl="0" indent="0" algn="l" defTabSz="355600" rtl="0">
            <a:lnSpc>
              <a:spcPct val="90000"/>
            </a:lnSpc>
            <a:spcBef>
              <a:spcPct val="0"/>
            </a:spcBef>
            <a:spcAft>
              <a:spcPct val="35000"/>
            </a:spcAft>
            <a:buNone/>
          </a:pPr>
          <a:r>
            <a:rPr lang="es" sz="800" b="0" i="0" u="none" kern="1200" baseline="0">
              <a:solidFill>
                <a:schemeClr val="tx1"/>
              </a:solidFill>
            </a:rPr>
            <a:t>Es la estructura jerárquica superior que organiza el territorio y garantiza el equilibrio ecosistémico para un modelo de ocupación sostenible. Se compone de: Sistema Nacional de Áreas Protegidas, Zonas de Conservación, Áreas de especial importancia ecosistémica y Áreas complementarias para la conservación. </a:t>
          </a:r>
        </a:p>
      </dsp:txBody>
      <dsp:txXfrm>
        <a:off x="177084" y="153687"/>
        <a:ext cx="2685713" cy="851254"/>
      </dsp:txXfrm>
    </dsp:sp>
    <dsp:sp modelId="{8034BCA3-5D44-7E46-99EF-E1B7452B5B83}">
      <dsp:nvSpPr>
        <dsp:cNvPr id="0" name=""/>
        <dsp:cNvSpPr/>
      </dsp:nvSpPr>
      <dsp:spPr>
        <a:xfrm>
          <a:off x="3124467" y="107636"/>
          <a:ext cx="2761108" cy="943356"/>
        </a:xfrm>
        <a:prstGeom prst="roundRect">
          <a:avLst/>
        </a:prstGeom>
        <a:solidFill>
          <a:schemeClr val="bg1">
            <a:lumMod val="95000"/>
          </a:schemeClr>
        </a:solid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rtl="0">
            <a:lnSpc>
              <a:spcPct val="90000"/>
            </a:lnSpc>
            <a:spcBef>
              <a:spcPct val="0"/>
            </a:spcBef>
            <a:spcAft>
              <a:spcPct val="35000"/>
            </a:spcAft>
            <a:buNone/>
          </a:pPr>
          <a:r>
            <a:rPr lang="es" sz="800" b="1" i="0" u="none" kern="1200" baseline="0">
              <a:solidFill>
                <a:schemeClr val="tx1"/>
              </a:solidFill>
            </a:rPr>
            <a:t>Estructura funcional y del cuidado: </a:t>
          </a:r>
        </a:p>
        <a:p>
          <a:pPr marL="0" lvl="0" indent="0" algn="l" defTabSz="355600" rtl="0">
            <a:lnSpc>
              <a:spcPct val="90000"/>
            </a:lnSpc>
            <a:spcBef>
              <a:spcPct val="0"/>
            </a:spcBef>
            <a:spcAft>
              <a:spcPct val="35000"/>
            </a:spcAft>
            <a:buNone/>
          </a:pPr>
          <a:r>
            <a:rPr lang="es" sz="800" b="0" i="0" u="none" kern="1200" baseline="0">
              <a:solidFill>
                <a:schemeClr val="tx1"/>
              </a:solidFill>
            </a:rPr>
            <a:t>Su objetivo es garantizar el equilibrio territorial en la disponibilidad de servicios relacionados con los cuidados, el espacio público y la movilidad en zonas urbanas y rurales de bajos ingresos para lograr la inclusión y la sostenibilidad económica y social. Se compone de los siguientes sistemas: Peatones y Espacio Público, Movilidad, Asistencia y Servicios Sociales, y Servicios públicos.</a:t>
          </a:r>
        </a:p>
      </dsp:txBody>
      <dsp:txXfrm>
        <a:off x="3170518" y="153687"/>
        <a:ext cx="2669006" cy="851254"/>
      </dsp:txXfrm>
    </dsp:sp>
    <dsp:sp modelId="{CF8B2C3C-1D99-6443-924F-CF516FA65788}">
      <dsp:nvSpPr>
        <dsp:cNvPr id="0" name=""/>
        <dsp:cNvSpPr/>
      </dsp:nvSpPr>
      <dsp:spPr>
        <a:xfrm>
          <a:off x="131033" y="1301736"/>
          <a:ext cx="2777815" cy="943356"/>
        </a:xfrm>
        <a:prstGeom prst="roundRect">
          <a:avLst/>
        </a:prstGeom>
        <a:solidFill>
          <a:schemeClr val="bg1">
            <a:lumMod val="95000"/>
          </a:schemeClr>
        </a:solid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rtl="0">
            <a:lnSpc>
              <a:spcPct val="90000"/>
            </a:lnSpc>
            <a:spcBef>
              <a:spcPct val="0"/>
            </a:spcBef>
            <a:spcAft>
              <a:spcPct val="35000"/>
            </a:spcAft>
            <a:buNone/>
          </a:pPr>
          <a:r>
            <a:rPr lang="es" sz="800" b="1" i="0" u="none" kern="1200" baseline="0">
              <a:solidFill>
                <a:schemeClr val="tx1"/>
              </a:solidFill>
            </a:rPr>
            <a:t>Estructura patrimonial:</a:t>
          </a:r>
        </a:p>
        <a:p>
          <a:pPr marL="0" lvl="0" indent="0" algn="l" defTabSz="355600" rtl="0">
            <a:lnSpc>
              <a:spcPct val="90000"/>
            </a:lnSpc>
            <a:spcBef>
              <a:spcPct val="0"/>
            </a:spcBef>
            <a:spcAft>
              <a:spcPct val="35000"/>
            </a:spcAft>
            <a:buNone/>
          </a:pPr>
          <a:r>
            <a:rPr lang="es" sz="800" b="0" i="0" u="none" kern="1200" baseline="0">
              <a:solidFill>
                <a:schemeClr val="tx1"/>
              </a:solidFill>
              <a:latin typeface="+mn-lt"/>
              <a:ea typeface="+mn-lt"/>
              <a:cs typeface="+mn-lt"/>
            </a:rPr>
            <a:t>Integra el patrimonio que constituye la memoria de la ciudad históricamente construida y los paisajes urbanos y rurales donde se expresan las diversas identidades. </a:t>
          </a:r>
          <a:r>
            <a:rPr lang="es" sz="800" b="0" i="0" u="none" kern="1200" baseline="0">
              <a:solidFill>
                <a:schemeClr val="tx1"/>
              </a:solidFill>
            </a:rPr>
            <a:t>Se compone de: Patrimonio cultural, inmaterial, natural y arqueológico y paleontológico.</a:t>
          </a:r>
          <a:endParaRPr lang="es" sz="800" b="0" kern="1200">
            <a:solidFill>
              <a:schemeClr val="tx1"/>
            </a:solidFill>
            <a:latin typeface="+mn-lt"/>
          </a:endParaRPr>
        </a:p>
      </dsp:txBody>
      <dsp:txXfrm>
        <a:off x="177084" y="1347787"/>
        <a:ext cx="2685713" cy="851254"/>
      </dsp:txXfrm>
    </dsp:sp>
    <dsp:sp modelId="{D0B67B07-E861-6E4C-A4AB-425C9FFBB9B8}">
      <dsp:nvSpPr>
        <dsp:cNvPr id="0" name=""/>
        <dsp:cNvSpPr/>
      </dsp:nvSpPr>
      <dsp:spPr>
        <a:xfrm>
          <a:off x="3124467" y="1295982"/>
          <a:ext cx="2761108" cy="943356"/>
        </a:xfrm>
        <a:prstGeom prst="roundRect">
          <a:avLst/>
        </a:prstGeom>
        <a:solidFill>
          <a:schemeClr val="bg1">
            <a:lumMod val="95000"/>
          </a:schemeClr>
        </a:solid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rtl="0">
            <a:lnSpc>
              <a:spcPct val="90000"/>
            </a:lnSpc>
            <a:spcBef>
              <a:spcPct val="0"/>
            </a:spcBef>
            <a:spcAft>
              <a:spcPct val="35000"/>
            </a:spcAft>
            <a:buNone/>
          </a:pPr>
          <a:r>
            <a:rPr lang="es" sz="800" b="1" i="0" u="none" kern="1200" baseline="0">
              <a:solidFill>
                <a:schemeClr val="tx1"/>
              </a:solidFill>
            </a:rPr>
            <a:t>Estructura socioeconómica, creativa y de innovación:</a:t>
          </a:r>
        </a:p>
        <a:p>
          <a:pPr marL="0" lvl="0" indent="0" algn="l" defTabSz="355600" rtl="0">
            <a:lnSpc>
              <a:spcPct val="90000"/>
            </a:lnSpc>
            <a:spcBef>
              <a:spcPct val="0"/>
            </a:spcBef>
            <a:spcAft>
              <a:spcPct val="35000"/>
            </a:spcAft>
            <a:buNone/>
          </a:pPr>
          <a:r>
            <a:rPr lang="es" sz="800" b="0" i="0" u="none" kern="1200" baseline="0">
              <a:solidFill>
                <a:schemeClr val="tx1"/>
              </a:solidFill>
            </a:rPr>
            <a:t>Encarna el dinamismo y la capacidad de Bogotá para reactivar su economía, proteger su conocimiento, proporcionar vivienda y crear los empleos del futuro. Se materializa a través de tres zonas de actividades y usos del suelo mixtos: Áreas de proximidad, Áreas de estructuración y Grandes áreas metropolitanas de servicios.</a:t>
          </a:r>
          <a:endParaRPr lang="es" sz="800" kern="1200">
            <a:solidFill>
              <a:schemeClr val="tx1"/>
            </a:solidFill>
          </a:endParaRPr>
        </a:p>
      </dsp:txBody>
      <dsp:txXfrm>
        <a:off x="3170518" y="1342033"/>
        <a:ext cx="2669006" cy="851254"/>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8BC3-AF5C-4B22-8EA1-36FE938FA3A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149</TotalTime>
  <Pages>12</Pages>
  <Words>4107</Words>
  <Characters>23412</Characters>
  <Application>Microsoft Office Word</Application>
  <DocSecurity>0</DocSecurity>
  <Lines>195</Lines>
  <Paragraphs>54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noteparticipant-fr</vt:lpstr>
      <vt:lpstr>noteparticipant-fr</vt:lpstr>
      <vt:lpstr>noteparticipant-fr</vt:lpstr>
    </vt:vector>
  </TitlesOfParts>
  <Company>Hewlett-Packard</Company>
  <LinksUpToDate>false</LinksUpToDate>
  <CharactersWithSpaces>27465</CharactersWithSpaces>
  <SharedDoc>false</SharedDoc>
  <HyperlinkBase/>
  <HLinks>
    <vt:vector size="6" baseType="variant">
      <vt:variant>
        <vt:i4>1900632</vt:i4>
      </vt:variant>
      <vt:variant>
        <vt:i4>0</vt:i4>
      </vt:variant>
      <vt:variant>
        <vt:i4>0</vt:i4>
      </vt:variant>
      <vt:variant>
        <vt:i4>5</vt:i4>
      </vt:variant>
      <vt:variant>
        <vt:lpwstr>http://www.unesco.org/culture/ich/doc/src/ITH-13-8.COM-13.a_-FR.doc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noteparticipant-fr</dc:title>
  <dc:creator>A. Cunningham</dc:creator>
  <cp:lastModifiedBy>LHE-CAP</cp:lastModifiedBy>
  <cp:revision>47</cp:revision>
  <dcterms:created xsi:type="dcterms:W3CDTF">2024-08-17T15:19:00Z</dcterms:created>
  <dcterms:modified xsi:type="dcterms:W3CDTF">2025-04-02T13:46:00Z</dcterms:modified>
</cp:coreProperties>
</file>