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F4E5A" w14:textId="77777777" w:rsidR="007F7AD7" w:rsidRDefault="007F7AD7" w:rsidP="007F7AD7">
      <w:pPr>
        <w:widowControl w:val="0"/>
        <w:autoSpaceDE w:val="0"/>
        <w:autoSpaceDN w:val="0"/>
        <w:adjustRightInd w:val="0"/>
        <w:spacing w:before="480" w:after="480"/>
        <w:contextualSpacing/>
        <w:jc w:val="both"/>
        <w:rPr>
          <w:rFonts w:asciiTheme="minorBidi" w:hAnsiTheme="minorBidi"/>
          <w:sz w:val="22"/>
          <w:szCs w:val="22"/>
          <w:lang w:val="es-ES"/>
        </w:rPr>
      </w:pPr>
      <w:bookmarkStart w:id="0" w:name="_Hlk193978193"/>
      <w:bookmarkStart w:id="1" w:name="_Toc154220417"/>
      <w:bookmarkStart w:id="2" w:name="_Toc302374671"/>
      <w:bookmarkStart w:id="3" w:name="_Toc241644684"/>
      <w:bookmarkStart w:id="4" w:name="_Hlk188636985"/>
    </w:p>
    <w:p w14:paraId="1E40388F" w14:textId="77777777" w:rsidR="003E3706" w:rsidRDefault="003E3706" w:rsidP="007F7AD7">
      <w:pPr>
        <w:widowControl w:val="0"/>
        <w:autoSpaceDE w:val="0"/>
        <w:autoSpaceDN w:val="0"/>
        <w:adjustRightInd w:val="0"/>
        <w:spacing w:before="480" w:after="480"/>
        <w:contextualSpacing/>
        <w:jc w:val="both"/>
        <w:rPr>
          <w:rFonts w:asciiTheme="minorBidi" w:hAnsiTheme="minorBidi"/>
          <w:sz w:val="22"/>
          <w:szCs w:val="22"/>
          <w:lang w:val="es-ES"/>
        </w:rPr>
      </w:pPr>
    </w:p>
    <w:p w14:paraId="7CF5D0AF" w14:textId="77777777" w:rsidR="003E3706" w:rsidRDefault="003E3706" w:rsidP="007F7AD7">
      <w:pPr>
        <w:widowControl w:val="0"/>
        <w:autoSpaceDE w:val="0"/>
        <w:autoSpaceDN w:val="0"/>
        <w:adjustRightInd w:val="0"/>
        <w:spacing w:before="480" w:after="480"/>
        <w:contextualSpacing/>
        <w:jc w:val="both"/>
        <w:rPr>
          <w:rFonts w:asciiTheme="minorBidi" w:hAnsiTheme="minorBidi"/>
          <w:sz w:val="22"/>
          <w:szCs w:val="22"/>
          <w:lang w:val="es-ES"/>
        </w:rPr>
      </w:pPr>
    </w:p>
    <w:p w14:paraId="04706CA8" w14:textId="77777777" w:rsidR="00747D57" w:rsidRDefault="00747D57" w:rsidP="007F7AD7">
      <w:pPr>
        <w:tabs>
          <w:tab w:val="left" w:pos="567"/>
        </w:tabs>
        <w:snapToGrid w:val="0"/>
        <w:spacing w:before="1440" w:after="120"/>
        <w:contextualSpacing/>
        <w:jc w:val="center"/>
        <w:rPr>
          <w:rFonts w:ascii="Arial" w:eastAsia="SimSun" w:hAnsi="Arial" w:cs="Arial"/>
          <w:b/>
          <w:snapToGrid w:val="0"/>
          <w:sz w:val="22"/>
          <w:szCs w:val="22"/>
          <w:lang w:val="es-ES" w:eastAsia="zh-CN"/>
        </w:rPr>
      </w:pPr>
      <w:bookmarkStart w:id="5" w:name="_Hlk193978097"/>
    </w:p>
    <w:p w14:paraId="490B7A24" w14:textId="1AD8A64C" w:rsidR="007F7AD7" w:rsidRPr="001165F6" w:rsidRDefault="007F7AD7" w:rsidP="007F7AD7">
      <w:pPr>
        <w:tabs>
          <w:tab w:val="left" w:pos="567"/>
        </w:tabs>
        <w:snapToGrid w:val="0"/>
        <w:spacing w:before="1440" w:after="120"/>
        <w:contextualSpacing/>
        <w:jc w:val="center"/>
        <w:rPr>
          <w:rFonts w:ascii="Arial" w:eastAsia="SimSun" w:hAnsi="Arial" w:cs="Arial"/>
          <w:b/>
          <w:snapToGrid w:val="0"/>
          <w:sz w:val="22"/>
          <w:szCs w:val="22"/>
          <w:lang w:val="es-ES" w:eastAsia="zh-CN"/>
        </w:rPr>
      </w:pPr>
      <w:r w:rsidRPr="001165F6">
        <w:rPr>
          <w:rFonts w:ascii="Arial" w:eastAsia="SimSun" w:hAnsi="Arial" w:cs="Arial"/>
          <w:b/>
          <w:snapToGrid w:val="0"/>
          <w:sz w:val="22"/>
          <w:szCs w:val="22"/>
          <w:lang w:val="es-ES" w:eastAsia="zh-CN"/>
        </w:rPr>
        <w:t>CONVENCIÓN PA</w:t>
      </w:r>
      <w:r>
        <w:rPr>
          <w:rFonts w:ascii="Arial" w:eastAsia="SimSun" w:hAnsi="Arial" w:cs="Arial"/>
          <w:b/>
          <w:snapToGrid w:val="0"/>
          <w:sz w:val="22"/>
          <w:szCs w:val="22"/>
          <w:lang w:val="es-ES" w:eastAsia="zh-CN"/>
        </w:rPr>
        <w:t>R</w:t>
      </w:r>
      <w:r w:rsidRPr="001165F6">
        <w:rPr>
          <w:rFonts w:ascii="Arial" w:eastAsia="SimSun" w:hAnsi="Arial" w:cs="Arial"/>
          <w:b/>
          <w:snapToGrid w:val="0"/>
          <w:sz w:val="22"/>
          <w:szCs w:val="22"/>
          <w:lang w:val="es-ES" w:eastAsia="zh-CN"/>
        </w:rPr>
        <w:t>A LA SALVAGUARDIA DEL</w:t>
      </w:r>
      <w:r w:rsidRPr="001165F6">
        <w:rPr>
          <w:rFonts w:ascii="Arial" w:eastAsia="SimSun" w:hAnsi="Arial" w:cs="Arial"/>
          <w:b/>
          <w:snapToGrid w:val="0"/>
          <w:sz w:val="22"/>
          <w:szCs w:val="22"/>
          <w:lang w:val="es-ES" w:eastAsia="zh-CN"/>
        </w:rPr>
        <w:br/>
        <w:t>PATRIMONIO CULTURAL INMATERIAL</w:t>
      </w:r>
    </w:p>
    <w:p w14:paraId="58599DBB" w14:textId="77777777" w:rsidR="007F7AD7" w:rsidRPr="001165F6" w:rsidRDefault="007F7AD7" w:rsidP="007F7AD7">
      <w:pPr>
        <w:tabs>
          <w:tab w:val="left" w:pos="567"/>
        </w:tabs>
        <w:snapToGrid w:val="0"/>
        <w:spacing w:before="1200" w:after="120"/>
        <w:ind w:right="-1"/>
        <w:jc w:val="center"/>
        <w:rPr>
          <w:rFonts w:ascii="Arial" w:eastAsia="Calibri" w:hAnsi="Arial" w:cs="Arial"/>
          <w:b/>
          <w:bCs/>
          <w:caps/>
          <w:snapToGrid w:val="0"/>
          <w:sz w:val="22"/>
          <w:szCs w:val="22"/>
          <w:lang w:val="es-ES" w:eastAsia="zh-CN"/>
        </w:rPr>
      </w:pPr>
      <w:bookmarkStart w:id="6" w:name="_Hlk70514086"/>
      <w:r w:rsidRPr="001165F6">
        <w:rPr>
          <w:rFonts w:ascii="Arial" w:eastAsia="Calibri" w:hAnsi="Arial" w:cs="Arial"/>
          <w:b/>
          <w:bCs/>
          <w:caps/>
          <w:snapToGrid w:val="0"/>
          <w:sz w:val="22"/>
          <w:szCs w:val="22"/>
          <w:lang w:val="es-ES" w:eastAsia="zh-CN"/>
        </w:rPr>
        <w:t>Formación de formadores sobre patrimonio vivo y desarrollo urbano sostenible</w:t>
      </w:r>
    </w:p>
    <w:p w14:paraId="0104E2EF" w14:textId="77777777" w:rsidR="007F7AD7" w:rsidRPr="001165F6" w:rsidRDefault="007F7AD7" w:rsidP="007F7AD7">
      <w:pPr>
        <w:tabs>
          <w:tab w:val="left" w:pos="567"/>
        </w:tabs>
        <w:snapToGrid w:val="0"/>
        <w:spacing w:before="1200" w:after="120"/>
        <w:ind w:right="-1"/>
        <w:jc w:val="center"/>
        <w:rPr>
          <w:rFonts w:ascii="Arial" w:eastAsia="Calibri" w:hAnsi="Arial" w:cs="Arial"/>
          <w:b/>
          <w:bCs/>
          <w:caps/>
          <w:snapToGrid w:val="0"/>
          <w:sz w:val="22"/>
          <w:szCs w:val="22"/>
          <w:lang w:val="es-ES" w:eastAsia="zh-CN"/>
        </w:rPr>
      </w:pPr>
      <w:r w:rsidRPr="001165F6">
        <w:rPr>
          <w:rFonts w:ascii="Arial" w:eastAsia="Calibri" w:hAnsi="Arial" w:cs="Arial"/>
          <w:b/>
          <w:bCs/>
          <w:caps/>
          <w:snapToGrid w:val="0"/>
          <w:sz w:val="22"/>
          <w:szCs w:val="22"/>
          <w:lang w:val="es-ES" w:eastAsia="zh-CN"/>
        </w:rPr>
        <w:t>Fortalecimiento de capacidades para comunidades resilientes a través turismo sostenible y la salvaguardia del patrimonio en América Latina y el Caribe</w:t>
      </w:r>
    </w:p>
    <w:bookmarkEnd w:id="6"/>
    <w:p w14:paraId="33828FB1" w14:textId="77777777" w:rsidR="007F7AD7" w:rsidRPr="001165F6" w:rsidRDefault="007F7AD7" w:rsidP="007F7AD7">
      <w:pPr>
        <w:tabs>
          <w:tab w:val="left" w:pos="567"/>
        </w:tabs>
        <w:snapToGrid w:val="0"/>
        <w:spacing w:before="840" w:after="120"/>
        <w:jc w:val="center"/>
        <w:rPr>
          <w:rFonts w:ascii="Arial" w:eastAsia="Calibri" w:hAnsi="Arial" w:cs="Arial"/>
          <w:b/>
          <w:bCs/>
          <w:snapToGrid w:val="0"/>
          <w:sz w:val="22"/>
          <w:szCs w:val="22"/>
          <w:lang w:val="es-ES" w:eastAsia="zh-CN"/>
        </w:rPr>
      </w:pPr>
      <w:r w:rsidRPr="001165F6">
        <w:rPr>
          <w:rFonts w:ascii="Arial" w:eastAsia="Calibri" w:hAnsi="Arial" w:cs="Arial"/>
          <w:b/>
          <w:bCs/>
          <w:snapToGrid w:val="0"/>
          <w:sz w:val="22"/>
          <w:szCs w:val="22"/>
          <w:lang w:val="es-ES" w:eastAsia="zh-CN"/>
        </w:rPr>
        <w:t>5, 7, 19, 27, 28 de marzo y 1 de abril de 2025</w:t>
      </w:r>
      <w:r w:rsidRPr="001165F6">
        <w:rPr>
          <w:rFonts w:ascii="Arial" w:eastAsia="Calibri" w:hAnsi="Arial" w:cs="Arial"/>
          <w:b/>
          <w:bCs/>
          <w:snapToGrid w:val="0"/>
          <w:sz w:val="22"/>
          <w:szCs w:val="22"/>
          <w:lang w:val="es-ES" w:eastAsia="zh-CN"/>
        </w:rPr>
        <w:br/>
        <w:t>En línea</w:t>
      </w:r>
    </w:p>
    <w:p w14:paraId="372B3A27" w14:textId="77777777" w:rsidR="00F605B7" w:rsidRDefault="00F605B7" w:rsidP="007F7AD7">
      <w:pPr>
        <w:tabs>
          <w:tab w:val="left" w:pos="567"/>
        </w:tabs>
        <w:snapToGrid w:val="0"/>
        <w:spacing w:before="840" w:after="120"/>
        <w:jc w:val="center"/>
        <w:rPr>
          <w:rFonts w:ascii="Arial" w:eastAsia="Calibri" w:hAnsi="Arial" w:cs="Arial"/>
          <w:b/>
          <w:bCs/>
          <w:snapToGrid w:val="0"/>
          <w:sz w:val="22"/>
          <w:szCs w:val="22"/>
          <w:lang w:val="es-ES" w:eastAsia="zh-CN"/>
        </w:rPr>
      </w:pPr>
      <w:r w:rsidRPr="00F605B7">
        <w:rPr>
          <w:rFonts w:ascii="Arial" w:eastAsia="Calibri" w:hAnsi="Arial" w:cs="Arial"/>
          <w:b/>
          <w:bCs/>
          <w:snapToGrid w:val="0"/>
          <w:sz w:val="22"/>
          <w:szCs w:val="22"/>
          <w:lang w:val="es-ES" w:eastAsia="zh-CN"/>
        </w:rPr>
        <w:t xml:space="preserve">Unidad 3: Abordaje práctico para la salvaguardia del patrimonio vivo en contextos urbanos          </w:t>
      </w:r>
    </w:p>
    <w:p w14:paraId="53121327" w14:textId="62A6E1A4" w:rsidR="007F7AD7" w:rsidRDefault="007F7AD7" w:rsidP="007F7AD7">
      <w:pPr>
        <w:tabs>
          <w:tab w:val="left" w:pos="567"/>
        </w:tabs>
        <w:snapToGrid w:val="0"/>
        <w:spacing w:before="840" w:after="120"/>
        <w:jc w:val="center"/>
        <w:rPr>
          <w:rFonts w:ascii="Arial" w:eastAsia="Calibri" w:hAnsi="Arial" w:cs="Arial"/>
          <w:b/>
          <w:bCs/>
          <w:snapToGrid w:val="0"/>
          <w:sz w:val="22"/>
          <w:szCs w:val="22"/>
          <w:lang w:val="es-ES" w:eastAsia="zh-CN"/>
        </w:rPr>
      </w:pPr>
      <w:r>
        <w:rPr>
          <w:rFonts w:ascii="Arial" w:eastAsia="Calibri" w:hAnsi="Arial" w:cs="Arial"/>
          <w:b/>
          <w:bCs/>
          <w:snapToGrid w:val="0"/>
          <w:sz w:val="22"/>
          <w:szCs w:val="22"/>
          <w:lang w:val="es-ES" w:eastAsia="zh-CN"/>
        </w:rPr>
        <w:t xml:space="preserve">Caso de estudio 1 </w:t>
      </w:r>
    </w:p>
    <w:bookmarkEnd w:id="5"/>
    <w:p w14:paraId="17E73F33" w14:textId="77777777" w:rsidR="007F7AD7" w:rsidRDefault="007F7AD7" w:rsidP="007F7AD7">
      <w:pPr>
        <w:widowControl w:val="0"/>
        <w:autoSpaceDE w:val="0"/>
        <w:autoSpaceDN w:val="0"/>
        <w:adjustRightInd w:val="0"/>
        <w:spacing w:before="480" w:after="480"/>
        <w:jc w:val="both"/>
        <w:rPr>
          <w:rFonts w:asciiTheme="minorBidi" w:hAnsiTheme="minorBidi"/>
          <w:sz w:val="22"/>
          <w:szCs w:val="22"/>
          <w:lang w:val="es-ES"/>
        </w:rPr>
      </w:pPr>
    </w:p>
    <w:p w14:paraId="162A424E" w14:textId="77777777" w:rsidR="007F7AD7" w:rsidRDefault="007F7AD7" w:rsidP="007F7AD7">
      <w:pPr>
        <w:widowControl w:val="0"/>
        <w:autoSpaceDE w:val="0"/>
        <w:autoSpaceDN w:val="0"/>
        <w:adjustRightInd w:val="0"/>
        <w:spacing w:before="480" w:after="480"/>
        <w:jc w:val="both"/>
        <w:rPr>
          <w:rFonts w:asciiTheme="minorBidi" w:hAnsiTheme="minorBidi"/>
          <w:sz w:val="22"/>
          <w:szCs w:val="22"/>
          <w:lang w:val="es-ES"/>
        </w:rPr>
      </w:pPr>
    </w:p>
    <w:p w14:paraId="6A260048" w14:textId="77777777" w:rsidR="007F7AD7" w:rsidRDefault="007F7AD7" w:rsidP="007F7AD7">
      <w:pPr>
        <w:widowControl w:val="0"/>
        <w:autoSpaceDE w:val="0"/>
        <w:autoSpaceDN w:val="0"/>
        <w:adjustRightInd w:val="0"/>
        <w:spacing w:before="480" w:after="480"/>
        <w:jc w:val="both"/>
        <w:rPr>
          <w:rFonts w:asciiTheme="minorBidi" w:hAnsiTheme="minorBidi"/>
          <w:sz w:val="22"/>
          <w:szCs w:val="22"/>
          <w:lang w:val="es-ES"/>
        </w:rPr>
      </w:pPr>
    </w:p>
    <w:p w14:paraId="267F43A2" w14:textId="6E3E6142" w:rsidR="007F7AD7" w:rsidRPr="001165F6" w:rsidRDefault="007F7AD7" w:rsidP="007F7AD7">
      <w:pPr>
        <w:widowControl w:val="0"/>
        <w:autoSpaceDE w:val="0"/>
        <w:autoSpaceDN w:val="0"/>
        <w:adjustRightInd w:val="0"/>
        <w:spacing w:before="480" w:after="480"/>
        <w:jc w:val="both"/>
        <w:rPr>
          <w:rFonts w:asciiTheme="minorBidi" w:hAnsiTheme="minorBidi"/>
          <w:sz w:val="22"/>
          <w:szCs w:val="22"/>
          <w:lang w:val="es-ES"/>
        </w:rPr>
      </w:pPr>
      <w:bookmarkStart w:id="7" w:name="_Hlk193978562"/>
      <w:r w:rsidRPr="001165F6">
        <w:rPr>
          <w:rFonts w:asciiTheme="minorBidi" w:hAnsiTheme="minorBidi"/>
          <w:sz w:val="22"/>
          <w:szCs w:val="22"/>
          <w:lang w:val="es-ES"/>
        </w:rPr>
        <w:lastRenderedPageBreak/>
        <w:t>© UNESCO 2025</w:t>
      </w:r>
    </w:p>
    <w:bookmarkEnd w:id="7"/>
    <w:p w14:paraId="7B526302" w14:textId="77777777" w:rsidR="007F7AD7" w:rsidRPr="001165F6" w:rsidRDefault="007F7AD7" w:rsidP="007F7AD7">
      <w:pPr>
        <w:spacing w:after="100" w:afterAutospacing="1"/>
        <w:jc w:val="both"/>
        <w:rPr>
          <w:rFonts w:asciiTheme="minorBidi" w:hAnsiTheme="minorBidi"/>
          <w:sz w:val="22"/>
          <w:szCs w:val="22"/>
          <w:lang w:val="es-ES"/>
        </w:rPr>
      </w:pPr>
      <w:r w:rsidRPr="001165F6">
        <w:rPr>
          <w:rFonts w:asciiTheme="minorBidi" w:hAnsiTheme="minorBidi"/>
          <w:sz w:val="22"/>
          <w:szCs w:val="22"/>
          <w:lang w:val="es-ES"/>
        </w:rPr>
        <w:t>Las imágenes de este documento de trabajo no están sujetas a la licencia CC-BY-SA y no pueden utilizarse, reproducirse ni comercializarse sin el permiso previo de los titulares de los derechos de autor.</w:t>
      </w:r>
    </w:p>
    <w:p w14:paraId="22AD36AB" w14:textId="77777777" w:rsidR="007F7AD7" w:rsidRPr="001165F6" w:rsidRDefault="007F7AD7" w:rsidP="007F7AD7">
      <w:pPr>
        <w:spacing w:before="100" w:beforeAutospacing="1" w:after="100" w:afterAutospacing="1"/>
        <w:jc w:val="both"/>
        <w:rPr>
          <w:rFonts w:asciiTheme="minorBidi" w:hAnsiTheme="minorBidi"/>
          <w:sz w:val="22"/>
          <w:szCs w:val="22"/>
          <w:lang w:val="es-ES"/>
        </w:rPr>
      </w:pPr>
      <w:r w:rsidRPr="001165F6">
        <w:rPr>
          <w:rFonts w:asciiTheme="minorBidi" w:hAnsiTheme="minorBidi"/>
          <w:sz w:val="22"/>
          <w:szCs w:val="22"/>
          <w:lang w:val="es-ES"/>
        </w:rPr>
        <w:t>Las denominaciones empleadas y la presentación del material en este documento de trabajo no implican la expresión de ninguna opinión por parte de la UNESCO sobre la condición jurídica de ningún país, territorio, ciudad o zona, ni de sus autoridades, ni sobre la delimitación de sus fronteras o límites.</w:t>
      </w:r>
    </w:p>
    <w:p w14:paraId="6A170A2C" w14:textId="77777777" w:rsidR="007F7AD7" w:rsidRDefault="007F7AD7" w:rsidP="007F7AD7">
      <w:pPr>
        <w:spacing w:before="100" w:beforeAutospacing="1" w:after="100" w:afterAutospacing="1"/>
        <w:jc w:val="both"/>
        <w:rPr>
          <w:rFonts w:asciiTheme="minorBidi" w:hAnsiTheme="minorBidi"/>
          <w:sz w:val="22"/>
          <w:szCs w:val="22"/>
          <w:lang w:val="es-ES"/>
        </w:rPr>
      </w:pPr>
      <w:r w:rsidRPr="001165F6">
        <w:rPr>
          <w:rFonts w:asciiTheme="minorBidi" w:hAnsiTheme="minorBidi"/>
          <w:sz w:val="22"/>
          <w:szCs w:val="22"/>
          <w:lang w:val="es-ES"/>
        </w:rPr>
        <w:t>Las ideas y opiniones expresadas en esta publicación son las de los autores; no son necesariamente las de la UNESCO y no comprometen a la Organización.</w:t>
      </w:r>
    </w:p>
    <w:bookmarkEnd w:id="0"/>
    <w:p w14:paraId="5A232AF0" w14:textId="544F3FB9" w:rsidR="007F7AD7" w:rsidRPr="00DB24F0" w:rsidRDefault="007F7AD7" w:rsidP="00DB24F0">
      <w:pPr>
        <w:rPr>
          <w:rFonts w:asciiTheme="minorBidi" w:hAnsiTheme="minorBidi"/>
          <w:sz w:val="22"/>
          <w:szCs w:val="22"/>
          <w:lang w:val="es-ES"/>
        </w:rPr>
      </w:pPr>
      <w:r>
        <w:rPr>
          <w:rFonts w:asciiTheme="minorBidi" w:hAnsiTheme="minorBidi"/>
          <w:sz w:val="22"/>
          <w:szCs w:val="22"/>
          <w:lang w:val="es-ES"/>
        </w:rPr>
        <w:br w:type="page"/>
      </w:r>
    </w:p>
    <w:p w14:paraId="3831678D" w14:textId="29526CC3" w:rsidR="00446955" w:rsidRPr="007F7AD7" w:rsidRDefault="00446955" w:rsidP="00446955">
      <w:pPr>
        <w:pStyle w:val="Chapitre"/>
        <w:keepNext w:val="0"/>
        <w:keepLines w:val="0"/>
        <w:widowControl w:val="0"/>
        <w:pBdr>
          <w:bottom w:val="single" w:sz="4" w:space="6" w:color="3366FF"/>
        </w:pBdr>
        <w:spacing w:line="240" w:lineRule="auto"/>
        <w:rPr>
          <w:lang w:val="es-ES"/>
        </w:rPr>
      </w:pPr>
      <w:r w:rsidRPr="007F7AD7">
        <w:rPr>
          <w:lang w:val="es-ES"/>
        </w:rPr>
        <w:lastRenderedPageBreak/>
        <w:t>unidad 3</w:t>
      </w:r>
      <w:bookmarkEnd w:id="1"/>
      <w:bookmarkEnd w:id="2"/>
      <w:bookmarkEnd w:id="3"/>
    </w:p>
    <w:p w14:paraId="5A5E6CCE" w14:textId="412E8116" w:rsidR="00446955" w:rsidRDefault="00446955" w:rsidP="00446955">
      <w:pPr>
        <w:jc w:val="both"/>
        <w:rPr>
          <w:rFonts w:ascii="Arial" w:eastAsia="Times New Roman" w:hAnsi="Arial" w:cs="Arial"/>
          <w:b/>
          <w:bCs/>
          <w:caps/>
          <w:noProof/>
          <w:snapToGrid w:val="0"/>
          <w:color w:val="3366FF"/>
          <w:kern w:val="28"/>
          <w:sz w:val="32"/>
          <w:szCs w:val="32"/>
          <w:lang w:val="es-ES" w:eastAsia="zh-CN"/>
        </w:rPr>
      </w:pPr>
      <w:r>
        <w:rPr>
          <w:rFonts w:ascii="Arial" w:eastAsia="Times New Roman" w:hAnsi="Arial" w:cs="Arial"/>
          <w:b/>
          <w:bCs/>
          <w:caps/>
          <w:noProof/>
          <w:snapToGrid w:val="0"/>
          <w:color w:val="3366FF"/>
          <w:kern w:val="28"/>
          <w:sz w:val="32"/>
          <w:szCs w:val="32"/>
          <w:lang w:val="es-ES" w:eastAsia="zh-CN"/>
        </w:rPr>
        <w:t>CASO DE ESTUDIO 1</w:t>
      </w:r>
      <w:r w:rsidRPr="00405422">
        <w:rPr>
          <w:rFonts w:ascii="Arial" w:eastAsia="Times New Roman" w:hAnsi="Arial" w:cs="Arial"/>
          <w:b/>
          <w:bCs/>
          <w:caps/>
          <w:noProof/>
          <w:snapToGrid w:val="0"/>
          <w:color w:val="3366FF"/>
          <w:kern w:val="28"/>
          <w:sz w:val="32"/>
          <w:szCs w:val="32"/>
          <w:lang w:val="es-ES" w:eastAsia="zh-CN"/>
        </w:rPr>
        <w:t xml:space="preserve">. </w:t>
      </w:r>
      <w:r>
        <w:rPr>
          <w:rFonts w:ascii="Arial" w:eastAsia="Times New Roman" w:hAnsi="Arial" w:cs="Arial"/>
          <w:b/>
          <w:bCs/>
          <w:caps/>
          <w:noProof/>
          <w:snapToGrid w:val="0"/>
          <w:color w:val="3366FF"/>
          <w:kern w:val="28"/>
          <w:sz w:val="32"/>
          <w:szCs w:val="32"/>
          <w:lang w:val="es-ES" w:eastAsia="zh-CN"/>
        </w:rPr>
        <w:t>SINGAPUR. PLAN MAESTRO DE SINGAPUR, 2019</w:t>
      </w:r>
    </w:p>
    <w:p w14:paraId="72AAEC99" w14:textId="77777777" w:rsidR="00446955" w:rsidRPr="00405422" w:rsidRDefault="00446955" w:rsidP="00446955">
      <w:pPr>
        <w:jc w:val="both"/>
        <w:rPr>
          <w:rFonts w:ascii="Arial" w:eastAsia="Times New Roman" w:hAnsi="Arial" w:cs="Arial"/>
          <w:b/>
          <w:bCs/>
          <w:caps/>
          <w:noProof/>
          <w:snapToGrid w:val="0"/>
          <w:color w:val="3366FF"/>
          <w:kern w:val="28"/>
          <w:sz w:val="32"/>
          <w:szCs w:val="32"/>
          <w:lang w:val="es-ES" w:eastAsia="zh-CN"/>
        </w:rPr>
      </w:pPr>
    </w:p>
    <w:bookmarkEnd w:id="4"/>
    <w:p w14:paraId="7E0A862F" w14:textId="073AFCEB" w:rsidR="002B64E6" w:rsidRPr="007F7AD7" w:rsidRDefault="007D2FF7" w:rsidP="007F7AD7">
      <w:pPr>
        <w:pStyle w:val="Texte1"/>
        <w:numPr>
          <w:ilvl w:val="0"/>
          <w:numId w:val="5"/>
        </w:numPr>
        <w:spacing w:line="276" w:lineRule="auto"/>
        <w:rPr>
          <w:color w:val="2F51F1"/>
        </w:rPr>
      </w:pPr>
      <w:r w:rsidRPr="007F7AD7">
        <w:rPr>
          <w:b/>
          <w:bCs/>
          <w:color w:val="2F51F1"/>
          <w:lang w:val="es"/>
        </w:rPr>
        <w:t>INTRODUCCIÓN</w:t>
      </w:r>
    </w:p>
    <w:p w14:paraId="515C55C3" w14:textId="77777777" w:rsidR="001D7653" w:rsidRPr="007F7AD7" w:rsidRDefault="001D7653" w:rsidP="007F7AD7">
      <w:pPr>
        <w:pStyle w:val="Texte1"/>
        <w:spacing w:line="276" w:lineRule="auto"/>
        <w:ind w:left="0"/>
      </w:pPr>
    </w:p>
    <w:p w14:paraId="571603AF" w14:textId="77777777" w:rsidR="007D2FF7" w:rsidRPr="007F7AD7" w:rsidRDefault="007D2FF7" w:rsidP="007F7AD7">
      <w:pPr>
        <w:spacing w:line="276" w:lineRule="auto"/>
        <w:jc w:val="both"/>
        <w:rPr>
          <w:rFonts w:ascii="Arial" w:hAnsi="Arial" w:cs="Arial"/>
          <w:sz w:val="20"/>
          <w:szCs w:val="20"/>
        </w:rPr>
      </w:pPr>
      <w:r w:rsidRPr="007F7AD7">
        <w:rPr>
          <w:rFonts w:ascii="Arial" w:hAnsi="Arial" w:cs="Arial"/>
          <w:sz w:val="20"/>
          <w:szCs w:val="20"/>
          <w:lang w:val="es"/>
        </w:rPr>
        <w:t>Singapur, ciudad-estado insular situada en el sudeste asiático, tiene una población aproximada de 5,7 millones de habitantes y es una de las ciudades más densamente pobladas del mundo. Su situación geográfica la convierte en un centro neurálgico para el comercio, la navegación, el turismo y el intercambio cultural</w:t>
      </w:r>
      <w:r w:rsidRPr="007F7AD7">
        <w:rPr>
          <w:rStyle w:val="FootnoteReference"/>
          <w:rFonts w:ascii="Arial" w:hAnsi="Arial" w:cs="Arial"/>
          <w:sz w:val="20"/>
          <w:szCs w:val="20"/>
          <w:lang w:val="es"/>
        </w:rPr>
        <w:footnoteReference w:id="1"/>
      </w:r>
      <w:r w:rsidRPr="007F7AD7">
        <w:rPr>
          <w:rFonts w:ascii="Arial" w:hAnsi="Arial" w:cs="Arial"/>
          <w:sz w:val="20"/>
          <w:szCs w:val="20"/>
          <w:lang w:val="es"/>
        </w:rPr>
        <w:t>. Además, sus vínculos con la región y el mundo han influido en la diversidad de su patrimonio cultural, originario de países como China, India y Malasia, de donde la afluencia de personas ha aportado un patrimonio cultural diverso que refleja la identidad multicultural del país</w:t>
      </w:r>
      <w:r w:rsidRPr="007F7AD7">
        <w:rPr>
          <w:rStyle w:val="FootnoteReference"/>
          <w:rFonts w:ascii="Arial" w:hAnsi="Arial" w:cs="Arial"/>
          <w:sz w:val="20"/>
          <w:szCs w:val="20"/>
          <w:lang w:val="es"/>
        </w:rPr>
        <w:footnoteReference w:id="2"/>
      </w:r>
      <w:r w:rsidRPr="007F7AD7">
        <w:rPr>
          <w:rFonts w:ascii="Arial" w:hAnsi="Arial" w:cs="Arial"/>
          <w:sz w:val="20"/>
          <w:szCs w:val="20"/>
          <w:lang w:val="es"/>
        </w:rPr>
        <w:t xml:space="preserve">. </w:t>
      </w:r>
    </w:p>
    <w:p w14:paraId="02982BD7" w14:textId="77777777" w:rsidR="007D2FF7" w:rsidRPr="007F7AD7" w:rsidRDefault="007D2FF7" w:rsidP="007F7AD7">
      <w:pPr>
        <w:spacing w:line="276" w:lineRule="auto"/>
        <w:jc w:val="both"/>
        <w:rPr>
          <w:rFonts w:ascii="Arial" w:hAnsi="Arial" w:cs="Arial"/>
          <w:sz w:val="20"/>
          <w:szCs w:val="20"/>
        </w:rPr>
      </w:pPr>
    </w:p>
    <w:p w14:paraId="22D693B9" w14:textId="77777777" w:rsidR="007D2FF7" w:rsidRPr="007F7AD7" w:rsidRDefault="007D2FF7" w:rsidP="007F7AD7">
      <w:pPr>
        <w:spacing w:line="276" w:lineRule="auto"/>
        <w:jc w:val="both"/>
        <w:rPr>
          <w:rFonts w:ascii="Arial" w:hAnsi="Arial" w:cs="Arial"/>
          <w:sz w:val="20"/>
          <w:szCs w:val="20"/>
        </w:rPr>
      </w:pPr>
      <w:r w:rsidRPr="007F7AD7">
        <w:rPr>
          <w:rFonts w:ascii="Arial" w:hAnsi="Arial" w:cs="Arial"/>
          <w:sz w:val="20"/>
          <w:szCs w:val="20"/>
          <w:lang w:val="es"/>
        </w:rPr>
        <w:t>En este sentido, Singapur se planificó con zonas étnicas que reflejaban la composición multiétnica de su población, como Chinatown, Kampong Glam y Little India. Además, la nación ha hecho un buen trabajo para preservar su patrimonio construido -más de 7 000 edificios han sido protegidos y restaurados-, mientras que muchos edificios patrimoniales individuales han sido declarados monumentos nacionales y se han creado zonas patrimoniales con controles especiales de desarrollo</w:t>
      </w:r>
      <w:r w:rsidRPr="007F7AD7">
        <w:rPr>
          <w:rStyle w:val="FootnoteReference"/>
          <w:rFonts w:ascii="Arial" w:hAnsi="Arial" w:cs="Arial"/>
          <w:sz w:val="20"/>
          <w:szCs w:val="20"/>
          <w:lang w:val="es"/>
        </w:rPr>
        <w:footnoteReference w:id="3"/>
      </w:r>
      <w:r w:rsidRPr="007F7AD7">
        <w:rPr>
          <w:rFonts w:ascii="Arial" w:hAnsi="Arial" w:cs="Arial"/>
          <w:sz w:val="20"/>
          <w:szCs w:val="20"/>
          <w:lang w:val="es"/>
        </w:rPr>
        <w:t xml:space="preserve">. Singapur ha adoptado un modelo de planificación que pretende proteger su patrimonio construido y conservar y potenciar su identidad local y las prácticas culturales inmateriales conexas. </w:t>
      </w:r>
    </w:p>
    <w:p w14:paraId="1CEDF807" w14:textId="77777777" w:rsidR="007D2FF7" w:rsidRPr="007F7AD7" w:rsidRDefault="007D2FF7" w:rsidP="007F7AD7">
      <w:pPr>
        <w:spacing w:line="276" w:lineRule="auto"/>
        <w:jc w:val="both"/>
        <w:rPr>
          <w:rFonts w:ascii="Arial" w:hAnsi="Arial" w:cs="Arial"/>
          <w:sz w:val="20"/>
          <w:szCs w:val="20"/>
        </w:rPr>
      </w:pPr>
    </w:p>
    <w:p w14:paraId="7050EA86" w14:textId="77777777" w:rsidR="007D2FF7" w:rsidRPr="007F7AD7" w:rsidRDefault="007D2FF7" w:rsidP="007F7AD7">
      <w:pPr>
        <w:spacing w:line="276" w:lineRule="auto"/>
        <w:jc w:val="both"/>
        <w:rPr>
          <w:rFonts w:ascii="Arial" w:hAnsi="Arial" w:cs="Arial"/>
          <w:sz w:val="20"/>
          <w:szCs w:val="20"/>
        </w:rPr>
      </w:pPr>
      <w:r w:rsidRPr="007F7AD7">
        <w:rPr>
          <w:rFonts w:ascii="Arial" w:hAnsi="Arial" w:cs="Arial"/>
          <w:sz w:val="20"/>
          <w:szCs w:val="20"/>
          <w:lang w:val="es"/>
        </w:rPr>
        <w:t xml:space="preserve">Con ese objetivo, el país ha adoptado un planteamiento de planificación global a largo plazo destinado a equilibrar las consideraciones sociales, económicas y medioambientales del desarrollo urbano. El sistema actual de planificación urbana consta de dos instrumentos principales: </w:t>
      </w:r>
    </w:p>
    <w:p w14:paraId="6B42098B" w14:textId="77777777" w:rsidR="007D2FF7" w:rsidRPr="007F7AD7" w:rsidRDefault="007D2FF7" w:rsidP="007F7AD7">
      <w:pPr>
        <w:spacing w:line="276" w:lineRule="auto"/>
        <w:jc w:val="both"/>
        <w:rPr>
          <w:rFonts w:ascii="Arial" w:hAnsi="Arial" w:cs="Arial"/>
          <w:sz w:val="20"/>
          <w:szCs w:val="20"/>
        </w:rPr>
      </w:pPr>
    </w:p>
    <w:p w14:paraId="5F7504DE" w14:textId="77777777" w:rsidR="007D2FF7" w:rsidRPr="007F7AD7" w:rsidRDefault="007D2FF7" w:rsidP="007F7AD7">
      <w:pPr>
        <w:pStyle w:val="ListParagraph"/>
        <w:numPr>
          <w:ilvl w:val="0"/>
          <w:numId w:val="10"/>
        </w:numPr>
        <w:spacing w:line="276" w:lineRule="auto"/>
        <w:jc w:val="both"/>
        <w:rPr>
          <w:rFonts w:ascii="Arial" w:hAnsi="Arial" w:cs="Arial"/>
          <w:sz w:val="20"/>
          <w:szCs w:val="20"/>
        </w:rPr>
      </w:pPr>
      <w:r w:rsidRPr="007F7AD7">
        <w:rPr>
          <w:rFonts w:ascii="Arial" w:hAnsi="Arial" w:cs="Arial"/>
          <w:b/>
          <w:bCs/>
          <w:sz w:val="20"/>
          <w:szCs w:val="20"/>
          <w:lang w:val="es"/>
        </w:rPr>
        <w:t>Plan a largo plazo:</w:t>
      </w:r>
      <w:r w:rsidRPr="007F7AD7">
        <w:rPr>
          <w:rFonts w:ascii="Arial" w:hAnsi="Arial" w:cs="Arial"/>
          <w:sz w:val="20"/>
          <w:szCs w:val="20"/>
          <w:lang w:val="es"/>
        </w:rPr>
        <w:t xml:space="preserve"> Traza los usos estratégicos del suelo y las necesidades de infraestructuras para los próximos 50 años. Se revisa cada 10 años con el fin de salvaguardar el suelo para un entorno de vida de calidad, basándose en la evolución de las tendencias y las demandas cambiantes. Las intenciones del Plan a largo plazo se traducen en planes detallados de utilización del suelo para las distintas zonas de planificación hasta formar el Plan Maestro. La última revisión del plan a largo plazo finalizó en 2021.</w:t>
      </w:r>
    </w:p>
    <w:p w14:paraId="27489DBB" w14:textId="77777777" w:rsidR="007D2FF7" w:rsidRPr="007F7AD7" w:rsidRDefault="007D2FF7" w:rsidP="007F7AD7">
      <w:pPr>
        <w:spacing w:line="276" w:lineRule="auto"/>
        <w:jc w:val="both"/>
        <w:rPr>
          <w:rFonts w:ascii="Arial" w:hAnsi="Arial" w:cs="Arial"/>
          <w:sz w:val="20"/>
          <w:szCs w:val="20"/>
        </w:rPr>
      </w:pPr>
    </w:p>
    <w:p w14:paraId="27D7C3AF" w14:textId="77777777" w:rsidR="007D2FF7" w:rsidRPr="007F7AD7" w:rsidRDefault="007D2FF7" w:rsidP="007F7AD7">
      <w:pPr>
        <w:pStyle w:val="ListParagraph"/>
        <w:numPr>
          <w:ilvl w:val="0"/>
          <w:numId w:val="10"/>
        </w:numPr>
        <w:spacing w:line="276" w:lineRule="auto"/>
        <w:jc w:val="both"/>
        <w:rPr>
          <w:rFonts w:ascii="Arial" w:hAnsi="Arial" w:cs="Arial"/>
          <w:sz w:val="20"/>
          <w:szCs w:val="20"/>
        </w:rPr>
      </w:pPr>
      <w:r w:rsidRPr="007F7AD7">
        <w:rPr>
          <w:rFonts w:ascii="Arial" w:hAnsi="Arial" w:cs="Arial"/>
          <w:b/>
          <w:bCs/>
          <w:sz w:val="20"/>
          <w:szCs w:val="20"/>
          <w:lang w:val="es"/>
        </w:rPr>
        <w:t>Plan Maestro:</w:t>
      </w:r>
      <w:r w:rsidRPr="007F7AD7">
        <w:rPr>
          <w:rFonts w:ascii="Arial" w:hAnsi="Arial" w:cs="Arial"/>
          <w:sz w:val="20"/>
          <w:szCs w:val="20"/>
          <w:lang w:val="es"/>
        </w:rPr>
        <w:t xml:space="preserve"> Es el plan legal de uso del suelo que guía el desarrollo de Singapur en un periodo de 10 a 15 años. Se revisa cada 5 años y traduce las estrategias generales a largo plazo del Plan a largo plazo en planes detallados para orientar el desarrollo de terrenos y propiedades. El Plan Maestro muestra el uso del suelo y la densidad permitidos para la </w:t>
      </w:r>
      <w:r w:rsidRPr="007F7AD7">
        <w:rPr>
          <w:rFonts w:ascii="Arial" w:hAnsi="Arial" w:cs="Arial"/>
          <w:sz w:val="20"/>
          <w:szCs w:val="20"/>
          <w:lang w:val="es"/>
        </w:rPr>
        <w:lastRenderedPageBreak/>
        <w:t>urbanización en toda la isla. El último Plan Maestro 2019 se publicó en el Boletín Oficial el 27 de noviembre de 2019.</w:t>
      </w:r>
    </w:p>
    <w:p w14:paraId="1B7AE59F" w14:textId="77777777" w:rsidR="007D2FF7" w:rsidRPr="007F7AD7" w:rsidRDefault="007D2FF7" w:rsidP="007F7AD7">
      <w:pPr>
        <w:spacing w:line="276" w:lineRule="auto"/>
        <w:jc w:val="both"/>
        <w:rPr>
          <w:rFonts w:ascii="Arial" w:hAnsi="Arial" w:cs="Arial"/>
          <w:sz w:val="20"/>
          <w:szCs w:val="20"/>
        </w:rPr>
      </w:pPr>
    </w:p>
    <w:p w14:paraId="54C7BE75" w14:textId="36006868" w:rsidR="007D2FF7" w:rsidRPr="007F7AD7" w:rsidRDefault="007D2FF7" w:rsidP="007F7AD7">
      <w:pPr>
        <w:spacing w:line="276" w:lineRule="auto"/>
        <w:jc w:val="both"/>
        <w:rPr>
          <w:rFonts w:ascii="Arial" w:hAnsi="Arial" w:cs="Arial"/>
          <w:sz w:val="20"/>
          <w:szCs w:val="20"/>
        </w:rPr>
      </w:pPr>
      <w:r w:rsidRPr="007F7AD7">
        <w:rPr>
          <w:rFonts w:ascii="Arial" w:hAnsi="Arial" w:cs="Arial"/>
          <w:sz w:val="20"/>
          <w:szCs w:val="20"/>
          <w:lang w:val="es"/>
        </w:rPr>
        <w:t>En ese contexto, el presente análisis se centra en comprender cómo el Plan Maestro 2019 de Singapur incorpora el patrimonio cultural en la planificación urbana y, en concreto, el tipo de medidas incluidas en el plan que pretenden salvaguardar el patrimonio vivo de la nación.</w:t>
      </w:r>
    </w:p>
    <w:p w14:paraId="1A3DBE31" w14:textId="77777777" w:rsidR="007D2FF7" w:rsidRPr="007F7AD7" w:rsidRDefault="007D2FF7" w:rsidP="007F7AD7">
      <w:pPr>
        <w:pStyle w:val="Texte1"/>
        <w:spacing w:line="276" w:lineRule="auto"/>
        <w:ind w:left="720"/>
        <w:rPr>
          <w:color w:val="0177D4"/>
          <w:lang w:val="es-ES"/>
        </w:rPr>
      </w:pPr>
    </w:p>
    <w:p w14:paraId="410092B2" w14:textId="48B22663" w:rsidR="007D2FF7" w:rsidRPr="007F7AD7" w:rsidRDefault="007D2FF7" w:rsidP="007F7AD7">
      <w:pPr>
        <w:pStyle w:val="Texte1"/>
        <w:numPr>
          <w:ilvl w:val="0"/>
          <w:numId w:val="5"/>
        </w:numPr>
        <w:spacing w:line="276" w:lineRule="auto"/>
        <w:rPr>
          <w:lang w:val="es-ES"/>
        </w:rPr>
      </w:pPr>
      <w:r w:rsidRPr="007F7AD7">
        <w:rPr>
          <w:b/>
          <w:bCs/>
          <w:color w:val="2F51F9"/>
          <w:lang w:val="es"/>
        </w:rPr>
        <w:t>ANÁLISIS DEL PLAN MAESTRO</w:t>
      </w:r>
      <w:r w:rsidR="00726BA5" w:rsidRPr="007F7AD7">
        <w:rPr>
          <w:b/>
          <w:bCs/>
          <w:color w:val="2F51F9"/>
          <w:lang w:val="es"/>
        </w:rPr>
        <w:t xml:space="preserve"> DE</w:t>
      </w:r>
      <w:r w:rsidRPr="007F7AD7">
        <w:rPr>
          <w:b/>
          <w:bCs/>
          <w:color w:val="2F51F9"/>
          <w:lang w:val="es"/>
        </w:rPr>
        <w:t xml:space="preserve"> 2019</w:t>
      </w:r>
    </w:p>
    <w:p w14:paraId="4E087D9F" w14:textId="75777E2D" w:rsidR="007D2FF7" w:rsidRPr="007F7AD7" w:rsidRDefault="007D2FF7" w:rsidP="007F7AD7">
      <w:pPr>
        <w:spacing w:before="240" w:line="276" w:lineRule="auto"/>
        <w:jc w:val="both"/>
        <w:rPr>
          <w:rFonts w:ascii="Arial" w:hAnsi="Arial" w:cs="Arial"/>
          <w:sz w:val="20"/>
          <w:szCs w:val="20"/>
        </w:rPr>
      </w:pPr>
      <w:r w:rsidRPr="007F7AD7">
        <w:rPr>
          <w:rFonts w:ascii="Arial" w:hAnsi="Arial" w:cs="Arial"/>
          <w:sz w:val="20"/>
          <w:szCs w:val="20"/>
          <w:lang w:val="es"/>
        </w:rPr>
        <w:t>Como ya se ha mencionado, el Plan Maestro es el plan legal de uso del suelo que establece el uso del suelo y la densidad permitidos para la urbanización en Singapur. Su contenido y disposiciones se aplican para guiar el desarrollo físico mediante directrices de control que incluyen la zonificación del uso del suelo, la edificabilidad bruta y los controles de altura de los edificios a escala insular.</w:t>
      </w:r>
    </w:p>
    <w:p w14:paraId="36C81720" w14:textId="77777777" w:rsidR="007D2FF7" w:rsidRPr="007F7AD7" w:rsidRDefault="007D2FF7" w:rsidP="007F7AD7">
      <w:pPr>
        <w:pStyle w:val="Heading1"/>
        <w:numPr>
          <w:ilvl w:val="1"/>
          <w:numId w:val="12"/>
        </w:numPr>
        <w:spacing w:before="240" w:line="276" w:lineRule="auto"/>
        <w:ind w:left="1440"/>
        <w:jc w:val="both"/>
        <w:rPr>
          <w:rFonts w:ascii="Arial" w:hAnsi="Arial" w:cs="Arial"/>
          <w:color w:val="0177D4"/>
          <w:sz w:val="20"/>
          <w:szCs w:val="20"/>
        </w:rPr>
      </w:pPr>
      <w:r w:rsidRPr="007F7AD7">
        <w:rPr>
          <w:rFonts w:ascii="Arial" w:hAnsi="Arial" w:cs="Arial"/>
          <w:color w:val="2F51F9"/>
          <w:sz w:val="20"/>
          <w:szCs w:val="20"/>
          <w:lang w:val="es"/>
        </w:rPr>
        <w:t>Temas y objetivos del plan</w:t>
      </w:r>
    </w:p>
    <w:p w14:paraId="352C02B6" w14:textId="77777777" w:rsidR="007D2FF7" w:rsidRPr="007F7AD7" w:rsidRDefault="007D2FF7" w:rsidP="007F7AD7">
      <w:pPr>
        <w:spacing w:line="276" w:lineRule="auto"/>
        <w:jc w:val="both"/>
        <w:rPr>
          <w:rFonts w:ascii="Arial" w:hAnsi="Arial" w:cs="Arial"/>
          <w:sz w:val="20"/>
          <w:szCs w:val="20"/>
        </w:rPr>
      </w:pPr>
    </w:p>
    <w:p w14:paraId="7470E305" w14:textId="77777777" w:rsidR="007D2FF7" w:rsidRPr="007F7AD7" w:rsidRDefault="007D2FF7" w:rsidP="007F7AD7">
      <w:pPr>
        <w:spacing w:line="276" w:lineRule="auto"/>
        <w:jc w:val="both"/>
        <w:rPr>
          <w:rFonts w:ascii="Arial" w:hAnsi="Arial" w:cs="Arial"/>
          <w:sz w:val="20"/>
          <w:szCs w:val="20"/>
        </w:rPr>
      </w:pPr>
      <w:r w:rsidRPr="007F7AD7">
        <w:rPr>
          <w:rFonts w:ascii="Arial" w:hAnsi="Arial" w:cs="Arial"/>
          <w:sz w:val="20"/>
          <w:szCs w:val="20"/>
          <w:lang w:val="es"/>
        </w:rPr>
        <w:t>El Plan Maestro 2019 cuenta con cinco temas principales, cada uno de los cuales comprende varios objetivos de planificación y desarrollo:</w:t>
      </w:r>
    </w:p>
    <w:p w14:paraId="29C22E07" w14:textId="77777777" w:rsidR="007D2FF7" w:rsidRPr="007F7AD7" w:rsidRDefault="007D2FF7" w:rsidP="007F7AD7">
      <w:pPr>
        <w:spacing w:line="276" w:lineRule="auto"/>
        <w:jc w:val="both"/>
        <w:rPr>
          <w:rFonts w:ascii="Arial" w:hAnsi="Arial" w:cs="Arial"/>
          <w:sz w:val="20"/>
          <w:szCs w:val="20"/>
        </w:rPr>
      </w:pPr>
    </w:p>
    <w:p w14:paraId="196C9C16" w14:textId="52997B25" w:rsidR="007D2FF7" w:rsidRPr="007F7AD7" w:rsidRDefault="007D2FF7" w:rsidP="007F7AD7">
      <w:pPr>
        <w:pStyle w:val="ListParagraph"/>
        <w:numPr>
          <w:ilvl w:val="0"/>
          <w:numId w:val="8"/>
        </w:numPr>
        <w:spacing w:line="276" w:lineRule="auto"/>
        <w:jc w:val="both"/>
        <w:rPr>
          <w:rFonts w:ascii="Arial" w:hAnsi="Arial" w:cs="Arial"/>
          <w:sz w:val="20"/>
          <w:szCs w:val="20"/>
        </w:rPr>
      </w:pPr>
      <w:r w:rsidRPr="007F7AD7">
        <w:rPr>
          <w:rFonts w:ascii="Arial" w:hAnsi="Arial" w:cs="Arial"/>
          <w:b/>
          <w:bCs/>
          <w:sz w:val="20"/>
          <w:szCs w:val="20"/>
          <w:lang w:val="es"/>
        </w:rPr>
        <w:t>Tema 1 - Comunidades habitables e inclusivas:</w:t>
      </w:r>
      <w:r w:rsidRPr="007F7AD7">
        <w:rPr>
          <w:rFonts w:ascii="Arial" w:hAnsi="Arial" w:cs="Arial"/>
          <w:sz w:val="20"/>
          <w:szCs w:val="20"/>
          <w:lang w:val="es"/>
        </w:rPr>
        <w:t xml:space="preserve"> </w:t>
      </w:r>
      <w:r w:rsidR="00726BA5" w:rsidRPr="007F7AD7">
        <w:rPr>
          <w:rFonts w:ascii="Arial" w:hAnsi="Arial" w:cs="Arial"/>
          <w:sz w:val="20"/>
          <w:szCs w:val="20"/>
          <w:lang w:val="es"/>
        </w:rPr>
        <w:t>d</w:t>
      </w:r>
      <w:r w:rsidRPr="007F7AD7">
        <w:rPr>
          <w:rFonts w:ascii="Arial" w:hAnsi="Arial" w:cs="Arial"/>
          <w:sz w:val="20"/>
          <w:szCs w:val="20"/>
          <w:lang w:val="es"/>
        </w:rPr>
        <w:t xml:space="preserve">esarrollar entornos vitales más agradables y de alta calidad para que personas de todas las edades vivan, se relajen y jueguen mediante </w:t>
      </w:r>
      <w:r w:rsidRPr="007F7AD7">
        <w:rPr>
          <w:rFonts w:ascii="Arial" w:hAnsi="Arial" w:cs="Arial"/>
          <w:i/>
          <w:iCs/>
          <w:sz w:val="20"/>
          <w:szCs w:val="20"/>
          <w:lang w:val="es"/>
        </w:rPr>
        <w:t>nuevos conceptos de vivienda y más opciones</w:t>
      </w:r>
      <w:r w:rsidRPr="007F7AD7">
        <w:rPr>
          <w:rFonts w:ascii="Arial" w:hAnsi="Arial" w:cs="Arial"/>
          <w:sz w:val="20"/>
          <w:szCs w:val="20"/>
          <w:lang w:val="es"/>
        </w:rPr>
        <w:t xml:space="preserve">, </w:t>
      </w:r>
      <w:r w:rsidRPr="007F7AD7">
        <w:rPr>
          <w:rFonts w:ascii="Arial" w:hAnsi="Arial" w:cs="Arial"/>
          <w:i/>
          <w:iCs/>
          <w:sz w:val="20"/>
          <w:szCs w:val="20"/>
          <w:lang w:val="es"/>
        </w:rPr>
        <w:t>más zonas verdes y espacios de juego</w:t>
      </w:r>
      <w:r w:rsidRPr="007F7AD7">
        <w:rPr>
          <w:rFonts w:ascii="Arial" w:hAnsi="Arial" w:cs="Arial"/>
          <w:sz w:val="20"/>
          <w:szCs w:val="20"/>
          <w:lang w:val="es"/>
        </w:rPr>
        <w:t xml:space="preserve">, </w:t>
      </w:r>
      <w:r w:rsidRPr="007F7AD7">
        <w:rPr>
          <w:rFonts w:ascii="Arial" w:hAnsi="Arial" w:cs="Arial"/>
          <w:i/>
          <w:iCs/>
          <w:sz w:val="20"/>
          <w:szCs w:val="20"/>
          <w:lang w:val="es"/>
        </w:rPr>
        <w:t>una gama de servicios para todas las edades</w:t>
      </w:r>
      <w:r w:rsidRPr="007F7AD7">
        <w:rPr>
          <w:rFonts w:ascii="Arial" w:hAnsi="Arial" w:cs="Arial"/>
          <w:sz w:val="20"/>
          <w:szCs w:val="20"/>
          <w:lang w:val="es"/>
        </w:rPr>
        <w:t xml:space="preserve"> y </w:t>
      </w:r>
      <w:r w:rsidRPr="007F7AD7">
        <w:rPr>
          <w:rFonts w:ascii="Arial" w:hAnsi="Arial" w:cs="Arial"/>
          <w:i/>
          <w:iCs/>
          <w:sz w:val="20"/>
          <w:szCs w:val="20"/>
          <w:lang w:val="es"/>
        </w:rPr>
        <w:t>lugares agradables</w:t>
      </w:r>
      <w:r w:rsidRPr="007F7AD7">
        <w:rPr>
          <w:rFonts w:ascii="Arial" w:hAnsi="Arial" w:cs="Arial"/>
          <w:sz w:val="20"/>
          <w:szCs w:val="20"/>
          <w:lang w:val="es"/>
        </w:rPr>
        <w:t>.</w:t>
      </w:r>
    </w:p>
    <w:p w14:paraId="76ACADCA" w14:textId="65161182" w:rsidR="007D2FF7" w:rsidRPr="007F7AD7" w:rsidRDefault="007D2FF7" w:rsidP="007F7AD7">
      <w:pPr>
        <w:pStyle w:val="ListParagraph"/>
        <w:numPr>
          <w:ilvl w:val="0"/>
          <w:numId w:val="8"/>
        </w:numPr>
        <w:spacing w:line="276" w:lineRule="auto"/>
        <w:jc w:val="both"/>
        <w:rPr>
          <w:rFonts w:ascii="Arial" w:hAnsi="Arial" w:cs="Arial"/>
          <w:sz w:val="20"/>
          <w:szCs w:val="20"/>
        </w:rPr>
      </w:pPr>
      <w:r w:rsidRPr="007F7AD7">
        <w:rPr>
          <w:rFonts w:ascii="Arial" w:hAnsi="Arial" w:cs="Arial"/>
          <w:b/>
          <w:bCs/>
          <w:sz w:val="20"/>
          <w:szCs w:val="20"/>
          <w:lang w:val="es"/>
        </w:rPr>
        <w:t>Tema 2 - Ejes locales, pasarelas mundiales:</w:t>
      </w:r>
      <w:r w:rsidRPr="007F7AD7">
        <w:rPr>
          <w:rFonts w:ascii="Arial" w:hAnsi="Arial" w:cs="Arial"/>
          <w:sz w:val="20"/>
          <w:szCs w:val="20"/>
          <w:lang w:val="es"/>
        </w:rPr>
        <w:t xml:space="preserve"> </w:t>
      </w:r>
      <w:r w:rsidR="00726BA5" w:rsidRPr="007F7AD7">
        <w:rPr>
          <w:rFonts w:ascii="Arial" w:hAnsi="Arial" w:cs="Arial"/>
          <w:sz w:val="20"/>
          <w:szCs w:val="20"/>
          <w:lang w:val="es"/>
        </w:rPr>
        <w:t>f</w:t>
      </w:r>
      <w:r w:rsidRPr="007F7AD7">
        <w:rPr>
          <w:rFonts w:ascii="Arial" w:hAnsi="Arial" w:cs="Arial"/>
          <w:sz w:val="20"/>
          <w:szCs w:val="20"/>
          <w:lang w:val="es"/>
        </w:rPr>
        <w:t xml:space="preserve">orjar una economía más fuerte reservando terrenos adecuados para apoyar los esfuerzos de rejuvenecimiento de las industrias existentes y desarrollar nuevas áreas de crecimiento. Por tanto, este tema incluye tres objetivos: </w:t>
      </w:r>
      <w:r w:rsidRPr="007F7AD7">
        <w:rPr>
          <w:rFonts w:ascii="Arial" w:hAnsi="Arial" w:cs="Arial"/>
          <w:i/>
          <w:iCs/>
          <w:sz w:val="20"/>
          <w:szCs w:val="20"/>
          <w:lang w:val="es"/>
        </w:rPr>
        <w:t>reforzar las pasarelas económicas</w:t>
      </w:r>
      <w:r w:rsidRPr="007F7AD7">
        <w:rPr>
          <w:rFonts w:ascii="Arial" w:hAnsi="Arial" w:cs="Arial"/>
          <w:sz w:val="20"/>
          <w:szCs w:val="20"/>
          <w:lang w:val="es"/>
        </w:rPr>
        <w:t xml:space="preserve">, </w:t>
      </w:r>
      <w:r w:rsidRPr="007F7AD7">
        <w:rPr>
          <w:rFonts w:ascii="Arial" w:hAnsi="Arial" w:cs="Arial"/>
          <w:i/>
          <w:iCs/>
          <w:sz w:val="20"/>
          <w:szCs w:val="20"/>
          <w:lang w:val="es"/>
        </w:rPr>
        <w:t>crear puestos de trabajo de fácil acceso</w:t>
      </w:r>
      <w:r w:rsidRPr="007F7AD7">
        <w:rPr>
          <w:rFonts w:ascii="Arial" w:hAnsi="Arial" w:cs="Arial"/>
          <w:sz w:val="20"/>
          <w:szCs w:val="20"/>
          <w:lang w:val="es"/>
        </w:rPr>
        <w:t xml:space="preserve"> y </w:t>
      </w:r>
      <w:r w:rsidRPr="007F7AD7">
        <w:rPr>
          <w:rFonts w:ascii="Arial" w:hAnsi="Arial" w:cs="Arial"/>
          <w:i/>
          <w:iCs/>
          <w:sz w:val="20"/>
          <w:szCs w:val="20"/>
          <w:lang w:val="es"/>
        </w:rPr>
        <w:t>formular políticas que permitan la innovación y el crecimiento</w:t>
      </w:r>
      <w:r w:rsidRPr="007F7AD7">
        <w:rPr>
          <w:rFonts w:ascii="Arial" w:hAnsi="Arial" w:cs="Arial"/>
          <w:sz w:val="20"/>
          <w:szCs w:val="20"/>
          <w:lang w:val="es"/>
        </w:rPr>
        <w:t xml:space="preserve">. </w:t>
      </w:r>
    </w:p>
    <w:p w14:paraId="59940841" w14:textId="1AAA849E" w:rsidR="007D2FF7" w:rsidRPr="007F7AD7" w:rsidRDefault="007D2FF7" w:rsidP="007F7AD7">
      <w:pPr>
        <w:pStyle w:val="ListParagraph"/>
        <w:numPr>
          <w:ilvl w:val="0"/>
          <w:numId w:val="8"/>
        </w:numPr>
        <w:spacing w:line="276" w:lineRule="auto"/>
        <w:jc w:val="both"/>
        <w:rPr>
          <w:rFonts w:ascii="Arial" w:hAnsi="Arial" w:cs="Arial"/>
          <w:sz w:val="20"/>
          <w:szCs w:val="20"/>
        </w:rPr>
      </w:pPr>
      <w:r w:rsidRPr="007F7AD7">
        <w:rPr>
          <w:rFonts w:ascii="Arial" w:hAnsi="Arial" w:cs="Arial"/>
          <w:b/>
          <w:bCs/>
          <w:sz w:val="20"/>
          <w:szCs w:val="20"/>
          <w:lang w:val="es"/>
        </w:rPr>
        <w:t>Tema 3 - Rejuvenecimiento de lugares familiares:</w:t>
      </w:r>
      <w:r w:rsidRPr="007F7AD7">
        <w:rPr>
          <w:rFonts w:ascii="Arial" w:hAnsi="Arial" w:cs="Arial"/>
          <w:sz w:val="20"/>
          <w:szCs w:val="20"/>
          <w:lang w:val="es"/>
        </w:rPr>
        <w:t xml:space="preserve"> </w:t>
      </w:r>
      <w:r w:rsidR="00726BA5" w:rsidRPr="007F7AD7">
        <w:rPr>
          <w:rFonts w:ascii="Arial" w:hAnsi="Arial" w:cs="Arial"/>
          <w:sz w:val="20"/>
          <w:szCs w:val="20"/>
          <w:lang w:val="es"/>
        </w:rPr>
        <w:t>c</w:t>
      </w:r>
      <w:r w:rsidRPr="007F7AD7">
        <w:rPr>
          <w:rFonts w:ascii="Arial" w:hAnsi="Arial" w:cs="Arial"/>
          <w:sz w:val="20"/>
          <w:szCs w:val="20"/>
          <w:lang w:val="es"/>
        </w:rPr>
        <w:t xml:space="preserve">onservar la identidad y la sensación de hogar de Singapur trabajando con las partes interesadas para mantener la identidad y crear más memoria colectiva en lugares familiares. En consecuencia, este tema pretende </w:t>
      </w:r>
      <w:r w:rsidRPr="007F7AD7">
        <w:rPr>
          <w:rFonts w:ascii="Arial" w:hAnsi="Arial" w:cs="Arial"/>
          <w:i/>
          <w:iCs/>
          <w:sz w:val="20"/>
          <w:szCs w:val="20"/>
          <w:lang w:val="es"/>
        </w:rPr>
        <w:t>conservar y mejorar la identidad local</w:t>
      </w:r>
      <w:r w:rsidRPr="007F7AD7">
        <w:rPr>
          <w:rFonts w:ascii="Arial" w:hAnsi="Arial" w:cs="Arial"/>
          <w:sz w:val="20"/>
          <w:szCs w:val="20"/>
          <w:lang w:val="es"/>
        </w:rPr>
        <w:t xml:space="preserve">, </w:t>
      </w:r>
      <w:r w:rsidRPr="007F7AD7">
        <w:rPr>
          <w:rFonts w:ascii="Arial" w:hAnsi="Arial" w:cs="Arial"/>
          <w:i/>
          <w:iCs/>
          <w:sz w:val="20"/>
          <w:szCs w:val="20"/>
          <w:lang w:val="es"/>
        </w:rPr>
        <w:t>proteger y rejuvenecer el patrimonio construido</w:t>
      </w:r>
      <w:r w:rsidRPr="007F7AD7">
        <w:rPr>
          <w:rFonts w:ascii="Arial" w:hAnsi="Arial" w:cs="Arial"/>
          <w:sz w:val="20"/>
          <w:szCs w:val="20"/>
          <w:lang w:val="es"/>
        </w:rPr>
        <w:t xml:space="preserve"> y </w:t>
      </w:r>
      <w:r w:rsidRPr="007F7AD7">
        <w:rPr>
          <w:rFonts w:ascii="Arial" w:hAnsi="Arial" w:cs="Arial"/>
          <w:i/>
          <w:iCs/>
          <w:sz w:val="20"/>
          <w:szCs w:val="20"/>
          <w:lang w:val="es"/>
        </w:rPr>
        <w:t>celebrar la memoria con la comunidad</w:t>
      </w:r>
      <w:r w:rsidRPr="007F7AD7">
        <w:rPr>
          <w:rFonts w:ascii="Arial" w:hAnsi="Arial" w:cs="Arial"/>
          <w:sz w:val="20"/>
          <w:szCs w:val="20"/>
          <w:lang w:val="es"/>
        </w:rPr>
        <w:t xml:space="preserve">. </w:t>
      </w:r>
    </w:p>
    <w:p w14:paraId="1F0D98C8" w14:textId="1AAE5374" w:rsidR="007D2FF7" w:rsidRPr="007F7AD7" w:rsidRDefault="007D2FF7" w:rsidP="007F7AD7">
      <w:pPr>
        <w:pStyle w:val="ListParagraph"/>
        <w:numPr>
          <w:ilvl w:val="0"/>
          <w:numId w:val="8"/>
        </w:numPr>
        <w:spacing w:line="276" w:lineRule="auto"/>
        <w:jc w:val="both"/>
        <w:rPr>
          <w:rFonts w:ascii="Arial" w:hAnsi="Arial" w:cs="Arial"/>
          <w:b/>
          <w:bCs/>
          <w:sz w:val="20"/>
          <w:szCs w:val="20"/>
        </w:rPr>
      </w:pPr>
      <w:r w:rsidRPr="007F7AD7">
        <w:rPr>
          <w:rFonts w:ascii="Arial" w:hAnsi="Arial" w:cs="Arial"/>
          <w:b/>
          <w:bCs/>
          <w:sz w:val="20"/>
          <w:szCs w:val="20"/>
          <w:lang w:val="es"/>
        </w:rPr>
        <w:t>Tema 4 - Una ciudad del futuro sostenible y resiliente:</w:t>
      </w:r>
      <w:r w:rsidRPr="007F7AD7">
        <w:rPr>
          <w:rFonts w:ascii="Arial" w:hAnsi="Arial" w:cs="Arial"/>
          <w:sz w:val="20"/>
          <w:szCs w:val="20"/>
          <w:lang w:val="es"/>
        </w:rPr>
        <w:t xml:space="preserve"> </w:t>
      </w:r>
      <w:r w:rsidR="00726BA5" w:rsidRPr="007F7AD7">
        <w:rPr>
          <w:rFonts w:ascii="Arial" w:hAnsi="Arial" w:cs="Arial"/>
          <w:sz w:val="20"/>
          <w:szCs w:val="20"/>
          <w:lang w:val="es"/>
        </w:rPr>
        <w:t>a</w:t>
      </w:r>
      <w:r w:rsidRPr="007F7AD7">
        <w:rPr>
          <w:rFonts w:ascii="Arial" w:hAnsi="Arial" w:cs="Arial"/>
          <w:sz w:val="20"/>
          <w:szCs w:val="20"/>
          <w:lang w:val="es"/>
        </w:rPr>
        <w:t xml:space="preserve">bordar los retos climáticos nuevos y emergentes mediante la consecución de tres objetivos: </w:t>
      </w:r>
      <w:r w:rsidRPr="007F7AD7">
        <w:rPr>
          <w:rFonts w:ascii="Arial" w:hAnsi="Arial" w:cs="Arial"/>
          <w:i/>
          <w:iCs/>
          <w:sz w:val="20"/>
          <w:szCs w:val="20"/>
          <w:lang w:val="es"/>
        </w:rPr>
        <w:t>adaptación al cambio climático</w:t>
      </w:r>
      <w:r w:rsidRPr="007F7AD7">
        <w:rPr>
          <w:rFonts w:ascii="Arial" w:hAnsi="Arial" w:cs="Arial"/>
          <w:sz w:val="20"/>
          <w:szCs w:val="20"/>
          <w:lang w:val="es"/>
        </w:rPr>
        <w:t xml:space="preserve">, </w:t>
      </w:r>
      <w:r w:rsidRPr="007F7AD7">
        <w:rPr>
          <w:rFonts w:ascii="Arial" w:hAnsi="Arial" w:cs="Arial"/>
          <w:i/>
          <w:iCs/>
          <w:sz w:val="20"/>
          <w:szCs w:val="20"/>
          <w:lang w:val="es"/>
        </w:rPr>
        <w:t>cierre de los circuitos de recursos</w:t>
      </w:r>
      <w:r w:rsidRPr="007F7AD7">
        <w:rPr>
          <w:rFonts w:ascii="Arial" w:hAnsi="Arial" w:cs="Arial"/>
          <w:sz w:val="20"/>
          <w:szCs w:val="20"/>
          <w:lang w:val="es"/>
        </w:rPr>
        <w:t xml:space="preserve"> y </w:t>
      </w:r>
      <w:r w:rsidRPr="007F7AD7">
        <w:rPr>
          <w:rFonts w:ascii="Arial" w:hAnsi="Arial" w:cs="Arial"/>
          <w:i/>
          <w:iCs/>
          <w:sz w:val="20"/>
          <w:szCs w:val="20"/>
          <w:lang w:val="es"/>
        </w:rPr>
        <w:t>creación de espacios para las necesidades crecientes</w:t>
      </w:r>
      <w:r w:rsidRPr="007F7AD7">
        <w:rPr>
          <w:rFonts w:ascii="Arial" w:hAnsi="Arial" w:cs="Arial"/>
          <w:sz w:val="20"/>
          <w:szCs w:val="20"/>
          <w:lang w:val="es"/>
        </w:rPr>
        <w:t xml:space="preserve">. </w:t>
      </w:r>
    </w:p>
    <w:p w14:paraId="67AAEB19" w14:textId="2CC44981" w:rsidR="007D2FF7" w:rsidRPr="007F7AD7" w:rsidRDefault="007D2FF7" w:rsidP="007F7AD7">
      <w:pPr>
        <w:pStyle w:val="ListParagraph"/>
        <w:numPr>
          <w:ilvl w:val="0"/>
          <w:numId w:val="8"/>
        </w:numPr>
        <w:spacing w:before="240" w:line="276" w:lineRule="auto"/>
        <w:jc w:val="both"/>
        <w:rPr>
          <w:rFonts w:ascii="Arial" w:hAnsi="Arial" w:cs="Arial"/>
          <w:b/>
          <w:bCs/>
          <w:sz w:val="20"/>
          <w:szCs w:val="20"/>
        </w:rPr>
      </w:pPr>
      <w:r w:rsidRPr="007F7AD7">
        <w:rPr>
          <w:rFonts w:ascii="Arial" w:hAnsi="Arial" w:cs="Arial"/>
          <w:b/>
          <w:bCs/>
          <w:sz w:val="20"/>
          <w:szCs w:val="20"/>
          <w:lang w:val="es"/>
        </w:rPr>
        <w:t>Tema 5 - Movilidad cómoda y sostenible:</w:t>
      </w:r>
      <w:r w:rsidRPr="007F7AD7">
        <w:rPr>
          <w:rFonts w:ascii="Arial" w:hAnsi="Arial" w:cs="Arial"/>
          <w:sz w:val="20"/>
          <w:szCs w:val="20"/>
          <w:lang w:val="es"/>
        </w:rPr>
        <w:t xml:space="preserve"> </w:t>
      </w:r>
      <w:r w:rsidR="00726BA5" w:rsidRPr="007F7AD7">
        <w:rPr>
          <w:rFonts w:ascii="Arial" w:hAnsi="Arial" w:cs="Arial"/>
          <w:sz w:val="20"/>
          <w:szCs w:val="20"/>
          <w:lang w:val="es"/>
        </w:rPr>
        <w:t>h</w:t>
      </w:r>
      <w:r w:rsidRPr="007F7AD7">
        <w:rPr>
          <w:rFonts w:ascii="Arial" w:hAnsi="Arial" w:cs="Arial"/>
          <w:sz w:val="20"/>
          <w:szCs w:val="20"/>
          <w:lang w:val="es"/>
        </w:rPr>
        <w:t xml:space="preserve">acer que la movilidad en Singapur sea cada vez más cómoda y agradable mediante </w:t>
      </w:r>
      <w:r w:rsidRPr="007F7AD7">
        <w:rPr>
          <w:rFonts w:ascii="Arial" w:hAnsi="Arial" w:cs="Arial"/>
          <w:i/>
          <w:iCs/>
          <w:sz w:val="20"/>
          <w:szCs w:val="20"/>
          <w:lang w:val="es"/>
        </w:rPr>
        <w:t>una mejor conectividad para todos</w:t>
      </w:r>
      <w:r w:rsidRPr="007F7AD7">
        <w:rPr>
          <w:rFonts w:ascii="Arial" w:hAnsi="Arial" w:cs="Arial"/>
          <w:sz w:val="20"/>
          <w:szCs w:val="20"/>
          <w:lang w:val="es"/>
        </w:rPr>
        <w:t xml:space="preserve">, </w:t>
      </w:r>
      <w:r w:rsidRPr="007F7AD7">
        <w:rPr>
          <w:rFonts w:ascii="Arial" w:hAnsi="Arial" w:cs="Arial"/>
          <w:i/>
          <w:iCs/>
          <w:sz w:val="20"/>
          <w:szCs w:val="20"/>
          <w:lang w:val="es"/>
        </w:rPr>
        <w:t>un acceso más fácil al trabajo y a los servicios</w:t>
      </w:r>
      <w:r w:rsidRPr="007F7AD7">
        <w:rPr>
          <w:rFonts w:ascii="Arial" w:hAnsi="Arial" w:cs="Arial"/>
          <w:sz w:val="20"/>
          <w:szCs w:val="20"/>
          <w:lang w:val="es"/>
        </w:rPr>
        <w:t xml:space="preserve"> y el </w:t>
      </w:r>
      <w:r w:rsidRPr="007F7AD7">
        <w:rPr>
          <w:rFonts w:ascii="Arial" w:hAnsi="Arial" w:cs="Arial"/>
          <w:i/>
          <w:iCs/>
          <w:sz w:val="20"/>
          <w:szCs w:val="20"/>
          <w:lang w:val="es"/>
        </w:rPr>
        <w:t>aprovechamiento de las nuevas tecnologías de movilidad y modelos de negocio</w:t>
      </w:r>
      <w:r w:rsidRPr="007F7AD7">
        <w:rPr>
          <w:rFonts w:ascii="Arial" w:hAnsi="Arial" w:cs="Arial"/>
          <w:sz w:val="20"/>
          <w:szCs w:val="20"/>
          <w:lang w:val="es"/>
        </w:rPr>
        <w:t>.</w:t>
      </w:r>
    </w:p>
    <w:p w14:paraId="230A1200" w14:textId="7FE94132" w:rsidR="007D2FF7" w:rsidRPr="007F7AD7" w:rsidRDefault="007D2FF7" w:rsidP="007F7AD7">
      <w:pPr>
        <w:pStyle w:val="Heading1"/>
        <w:numPr>
          <w:ilvl w:val="1"/>
          <w:numId w:val="12"/>
        </w:numPr>
        <w:spacing w:before="240" w:line="276" w:lineRule="auto"/>
        <w:ind w:left="1440"/>
        <w:jc w:val="both"/>
        <w:rPr>
          <w:rFonts w:ascii="Arial" w:hAnsi="Arial" w:cs="Arial"/>
          <w:color w:val="2F51F1"/>
          <w:sz w:val="20"/>
          <w:szCs w:val="20"/>
        </w:rPr>
      </w:pPr>
      <w:r w:rsidRPr="007F7AD7">
        <w:rPr>
          <w:rFonts w:ascii="Arial" w:hAnsi="Arial" w:cs="Arial"/>
          <w:color w:val="2F51F1"/>
          <w:sz w:val="20"/>
          <w:szCs w:val="20"/>
          <w:lang w:val="es"/>
        </w:rPr>
        <w:t>Proceso de elaboración y principales</w:t>
      </w:r>
      <w:r w:rsidR="00696638" w:rsidRPr="007F7AD7">
        <w:rPr>
          <w:rFonts w:ascii="Arial" w:hAnsi="Arial" w:cs="Arial"/>
          <w:color w:val="2F51F1"/>
          <w:sz w:val="20"/>
          <w:szCs w:val="20"/>
          <w:lang w:val="es"/>
        </w:rPr>
        <w:t xml:space="preserve"> actores</w:t>
      </w:r>
      <w:r w:rsidRPr="007F7AD7">
        <w:rPr>
          <w:rFonts w:ascii="Arial" w:hAnsi="Arial" w:cs="Arial"/>
          <w:color w:val="2F51F1"/>
          <w:sz w:val="20"/>
          <w:szCs w:val="20"/>
          <w:lang w:val="es"/>
        </w:rPr>
        <w:t xml:space="preserve"> interesados</w:t>
      </w:r>
    </w:p>
    <w:p w14:paraId="54613D66" w14:textId="77777777" w:rsidR="007D2FF7" w:rsidRPr="007F7AD7" w:rsidRDefault="007D2FF7" w:rsidP="007F7AD7">
      <w:pPr>
        <w:spacing w:line="276" w:lineRule="auto"/>
        <w:jc w:val="both"/>
        <w:rPr>
          <w:rFonts w:ascii="Arial" w:hAnsi="Arial" w:cs="Arial"/>
          <w:sz w:val="20"/>
          <w:szCs w:val="20"/>
        </w:rPr>
      </w:pPr>
    </w:p>
    <w:p w14:paraId="317D631F" w14:textId="0144B4D5" w:rsidR="007D2FF7" w:rsidRPr="007F7AD7" w:rsidRDefault="007D2FF7" w:rsidP="007F7AD7">
      <w:pPr>
        <w:spacing w:line="276" w:lineRule="auto"/>
        <w:jc w:val="both"/>
        <w:rPr>
          <w:rFonts w:ascii="Arial" w:hAnsi="Arial" w:cs="Arial"/>
          <w:b/>
          <w:bCs/>
          <w:sz w:val="20"/>
          <w:szCs w:val="20"/>
        </w:rPr>
      </w:pPr>
      <w:r w:rsidRPr="007F7AD7">
        <w:rPr>
          <w:rFonts w:ascii="Arial" w:hAnsi="Arial" w:cs="Arial"/>
          <w:sz w:val="20"/>
          <w:szCs w:val="20"/>
          <w:lang w:val="es"/>
        </w:rPr>
        <w:t>El Plan Maestro deriva del Plan a largo plazo (ver el siguiente diagrama). Ambos planes se preparan a través de procesos similares que incluyen una exhaustiva participación</w:t>
      </w:r>
      <w:r w:rsidR="00696638" w:rsidRPr="007F7AD7">
        <w:rPr>
          <w:rFonts w:ascii="Arial" w:hAnsi="Arial" w:cs="Arial"/>
          <w:sz w:val="20"/>
          <w:szCs w:val="20"/>
          <w:lang w:val="es"/>
        </w:rPr>
        <w:t>,</w:t>
      </w:r>
      <w:r w:rsidRPr="007F7AD7">
        <w:rPr>
          <w:rFonts w:ascii="Arial" w:hAnsi="Arial" w:cs="Arial"/>
          <w:sz w:val="20"/>
          <w:szCs w:val="20"/>
          <w:lang w:val="es"/>
        </w:rPr>
        <w:t xml:space="preserve"> </w:t>
      </w:r>
      <w:r w:rsidR="00696638" w:rsidRPr="007F7AD7">
        <w:rPr>
          <w:rFonts w:ascii="Arial" w:hAnsi="Arial" w:cs="Arial"/>
          <w:sz w:val="20"/>
          <w:szCs w:val="20"/>
          <w:lang w:val="es"/>
        </w:rPr>
        <w:t xml:space="preserve">la </w:t>
      </w:r>
      <w:r w:rsidRPr="007F7AD7">
        <w:rPr>
          <w:rFonts w:ascii="Arial" w:hAnsi="Arial" w:cs="Arial"/>
          <w:sz w:val="20"/>
          <w:szCs w:val="20"/>
          <w:lang w:val="es"/>
        </w:rPr>
        <w:t xml:space="preserve">consulta pública y la </w:t>
      </w:r>
      <w:r w:rsidRPr="007F7AD7">
        <w:rPr>
          <w:rFonts w:ascii="Arial" w:hAnsi="Arial" w:cs="Arial"/>
          <w:sz w:val="20"/>
          <w:szCs w:val="20"/>
          <w:lang w:val="es"/>
        </w:rPr>
        <w:lastRenderedPageBreak/>
        <w:t xml:space="preserve">coordinación con otros organismos gubernamentales para garantizar el diálogo entre las partes interesadas de diferentes sectores, lo que puede ayudar a garantizar que el PCI se tenga en cuenta en los planes urbanos. A continuación se describen estos dos procesos, a saber, la participación pública y la coordinación multisectorial, que son componentes clave de la metodología propuesta para incorporar el PCI a la planificación urbana. </w:t>
      </w:r>
    </w:p>
    <w:p w14:paraId="325079C6" w14:textId="77777777" w:rsidR="007D2FF7" w:rsidRPr="007F7AD7" w:rsidRDefault="007D2FF7" w:rsidP="007F7AD7">
      <w:pPr>
        <w:tabs>
          <w:tab w:val="left" w:pos="3684"/>
        </w:tabs>
        <w:spacing w:line="276" w:lineRule="auto"/>
        <w:jc w:val="both"/>
        <w:rPr>
          <w:rFonts w:ascii="Arial" w:hAnsi="Arial" w:cs="Arial"/>
          <w:b/>
          <w:bCs/>
          <w:sz w:val="20"/>
          <w:szCs w:val="20"/>
        </w:rPr>
      </w:pPr>
      <w:r w:rsidRPr="007F7AD7">
        <w:rPr>
          <w:b/>
          <w:bCs/>
          <w:sz w:val="20"/>
          <w:szCs w:val="20"/>
          <w:lang w:val="es"/>
        </w:rPr>
        <w:tab/>
      </w:r>
    </w:p>
    <w:p w14:paraId="545C6EC7" w14:textId="77777777" w:rsidR="007D2FF7" w:rsidRPr="007F7AD7" w:rsidRDefault="007D2FF7" w:rsidP="007F7AD7">
      <w:pPr>
        <w:spacing w:line="276" w:lineRule="auto"/>
        <w:jc w:val="center"/>
        <w:rPr>
          <w:rFonts w:ascii="Arial" w:hAnsi="Arial" w:cs="Arial"/>
          <w:b/>
          <w:bCs/>
          <w:sz w:val="20"/>
          <w:szCs w:val="20"/>
        </w:rPr>
      </w:pPr>
      <w:r w:rsidRPr="007F7AD7">
        <w:rPr>
          <w:rFonts w:ascii="Arial" w:hAnsi="Arial" w:cs="Arial"/>
          <w:noProof/>
          <w:sz w:val="20"/>
          <w:szCs w:val="20"/>
          <w:lang w:val="es"/>
        </w:rPr>
        <w:drawing>
          <wp:inline distT="0" distB="0" distL="0" distR="0" wp14:anchorId="4E9D3794" wp14:editId="006A0FA5">
            <wp:extent cx="4317167" cy="23256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2564"/>
                    <a:stretch/>
                  </pic:blipFill>
                  <pic:spPr bwMode="auto">
                    <a:xfrm>
                      <a:off x="0" y="0"/>
                      <a:ext cx="4333804" cy="2334646"/>
                    </a:xfrm>
                    <a:prstGeom prst="rect">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912BDED" w14:textId="1ADDBD91" w:rsidR="007D2FF7" w:rsidRPr="007F7AD7" w:rsidRDefault="007D2FF7" w:rsidP="007F7AD7">
      <w:pPr>
        <w:spacing w:before="240" w:line="276" w:lineRule="auto"/>
        <w:jc w:val="both"/>
        <w:rPr>
          <w:rFonts w:ascii="Arial" w:hAnsi="Arial" w:cs="Arial"/>
          <w:sz w:val="20"/>
          <w:szCs w:val="20"/>
        </w:rPr>
      </w:pPr>
      <w:r w:rsidRPr="007F7AD7">
        <w:rPr>
          <w:rFonts w:ascii="Arial" w:hAnsi="Arial" w:cs="Arial"/>
          <w:sz w:val="20"/>
          <w:szCs w:val="20"/>
          <w:lang w:val="es"/>
        </w:rPr>
        <w:t xml:space="preserve">Fuente: Adaptado del informe de </w:t>
      </w:r>
      <w:r w:rsidR="00696638" w:rsidRPr="00446955">
        <w:rPr>
          <w:rFonts w:ascii="Arial" w:hAnsi="Arial" w:cs="Arial"/>
          <w:sz w:val="20"/>
          <w:szCs w:val="20"/>
          <w:lang w:val="es"/>
        </w:rPr>
        <w:t xml:space="preserve">la </w:t>
      </w:r>
      <w:r w:rsidR="00696638" w:rsidRPr="007F7AD7">
        <w:rPr>
          <w:rFonts w:ascii="Arial" w:hAnsi="Arial" w:cs="Arial"/>
          <w:sz w:val="20"/>
          <w:szCs w:val="20"/>
          <w:lang w:val="es"/>
        </w:rPr>
        <w:t>Autoridad de Reordenación Urbana (</w:t>
      </w:r>
      <w:r w:rsidRPr="007F7AD7">
        <w:rPr>
          <w:rFonts w:ascii="Arial" w:hAnsi="Arial" w:cs="Arial"/>
          <w:sz w:val="20"/>
          <w:szCs w:val="20"/>
          <w:lang w:val="es"/>
        </w:rPr>
        <w:t>URA</w:t>
      </w:r>
      <w:r w:rsidR="00696638" w:rsidRPr="007F7AD7">
        <w:rPr>
          <w:rFonts w:ascii="Arial" w:hAnsi="Arial" w:cs="Arial"/>
          <w:sz w:val="20"/>
          <w:szCs w:val="20"/>
          <w:lang w:val="es"/>
        </w:rPr>
        <w:t>)</w:t>
      </w:r>
      <w:r w:rsidRPr="007F7AD7">
        <w:rPr>
          <w:rFonts w:ascii="Arial" w:hAnsi="Arial" w:cs="Arial"/>
          <w:sz w:val="20"/>
          <w:szCs w:val="20"/>
          <w:lang w:val="es"/>
        </w:rPr>
        <w:t xml:space="preserve"> </w:t>
      </w:r>
      <w:r w:rsidR="00696638" w:rsidRPr="007F7AD7">
        <w:rPr>
          <w:rFonts w:ascii="Arial" w:hAnsi="Arial" w:cs="Arial"/>
          <w:sz w:val="20"/>
          <w:szCs w:val="20"/>
          <w:lang w:val="es"/>
        </w:rPr>
        <w:t>“</w:t>
      </w:r>
      <w:r w:rsidRPr="007F7AD7">
        <w:rPr>
          <w:rFonts w:ascii="Arial" w:hAnsi="Arial" w:cs="Arial"/>
          <w:sz w:val="20"/>
          <w:szCs w:val="20"/>
          <w:lang w:val="es"/>
        </w:rPr>
        <w:t>Designing our City: Planning for Sustainable Singapore</w:t>
      </w:r>
      <w:r w:rsidR="00696638" w:rsidRPr="007F7AD7">
        <w:rPr>
          <w:rFonts w:ascii="Arial" w:hAnsi="Arial" w:cs="Arial"/>
          <w:sz w:val="20"/>
          <w:szCs w:val="20"/>
          <w:lang w:val="es"/>
        </w:rPr>
        <w:t>”</w:t>
      </w:r>
    </w:p>
    <w:p w14:paraId="5F0D340B" w14:textId="77777777" w:rsidR="007D2FF7" w:rsidRPr="007F7AD7" w:rsidRDefault="007D2FF7" w:rsidP="007F7AD7">
      <w:pPr>
        <w:pStyle w:val="Heading1"/>
        <w:numPr>
          <w:ilvl w:val="2"/>
          <w:numId w:val="12"/>
        </w:numPr>
        <w:spacing w:before="240" w:line="276" w:lineRule="auto"/>
        <w:ind w:left="2160" w:hanging="360"/>
        <w:jc w:val="both"/>
        <w:rPr>
          <w:rFonts w:ascii="Arial" w:hAnsi="Arial" w:cs="Arial"/>
          <w:color w:val="0177D4"/>
          <w:sz w:val="20"/>
          <w:szCs w:val="20"/>
        </w:rPr>
      </w:pPr>
      <w:r w:rsidRPr="007F7AD7">
        <w:rPr>
          <w:rFonts w:ascii="Arial" w:hAnsi="Arial" w:cs="Arial"/>
          <w:color w:val="2F51F1"/>
          <w:sz w:val="20"/>
          <w:szCs w:val="20"/>
          <w:lang w:val="es"/>
        </w:rPr>
        <w:t xml:space="preserve">Coordinación multisectorial </w:t>
      </w:r>
    </w:p>
    <w:p w14:paraId="18926915" w14:textId="77777777" w:rsidR="007D2FF7" w:rsidRPr="007F7AD7" w:rsidRDefault="007D2FF7" w:rsidP="007F7AD7">
      <w:pPr>
        <w:spacing w:line="276" w:lineRule="auto"/>
        <w:jc w:val="both"/>
        <w:rPr>
          <w:rFonts w:ascii="Arial" w:hAnsi="Arial" w:cs="Arial"/>
          <w:sz w:val="20"/>
          <w:szCs w:val="20"/>
        </w:rPr>
      </w:pPr>
    </w:p>
    <w:p w14:paraId="43D6115C" w14:textId="47BE1C9F" w:rsidR="007D2FF7" w:rsidRPr="007F7AD7" w:rsidRDefault="007D2FF7" w:rsidP="007F7AD7">
      <w:pPr>
        <w:spacing w:line="276" w:lineRule="auto"/>
        <w:jc w:val="both"/>
        <w:rPr>
          <w:rFonts w:ascii="Arial" w:hAnsi="Arial" w:cs="Arial"/>
          <w:b/>
          <w:bCs/>
          <w:sz w:val="20"/>
          <w:szCs w:val="20"/>
        </w:rPr>
      </w:pPr>
      <w:r w:rsidRPr="007F7AD7">
        <w:rPr>
          <w:rFonts w:ascii="Arial" w:hAnsi="Arial" w:cs="Arial"/>
          <w:sz w:val="20"/>
          <w:szCs w:val="20"/>
          <w:lang w:val="es"/>
        </w:rPr>
        <w:t xml:space="preserve">En cuanto a la coordinación, cabe señalar que la Autoridad de Reordenación Urbana (URA) es la autoridad nacional designada para la planificación del uso del suelo y es la principal responsable de la elaboración del Plan Maestro, en coordinación con otros cuatro organismos principales: la Autoridad de Transporte Terrestre (LTA), el Consejo de Vivienda y Desarrollo (HDB), la Junta de Parques Nacionales (NPB) y el Consejo del Patrimonio Nacional (NHB). La naturaleza y el papel de estas agencias se describen en la siguiente tabla. </w:t>
      </w:r>
    </w:p>
    <w:p w14:paraId="0664E23F" w14:textId="77777777" w:rsidR="007D2FF7" w:rsidRPr="007F7AD7" w:rsidRDefault="007D2FF7" w:rsidP="007F7AD7">
      <w:pPr>
        <w:spacing w:line="276" w:lineRule="auto"/>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6"/>
        <w:gridCol w:w="6762"/>
      </w:tblGrid>
      <w:tr w:rsidR="007D2FF7" w:rsidRPr="00446955" w14:paraId="1B9DD593" w14:textId="77777777" w:rsidTr="007F7AD7">
        <w:trPr>
          <w:trHeight w:val="340"/>
          <w:jc w:val="center"/>
        </w:trPr>
        <w:tc>
          <w:tcPr>
            <w:tcW w:w="1170" w:type="pct"/>
            <w:shd w:val="clear" w:color="auto" w:fill="2F51F1"/>
            <w:vAlign w:val="center"/>
            <w:hideMark/>
          </w:tcPr>
          <w:p w14:paraId="67484CF9" w14:textId="77777777" w:rsidR="007D2FF7" w:rsidRPr="007F7AD7" w:rsidRDefault="007D2FF7" w:rsidP="007F7AD7">
            <w:pPr>
              <w:spacing w:line="276" w:lineRule="auto"/>
              <w:rPr>
                <w:rFonts w:ascii="Arial" w:eastAsia="Times New Roman" w:hAnsi="Arial" w:cs="Arial"/>
                <w:b/>
                <w:bCs/>
                <w:color w:val="FFFFFF" w:themeColor="background1"/>
                <w:sz w:val="20"/>
                <w:szCs w:val="20"/>
              </w:rPr>
            </w:pPr>
            <w:r w:rsidRPr="007F7AD7">
              <w:rPr>
                <w:rFonts w:ascii="Arial" w:eastAsia="Times New Roman" w:hAnsi="Arial" w:cs="Arial"/>
                <w:b/>
                <w:bCs/>
                <w:color w:val="FFFFFF" w:themeColor="background1"/>
                <w:sz w:val="20"/>
                <w:szCs w:val="20"/>
                <w:lang w:val="es"/>
              </w:rPr>
              <w:t xml:space="preserve">Partes interesadas </w:t>
            </w:r>
          </w:p>
        </w:tc>
        <w:tc>
          <w:tcPr>
            <w:tcW w:w="3830" w:type="pct"/>
            <w:shd w:val="clear" w:color="auto" w:fill="2F51F1"/>
            <w:vAlign w:val="center"/>
            <w:hideMark/>
          </w:tcPr>
          <w:p w14:paraId="5BBDCE3D" w14:textId="77777777" w:rsidR="007D2FF7" w:rsidRPr="007F7AD7" w:rsidRDefault="007D2FF7" w:rsidP="007F7AD7">
            <w:pPr>
              <w:spacing w:line="276" w:lineRule="auto"/>
              <w:jc w:val="both"/>
              <w:rPr>
                <w:rFonts w:ascii="Arial" w:eastAsia="Times New Roman" w:hAnsi="Arial" w:cs="Arial"/>
                <w:b/>
                <w:bCs/>
                <w:color w:val="FFFFFF" w:themeColor="background1"/>
                <w:sz w:val="20"/>
                <w:szCs w:val="20"/>
              </w:rPr>
            </w:pPr>
            <w:r w:rsidRPr="007F7AD7">
              <w:rPr>
                <w:rFonts w:ascii="Arial" w:eastAsia="Times New Roman" w:hAnsi="Arial" w:cs="Arial"/>
                <w:b/>
                <w:bCs/>
                <w:color w:val="FFFFFF" w:themeColor="background1"/>
                <w:sz w:val="20"/>
                <w:szCs w:val="20"/>
                <w:lang w:val="es"/>
              </w:rPr>
              <w:t>Descripción</w:t>
            </w:r>
          </w:p>
        </w:tc>
      </w:tr>
      <w:tr w:rsidR="007D2FF7" w:rsidRPr="00446955" w14:paraId="2F24F3DC" w14:textId="77777777" w:rsidTr="007F7AD7">
        <w:trPr>
          <w:trHeight w:val="144"/>
          <w:jc w:val="center"/>
        </w:trPr>
        <w:tc>
          <w:tcPr>
            <w:tcW w:w="1170" w:type="pct"/>
            <w:shd w:val="clear" w:color="auto" w:fill="auto"/>
            <w:vAlign w:val="center"/>
            <w:hideMark/>
          </w:tcPr>
          <w:p w14:paraId="111732F6" w14:textId="77777777" w:rsidR="007D2FF7" w:rsidRPr="00446955" w:rsidRDefault="007D2FF7" w:rsidP="007F7AD7">
            <w:pPr>
              <w:spacing w:line="276" w:lineRule="auto"/>
              <w:jc w:val="both"/>
              <w:rPr>
                <w:rFonts w:ascii="Arial" w:eastAsia="Times New Roman" w:hAnsi="Arial" w:cs="Arial"/>
                <w:b/>
                <w:bCs/>
                <w:color w:val="000000"/>
                <w:sz w:val="20"/>
                <w:szCs w:val="20"/>
              </w:rPr>
            </w:pPr>
            <w:r w:rsidRPr="00446955">
              <w:rPr>
                <w:rFonts w:ascii="Arial" w:eastAsia="Times New Roman" w:hAnsi="Arial" w:cs="Arial"/>
                <w:b/>
                <w:bCs/>
                <w:color w:val="000000"/>
                <w:sz w:val="20"/>
                <w:szCs w:val="20"/>
                <w:lang w:val="es"/>
              </w:rPr>
              <w:t>Autoridad de Reordenación Urbana (URA)</w:t>
            </w:r>
          </w:p>
        </w:tc>
        <w:tc>
          <w:tcPr>
            <w:tcW w:w="3830" w:type="pct"/>
            <w:shd w:val="clear" w:color="auto" w:fill="auto"/>
            <w:vAlign w:val="center"/>
            <w:hideMark/>
          </w:tcPr>
          <w:p w14:paraId="420AB094" w14:textId="77777777" w:rsidR="007D2FF7" w:rsidRPr="00446955" w:rsidRDefault="007D2FF7" w:rsidP="007F7AD7">
            <w:pPr>
              <w:spacing w:line="276" w:lineRule="auto"/>
              <w:jc w:val="both"/>
              <w:rPr>
                <w:rFonts w:ascii="Arial" w:eastAsia="Times New Roman" w:hAnsi="Arial" w:cs="Arial"/>
                <w:color w:val="000000"/>
                <w:sz w:val="20"/>
                <w:szCs w:val="20"/>
              </w:rPr>
            </w:pPr>
            <w:r w:rsidRPr="00446955">
              <w:rPr>
                <w:rFonts w:ascii="Arial" w:eastAsia="Times New Roman" w:hAnsi="Arial" w:cs="Arial"/>
                <w:color w:val="000000"/>
                <w:sz w:val="20"/>
                <w:szCs w:val="20"/>
                <w:lang w:val="es"/>
              </w:rPr>
              <w:t xml:space="preserve">La URA es la agencia de planificación y conservación del suelo y se encarga de administrar la Ley de Planificación, que establece las normas generales que rigen el proceso de planificación urbana y el sistema de control del desarrollo. Evalúa y concede las aprobaciones urbanísticas de las promociones mediante el control del desarrollo, el diseño urbano y las directrices de conservación. Su papel también incluye ser el principal agente gubernamental de venta de terrenos, a través del cual atrae y canaliza la inversión de capital privado para desarrollar emplazamientos que favorezcan el desarrollo económico y social. </w:t>
            </w:r>
          </w:p>
        </w:tc>
      </w:tr>
      <w:tr w:rsidR="007D2FF7" w:rsidRPr="00446955" w14:paraId="57307F7D" w14:textId="77777777" w:rsidTr="007F7AD7">
        <w:trPr>
          <w:trHeight w:val="144"/>
          <w:jc w:val="center"/>
        </w:trPr>
        <w:tc>
          <w:tcPr>
            <w:tcW w:w="1170" w:type="pct"/>
            <w:shd w:val="clear" w:color="auto" w:fill="auto"/>
            <w:vAlign w:val="center"/>
            <w:hideMark/>
          </w:tcPr>
          <w:p w14:paraId="37AC0D73" w14:textId="77777777" w:rsidR="007D2FF7" w:rsidRPr="00446955" w:rsidRDefault="007D2FF7" w:rsidP="007F7AD7">
            <w:pPr>
              <w:spacing w:line="276" w:lineRule="auto"/>
              <w:jc w:val="both"/>
              <w:rPr>
                <w:rFonts w:ascii="Arial" w:eastAsia="Times New Roman" w:hAnsi="Arial" w:cs="Arial"/>
                <w:b/>
                <w:bCs/>
                <w:color w:val="000000"/>
                <w:sz w:val="20"/>
                <w:szCs w:val="20"/>
              </w:rPr>
            </w:pPr>
            <w:r w:rsidRPr="00446955">
              <w:rPr>
                <w:rFonts w:ascii="Arial" w:eastAsia="Times New Roman" w:hAnsi="Arial" w:cs="Arial"/>
                <w:b/>
                <w:bCs/>
                <w:color w:val="000000"/>
                <w:sz w:val="20"/>
                <w:szCs w:val="20"/>
                <w:lang w:val="es"/>
              </w:rPr>
              <w:lastRenderedPageBreak/>
              <w:t>Consejo del Patrimonio Nacional (NHB)</w:t>
            </w:r>
          </w:p>
        </w:tc>
        <w:tc>
          <w:tcPr>
            <w:tcW w:w="3830" w:type="pct"/>
            <w:shd w:val="clear" w:color="auto" w:fill="auto"/>
            <w:vAlign w:val="center"/>
            <w:hideMark/>
          </w:tcPr>
          <w:p w14:paraId="5E8CB60A" w14:textId="3213508D" w:rsidR="007D2FF7" w:rsidRPr="00446955" w:rsidRDefault="007D2FF7" w:rsidP="007F7AD7">
            <w:pPr>
              <w:spacing w:line="276" w:lineRule="auto"/>
              <w:jc w:val="both"/>
              <w:rPr>
                <w:rFonts w:ascii="Arial" w:eastAsia="Times New Roman" w:hAnsi="Arial" w:cs="Arial"/>
                <w:color w:val="000000"/>
                <w:sz w:val="20"/>
                <w:szCs w:val="20"/>
              </w:rPr>
            </w:pPr>
            <w:r w:rsidRPr="00446955">
              <w:rPr>
                <w:rFonts w:ascii="Arial" w:eastAsia="Times New Roman" w:hAnsi="Arial" w:cs="Arial"/>
                <w:color w:val="000000"/>
                <w:sz w:val="20"/>
                <w:szCs w:val="20"/>
                <w:lang w:val="es"/>
              </w:rPr>
              <w:t xml:space="preserve">Es responsable de </w:t>
            </w:r>
            <w:r w:rsidR="00A5001C" w:rsidRPr="00446955">
              <w:rPr>
                <w:rFonts w:ascii="Arial" w:eastAsia="Times New Roman" w:hAnsi="Arial" w:cs="Arial"/>
                <w:color w:val="000000"/>
                <w:sz w:val="20"/>
                <w:szCs w:val="20"/>
                <w:lang w:val="es"/>
              </w:rPr>
              <w:t>“</w:t>
            </w:r>
            <w:r w:rsidRPr="00446955">
              <w:rPr>
                <w:rFonts w:ascii="Arial" w:eastAsia="Times New Roman" w:hAnsi="Arial" w:cs="Arial"/>
                <w:color w:val="000000"/>
                <w:sz w:val="20"/>
                <w:szCs w:val="20"/>
                <w:lang w:val="es"/>
              </w:rPr>
              <w:t>contar la historia de Singapur, compartir la experiencia singapurense e impartir nuestro espíritu de Singapur</w:t>
            </w:r>
            <w:r w:rsidR="00A5001C" w:rsidRPr="00446955">
              <w:rPr>
                <w:rFonts w:ascii="Arial" w:eastAsia="Times New Roman" w:hAnsi="Arial" w:cs="Arial"/>
                <w:color w:val="000000"/>
                <w:sz w:val="20"/>
                <w:szCs w:val="20"/>
                <w:lang w:val="es"/>
              </w:rPr>
              <w:t>”</w:t>
            </w:r>
            <w:r w:rsidRPr="00446955">
              <w:rPr>
                <w:rFonts w:ascii="Arial" w:eastAsia="Times New Roman" w:hAnsi="Arial" w:cs="Arial"/>
                <w:color w:val="000000"/>
                <w:sz w:val="20"/>
                <w:szCs w:val="20"/>
                <w:lang w:val="es"/>
              </w:rPr>
              <w:t xml:space="preserve">. Su misión es </w:t>
            </w:r>
            <w:r w:rsidR="00A5001C" w:rsidRPr="00446955">
              <w:rPr>
                <w:rFonts w:ascii="Arial" w:eastAsia="Times New Roman" w:hAnsi="Arial" w:cs="Arial"/>
                <w:color w:val="000000"/>
                <w:sz w:val="20"/>
                <w:szCs w:val="20"/>
                <w:lang w:val="es"/>
              </w:rPr>
              <w:t>“</w:t>
            </w:r>
            <w:r w:rsidRPr="00446955">
              <w:rPr>
                <w:rFonts w:ascii="Arial" w:eastAsia="Times New Roman" w:hAnsi="Arial" w:cs="Arial"/>
                <w:color w:val="000000"/>
                <w:sz w:val="20"/>
                <w:szCs w:val="20"/>
                <w:lang w:val="es"/>
              </w:rPr>
              <w:t>preservar y celebrar el patrimonio común de nuestras diversas comunidades, con fines educativos, de construcción nacional y de entendimiento cultural</w:t>
            </w:r>
            <w:r w:rsidR="00A5001C" w:rsidRPr="00446955">
              <w:rPr>
                <w:rFonts w:ascii="Arial" w:eastAsia="Times New Roman" w:hAnsi="Arial" w:cs="Arial"/>
                <w:color w:val="000000"/>
                <w:sz w:val="20"/>
                <w:szCs w:val="20"/>
                <w:lang w:val="es"/>
              </w:rPr>
              <w:t>”</w:t>
            </w:r>
            <w:r w:rsidRPr="00446955">
              <w:rPr>
                <w:rFonts w:ascii="Arial" w:eastAsia="Times New Roman" w:hAnsi="Arial" w:cs="Arial"/>
                <w:color w:val="000000"/>
                <w:sz w:val="20"/>
                <w:szCs w:val="20"/>
                <w:lang w:val="es"/>
              </w:rPr>
              <w:t>. Gestiona los museos nacionales y las instituciones patrimoniales y establece las políticas relativas a los sitios patrimoniales y los monumentos nacionales.</w:t>
            </w:r>
          </w:p>
        </w:tc>
      </w:tr>
      <w:tr w:rsidR="007D2FF7" w:rsidRPr="00446955" w14:paraId="6D169EA8" w14:textId="77777777" w:rsidTr="007F7AD7">
        <w:trPr>
          <w:trHeight w:val="144"/>
          <w:jc w:val="center"/>
        </w:trPr>
        <w:tc>
          <w:tcPr>
            <w:tcW w:w="1170" w:type="pct"/>
            <w:shd w:val="clear" w:color="auto" w:fill="auto"/>
            <w:vAlign w:val="center"/>
            <w:hideMark/>
          </w:tcPr>
          <w:p w14:paraId="7A97C0CA" w14:textId="77777777" w:rsidR="007D2FF7" w:rsidRPr="00446955" w:rsidRDefault="007D2FF7" w:rsidP="007F7AD7">
            <w:pPr>
              <w:spacing w:line="276" w:lineRule="auto"/>
              <w:jc w:val="both"/>
              <w:rPr>
                <w:rFonts w:ascii="Arial" w:eastAsia="Times New Roman" w:hAnsi="Arial" w:cs="Arial"/>
                <w:b/>
                <w:bCs/>
                <w:color w:val="000000"/>
                <w:sz w:val="20"/>
                <w:szCs w:val="20"/>
              </w:rPr>
            </w:pPr>
            <w:r w:rsidRPr="00446955">
              <w:rPr>
                <w:rFonts w:ascii="Arial" w:eastAsia="Times New Roman" w:hAnsi="Arial" w:cs="Arial"/>
                <w:b/>
                <w:bCs/>
                <w:color w:val="000000"/>
                <w:sz w:val="20"/>
                <w:szCs w:val="20"/>
                <w:lang w:val="es"/>
              </w:rPr>
              <w:t>Autoridad de Transporte Terrestre (LTA)</w:t>
            </w:r>
          </w:p>
        </w:tc>
        <w:tc>
          <w:tcPr>
            <w:tcW w:w="3830" w:type="pct"/>
            <w:shd w:val="clear" w:color="auto" w:fill="auto"/>
            <w:vAlign w:val="center"/>
            <w:hideMark/>
          </w:tcPr>
          <w:p w14:paraId="2ACBF22E" w14:textId="2A05FC27" w:rsidR="007D2FF7" w:rsidRPr="00446955" w:rsidRDefault="007D2FF7" w:rsidP="007F7AD7">
            <w:pPr>
              <w:spacing w:line="276" w:lineRule="auto"/>
              <w:jc w:val="both"/>
              <w:rPr>
                <w:rFonts w:ascii="Arial" w:eastAsia="Times New Roman" w:hAnsi="Arial" w:cs="Arial"/>
                <w:color w:val="000000"/>
                <w:sz w:val="20"/>
                <w:szCs w:val="20"/>
              </w:rPr>
            </w:pPr>
            <w:r w:rsidRPr="00446955">
              <w:rPr>
                <w:rFonts w:ascii="Arial" w:eastAsia="Times New Roman" w:hAnsi="Arial" w:cs="Arial"/>
                <w:color w:val="000000"/>
                <w:sz w:val="20"/>
                <w:szCs w:val="20"/>
                <w:lang w:val="es"/>
              </w:rPr>
              <w:t>Dirige el desarrollo del transporte terrestre y planifica, diseña, construye y mantiene infraestructuras y sistemas de transporte terrestre, incluido el transporte público y los sistemas para peatones y ciclistas. La LTA también es responsable de reforzar las infraestructuras ferroviarias y de autobuses y de desarrollar nuevas opciones para el futuro transporte terrestre.</w:t>
            </w:r>
          </w:p>
        </w:tc>
      </w:tr>
      <w:tr w:rsidR="007D2FF7" w:rsidRPr="00446955" w14:paraId="002A5398" w14:textId="77777777" w:rsidTr="007F7AD7">
        <w:trPr>
          <w:trHeight w:val="144"/>
          <w:jc w:val="center"/>
        </w:trPr>
        <w:tc>
          <w:tcPr>
            <w:tcW w:w="1170" w:type="pct"/>
            <w:shd w:val="clear" w:color="auto" w:fill="auto"/>
            <w:vAlign w:val="center"/>
          </w:tcPr>
          <w:p w14:paraId="17D18BF8" w14:textId="77777777" w:rsidR="007D2FF7" w:rsidRPr="00446955" w:rsidRDefault="007D2FF7" w:rsidP="007F7AD7">
            <w:pPr>
              <w:spacing w:line="276" w:lineRule="auto"/>
              <w:jc w:val="both"/>
              <w:rPr>
                <w:rFonts w:ascii="Arial" w:eastAsia="Times New Roman" w:hAnsi="Arial" w:cs="Arial"/>
                <w:b/>
                <w:bCs/>
                <w:color w:val="000000"/>
                <w:sz w:val="20"/>
                <w:szCs w:val="20"/>
              </w:rPr>
            </w:pPr>
            <w:r w:rsidRPr="00446955">
              <w:rPr>
                <w:rFonts w:ascii="Arial" w:eastAsia="Times New Roman" w:hAnsi="Arial" w:cs="Arial"/>
                <w:b/>
                <w:bCs/>
                <w:color w:val="000000"/>
                <w:sz w:val="20"/>
                <w:szCs w:val="20"/>
                <w:lang w:val="es"/>
              </w:rPr>
              <w:t>Consejo de Vivienda y Desarrollo (HDB)</w:t>
            </w:r>
          </w:p>
        </w:tc>
        <w:tc>
          <w:tcPr>
            <w:tcW w:w="3830" w:type="pct"/>
            <w:shd w:val="clear" w:color="auto" w:fill="auto"/>
            <w:vAlign w:val="center"/>
          </w:tcPr>
          <w:p w14:paraId="5CF36303" w14:textId="77777777" w:rsidR="007D2FF7" w:rsidRPr="00446955" w:rsidRDefault="007D2FF7" w:rsidP="007F7AD7">
            <w:pPr>
              <w:spacing w:line="276" w:lineRule="auto"/>
              <w:jc w:val="both"/>
              <w:rPr>
                <w:rFonts w:ascii="Arial" w:eastAsia="Times New Roman" w:hAnsi="Arial" w:cs="Arial"/>
                <w:color w:val="000000"/>
                <w:sz w:val="20"/>
                <w:szCs w:val="20"/>
              </w:rPr>
            </w:pPr>
            <w:r w:rsidRPr="00446955">
              <w:rPr>
                <w:rFonts w:ascii="Arial" w:eastAsia="Times New Roman" w:hAnsi="Arial" w:cs="Arial"/>
                <w:color w:val="000000"/>
                <w:sz w:val="20"/>
                <w:szCs w:val="20"/>
                <w:lang w:val="es"/>
              </w:rPr>
              <w:t xml:space="preserve">Es la </w:t>
            </w:r>
            <w:proofErr w:type="gramStart"/>
            <w:r w:rsidRPr="00446955">
              <w:rPr>
                <w:rFonts w:ascii="Arial" w:eastAsia="Times New Roman" w:hAnsi="Arial" w:cs="Arial"/>
                <w:color w:val="000000"/>
                <w:sz w:val="20"/>
                <w:szCs w:val="20"/>
                <w:lang w:val="es"/>
              </w:rPr>
              <w:t>autoridad pública</w:t>
            </w:r>
            <w:proofErr w:type="gramEnd"/>
            <w:r w:rsidRPr="00446955">
              <w:rPr>
                <w:rFonts w:ascii="Arial" w:eastAsia="Times New Roman" w:hAnsi="Arial" w:cs="Arial"/>
                <w:color w:val="000000"/>
                <w:sz w:val="20"/>
                <w:szCs w:val="20"/>
                <w:lang w:val="es"/>
              </w:rPr>
              <w:t xml:space="preserve"> de la vivienda y se encarga de planificar y desarrollar urbanizaciones y proporcionar servicios comerciales, recreativos y sociales en las ciudades de Singapur.</w:t>
            </w:r>
          </w:p>
        </w:tc>
      </w:tr>
      <w:tr w:rsidR="007D2FF7" w:rsidRPr="00446955" w14:paraId="328A0804" w14:textId="77777777" w:rsidTr="007F7AD7">
        <w:trPr>
          <w:trHeight w:val="144"/>
          <w:jc w:val="center"/>
        </w:trPr>
        <w:tc>
          <w:tcPr>
            <w:tcW w:w="1170" w:type="pct"/>
            <w:shd w:val="clear" w:color="auto" w:fill="auto"/>
            <w:vAlign w:val="center"/>
            <w:hideMark/>
          </w:tcPr>
          <w:p w14:paraId="72D5981A" w14:textId="77777777" w:rsidR="007D2FF7" w:rsidRPr="007F7AD7" w:rsidRDefault="007D2FF7" w:rsidP="007F7AD7">
            <w:pPr>
              <w:spacing w:line="276" w:lineRule="auto"/>
              <w:jc w:val="both"/>
              <w:rPr>
                <w:rFonts w:ascii="Arial" w:eastAsia="Times New Roman" w:hAnsi="Arial" w:cs="Arial"/>
                <w:b/>
                <w:bCs/>
                <w:color w:val="000000"/>
                <w:sz w:val="20"/>
                <w:szCs w:val="20"/>
                <w:lang w:val="pt-BR"/>
              </w:rPr>
            </w:pPr>
            <w:r w:rsidRPr="007F7AD7">
              <w:rPr>
                <w:rFonts w:ascii="Arial" w:eastAsia="Times New Roman" w:hAnsi="Arial" w:cs="Arial"/>
                <w:b/>
                <w:bCs/>
                <w:color w:val="000000"/>
                <w:sz w:val="20"/>
                <w:szCs w:val="20"/>
                <w:lang w:val="pt-BR"/>
              </w:rPr>
              <w:t>Junta de Parques Nacionales (NPB)</w:t>
            </w:r>
          </w:p>
        </w:tc>
        <w:tc>
          <w:tcPr>
            <w:tcW w:w="3830" w:type="pct"/>
            <w:shd w:val="clear" w:color="auto" w:fill="auto"/>
            <w:vAlign w:val="center"/>
            <w:hideMark/>
          </w:tcPr>
          <w:p w14:paraId="07390BE5" w14:textId="77777777" w:rsidR="007D2FF7" w:rsidRPr="00446955" w:rsidRDefault="007D2FF7" w:rsidP="007F7AD7">
            <w:pPr>
              <w:spacing w:line="276" w:lineRule="auto"/>
              <w:jc w:val="both"/>
              <w:rPr>
                <w:rFonts w:ascii="Arial" w:eastAsia="Times New Roman" w:hAnsi="Arial" w:cs="Arial"/>
                <w:color w:val="000000"/>
                <w:sz w:val="20"/>
                <w:szCs w:val="20"/>
              </w:rPr>
            </w:pPr>
            <w:r w:rsidRPr="00446955">
              <w:rPr>
                <w:rFonts w:ascii="Arial" w:eastAsia="Times New Roman" w:hAnsi="Arial" w:cs="Arial"/>
                <w:color w:val="000000"/>
                <w:sz w:val="20"/>
                <w:szCs w:val="20"/>
                <w:lang w:val="es"/>
              </w:rPr>
              <w:t>Es la agencia principal en materia de zonas verdes, conservación de la biodiversidad, y sanidad, bienestar y gestión de la fauna salvaje y animal. Gestiona unos 400 parques y 3 347 hectáreas de reservas naturales, entre otros activos ecológicos. Además, cada año organiza más de 3 500 programas educativos y de divulgación.</w:t>
            </w:r>
          </w:p>
        </w:tc>
      </w:tr>
    </w:tbl>
    <w:p w14:paraId="7462414A" w14:textId="77777777" w:rsidR="007D2FF7" w:rsidRPr="007F7AD7" w:rsidRDefault="007D2FF7" w:rsidP="007F7AD7">
      <w:pPr>
        <w:spacing w:line="276" w:lineRule="auto"/>
        <w:jc w:val="both"/>
        <w:rPr>
          <w:rFonts w:ascii="Arial" w:hAnsi="Arial" w:cs="Arial"/>
          <w:sz w:val="20"/>
          <w:szCs w:val="20"/>
        </w:rPr>
      </w:pPr>
    </w:p>
    <w:p w14:paraId="786FAACA" w14:textId="42A73038" w:rsidR="007D2FF7" w:rsidRPr="007F7AD7" w:rsidRDefault="007D2FF7" w:rsidP="007F7AD7">
      <w:pPr>
        <w:spacing w:line="276" w:lineRule="auto"/>
        <w:jc w:val="both"/>
        <w:rPr>
          <w:rFonts w:ascii="Arial" w:hAnsi="Arial" w:cs="Arial"/>
          <w:sz w:val="20"/>
          <w:szCs w:val="20"/>
        </w:rPr>
      </w:pPr>
      <w:r w:rsidRPr="007F7AD7">
        <w:rPr>
          <w:rFonts w:ascii="Arial" w:hAnsi="Arial" w:cs="Arial"/>
          <w:sz w:val="20"/>
          <w:szCs w:val="20"/>
          <w:lang w:val="es"/>
        </w:rPr>
        <w:t>Los organismos mencionados desempeña</w:t>
      </w:r>
      <w:r w:rsidR="00A5001C" w:rsidRPr="007F7AD7">
        <w:rPr>
          <w:rFonts w:ascii="Arial" w:hAnsi="Arial" w:cs="Arial"/>
          <w:sz w:val="20"/>
          <w:szCs w:val="20"/>
          <w:lang w:val="es"/>
        </w:rPr>
        <w:t>ro</w:t>
      </w:r>
      <w:r w:rsidRPr="007F7AD7">
        <w:rPr>
          <w:rFonts w:ascii="Arial" w:hAnsi="Arial" w:cs="Arial"/>
          <w:sz w:val="20"/>
          <w:szCs w:val="20"/>
          <w:lang w:val="es"/>
        </w:rPr>
        <w:t xml:space="preserve">n un papel clave en la elaboración del Plan Maestro y su </w:t>
      </w:r>
      <w:proofErr w:type="gramStart"/>
      <w:r w:rsidRPr="007F7AD7">
        <w:rPr>
          <w:rFonts w:ascii="Arial" w:hAnsi="Arial" w:cs="Arial"/>
          <w:sz w:val="20"/>
          <w:szCs w:val="20"/>
          <w:lang w:val="es"/>
        </w:rPr>
        <w:t>participación activa</w:t>
      </w:r>
      <w:proofErr w:type="gramEnd"/>
      <w:r w:rsidRPr="007F7AD7">
        <w:rPr>
          <w:rFonts w:ascii="Arial" w:hAnsi="Arial" w:cs="Arial"/>
          <w:sz w:val="20"/>
          <w:szCs w:val="20"/>
          <w:lang w:val="es"/>
        </w:rPr>
        <w:t xml:space="preserve"> tiene por objeto identificar oportunidades conjuntas para establecer y cumplir los objetivos del plan y prever posibles obstáculos para su aplicación. Su participación temprana también tiene por objeto garantizar una alineación adecuada con respecto a las políticas y medidas que deben incluirse en el plan. En este caso, la participación del Consejo del Patrimonio Nacional contribuye a incorporar el sector cultural al proceso de planificación y merece la pena destacarlo, ya que estos sectores suelen funcionar en silos institucionales en muchos países.</w:t>
      </w:r>
    </w:p>
    <w:p w14:paraId="6EF811C6" w14:textId="77777777" w:rsidR="007D2FF7" w:rsidRPr="007F7AD7" w:rsidRDefault="007D2FF7" w:rsidP="007F7AD7">
      <w:pPr>
        <w:spacing w:line="276" w:lineRule="auto"/>
        <w:jc w:val="both"/>
        <w:rPr>
          <w:rFonts w:ascii="Arial" w:hAnsi="Arial" w:cs="Arial"/>
          <w:sz w:val="20"/>
          <w:szCs w:val="20"/>
        </w:rPr>
      </w:pPr>
    </w:p>
    <w:p w14:paraId="3DCEC5A7" w14:textId="20AF5C55" w:rsidR="007D2FF7" w:rsidRPr="007F7AD7" w:rsidRDefault="007D2FF7" w:rsidP="007F7AD7">
      <w:pPr>
        <w:spacing w:line="276" w:lineRule="auto"/>
        <w:jc w:val="both"/>
        <w:rPr>
          <w:rFonts w:ascii="Arial" w:hAnsi="Arial" w:cs="Arial"/>
          <w:sz w:val="20"/>
          <w:szCs w:val="20"/>
        </w:rPr>
      </w:pPr>
      <w:r w:rsidRPr="007F7AD7">
        <w:rPr>
          <w:rFonts w:ascii="Arial" w:hAnsi="Arial" w:cs="Arial"/>
          <w:sz w:val="20"/>
          <w:szCs w:val="20"/>
          <w:lang w:val="es"/>
        </w:rPr>
        <w:t xml:space="preserve">También cabe destacar que la Autoridad de Edificación y Construcción de Singapur ha creado un Comité de Coordinación Interinstitucional (IACC) </w:t>
      </w:r>
      <w:r w:rsidR="00A5001C" w:rsidRPr="007F7AD7">
        <w:rPr>
          <w:rFonts w:ascii="Arial" w:hAnsi="Arial" w:cs="Arial"/>
          <w:sz w:val="20"/>
          <w:szCs w:val="20"/>
          <w:lang w:val="es"/>
        </w:rPr>
        <w:t>“</w:t>
      </w:r>
      <w:r w:rsidRPr="007F7AD7">
        <w:rPr>
          <w:rFonts w:ascii="Arial" w:hAnsi="Arial" w:cs="Arial"/>
          <w:sz w:val="20"/>
          <w:szCs w:val="20"/>
          <w:lang w:val="es"/>
        </w:rPr>
        <w:t>para ayudar a los socios del sector a resolver cuestiones relacionadas con los requisitos reglamentarios interinstitucionales, con el fin de permitir un proceso de aprobación reglamentaria más fluido y rápido</w:t>
      </w:r>
      <w:r w:rsidR="00A5001C" w:rsidRPr="007F7AD7">
        <w:rPr>
          <w:rFonts w:ascii="Arial" w:hAnsi="Arial" w:cs="Arial"/>
          <w:sz w:val="20"/>
          <w:szCs w:val="20"/>
          <w:lang w:val="es"/>
        </w:rPr>
        <w:t>”</w:t>
      </w:r>
      <w:r w:rsidRPr="007F7AD7">
        <w:rPr>
          <w:rFonts w:ascii="Arial" w:hAnsi="Arial" w:cs="Arial"/>
          <w:sz w:val="20"/>
          <w:szCs w:val="20"/>
          <w:lang w:val="es"/>
        </w:rPr>
        <w:t>. El IACC está formado por representantes de organismos reguladores, institutos profesionales, asociaciones industriales y promotores del sector público, incluidos organismos implicados en la planificación y el desarrollo, como la Autoridad de Reordenación Urbana, la Autoridad de Suelo y Transporte, el Ministerio de Hacienda y la Agencia Nacional de Medio Ambiente. El IACC es un ejemplo de entidad de coordinación que puede permitir la coordinación multisectorial con múltiples fines.</w:t>
      </w:r>
    </w:p>
    <w:p w14:paraId="408160B9" w14:textId="77777777" w:rsidR="007D2FF7" w:rsidRPr="007F7AD7" w:rsidRDefault="007D2FF7" w:rsidP="007F7AD7">
      <w:pPr>
        <w:spacing w:line="276" w:lineRule="auto"/>
        <w:jc w:val="both"/>
        <w:rPr>
          <w:rFonts w:ascii="Arial" w:hAnsi="Arial" w:cs="Arial"/>
          <w:sz w:val="20"/>
          <w:szCs w:val="20"/>
        </w:rPr>
      </w:pPr>
    </w:p>
    <w:p w14:paraId="59DB9896" w14:textId="64BD4A37" w:rsidR="00446955" w:rsidRPr="007F7AD7" w:rsidRDefault="007D2FF7" w:rsidP="007F7AD7">
      <w:pPr>
        <w:pBdr>
          <w:top w:val="single" w:sz="4" w:space="1" w:color="auto"/>
          <w:left w:val="single" w:sz="4" w:space="0" w:color="auto"/>
          <w:bottom w:val="single" w:sz="4" w:space="1" w:color="auto"/>
          <w:right w:val="single" w:sz="4" w:space="4" w:color="auto"/>
        </w:pBdr>
        <w:shd w:val="clear" w:color="auto" w:fill="F2F2F2" w:themeFill="background1" w:themeFillShade="F2"/>
        <w:spacing w:line="276" w:lineRule="auto"/>
        <w:jc w:val="both"/>
      </w:pPr>
      <w:r w:rsidRPr="007F7AD7">
        <w:rPr>
          <w:rFonts w:ascii="Arial" w:hAnsi="Arial" w:cs="Arial"/>
          <w:sz w:val="20"/>
          <w:szCs w:val="20"/>
          <w:lang w:val="es"/>
        </w:rPr>
        <w:t xml:space="preserve">El proceso de coordinación del Plan Maestro </w:t>
      </w:r>
      <w:r w:rsidR="00A5001C" w:rsidRPr="007F7AD7">
        <w:rPr>
          <w:rFonts w:ascii="Arial" w:hAnsi="Arial" w:cs="Arial"/>
          <w:sz w:val="20"/>
          <w:szCs w:val="20"/>
          <w:lang w:val="es"/>
        </w:rPr>
        <w:t xml:space="preserve">de </w:t>
      </w:r>
      <w:r w:rsidRPr="007F7AD7">
        <w:rPr>
          <w:rFonts w:ascii="Arial" w:hAnsi="Arial" w:cs="Arial"/>
          <w:sz w:val="20"/>
          <w:szCs w:val="20"/>
          <w:lang w:val="es"/>
        </w:rPr>
        <w:t xml:space="preserve">2019 ejemplifica el tipo de procesos transversales que son fundamentales para la incorporación del </w:t>
      </w:r>
      <w:r w:rsidR="003E3706">
        <w:rPr>
          <w:rFonts w:ascii="Arial" w:hAnsi="Arial" w:cs="Arial"/>
          <w:sz w:val="20"/>
          <w:szCs w:val="20"/>
          <w:lang w:val="es"/>
        </w:rPr>
        <w:t>patrimonio cultural inmaterial</w:t>
      </w:r>
      <w:r w:rsidRPr="007F7AD7">
        <w:rPr>
          <w:rFonts w:ascii="Arial" w:hAnsi="Arial" w:cs="Arial"/>
          <w:sz w:val="20"/>
          <w:szCs w:val="20"/>
          <w:lang w:val="es"/>
        </w:rPr>
        <w:t xml:space="preserve"> en la planificación urbana. En concreto, la coordinación multisectorial puede ayudar a aprovechar los conocimientos, la experiencia y los recursos de las partes interesadas de los sectores de la cultura y la planificación, entre otros, para avanzar en los esfuerzos concertados de salvaguardia del patrimonio cultural inmaterial. </w:t>
      </w:r>
    </w:p>
    <w:p w14:paraId="48A4FE6F" w14:textId="74F799FE" w:rsidR="007D2FF7" w:rsidRPr="007F7AD7" w:rsidRDefault="007D2FF7" w:rsidP="007F7AD7">
      <w:pPr>
        <w:pStyle w:val="Heading1"/>
        <w:numPr>
          <w:ilvl w:val="2"/>
          <w:numId w:val="12"/>
        </w:numPr>
        <w:spacing w:line="276" w:lineRule="auto"/>
        <w:ind w:left="2160" w:hanging="360"/>
        <w:jc w:val="both"/>
        <w:rPr>
          <w:rFonts w:ascii="Arial" w:hAnsi="Arial" w:cs="Arial"/>
          <w:color w:val="2F51F9"/>
          <w:sz w:val="20"/>
          <w:szCs w:val="20"/>
        </w:rPr>
      </w:pPr>
      <w:r w:rsidRPr="007F7AD7">
        <w:rPr>
          <w:rFonts w:ascii="Arial" w:hAnsi="Arial" w:cs="Arial"/>
          <w:color w:val="2F51F9"/>
          <w:sz w:val="20"/>
          <w:szCs w:val="20"/>
          <w:lang w:val="es"/>
        </w:rPr>
        <w:lastRenderedPageBreak/>
        <w:t>Participación pública y consulta</w:t>
      </w:r>
    </w:p>
    <w:p w14:paraId="7CC1D5B7" w14:textId="77777777" w:rsidR="007D2FF7" w:rsidRPr="007F7AD7" w:rsidRDefault="007D2FF7" w:rsidP="007F7AD7">
      <w:pPr>
        <w:spacing w:line="276" w:lineRule="auto"/>
        <w:jc w:val="both"/>
        <w:rPr>
          <w:rFonts w:ascii="Arial" w:hAnsi="Arial" w:cs="Arial"/>
          <w:sz w:val="20"/>
          <w:szCs w:val="20"/>
        </w:rPr>
      </w:pPr>
    </w:p>
    <w:p w14:paraId="3330D52D" w14:textId="0195BE13" w:rsidR="007D2FF7" w:rsidRPr="007F7AD7" w:rsidRDefault="007D2FF7" w:rsidP="007F7AD7">
      <w:pPr>
        <w:spacing w:line="276" w:lineRule="auto"/>
        <w:jc w:val="both"/>
        <w:rPr>
          <w:rFonts w:ascii="Arial" w:hAnsi="Arial" w:cs="Arial"/>
          <w:sz w:val="20"/>
          <w:szCs w:val="20"/>
        </w:rPr>
      </w:pPr>
      <w:r w:rsidRPr="007F7AD7">
        <w:rPr>
          <w:rFonts w:ascii="Arial" w:hAnsi="Arial" w:cs="Arial"/>
          <w:sz w:val="20"/>
          <w:szCs w:val="20"/>
          <w:lang w:val="es"/>
        </w:rPr>
        <w:t>El proceso de elaboración del Plan Maestro 2019 comprende un amplio proceso de participación y consulta pública que es otro aspecto central de la metodología para incorporar el PCI en la planificación</w:t>
      </w:r>
      <w:r w:rsidR="00820AA6" w:rsidRPr="007F7AD7">
        <w:rPr>
          <w:rFonts w:ascii="Arial" w:hAnsi="Arial" w:cs="Arial"/>
          <w:sz w:val="20"/>
          <w:szCs w:val="20"/>
          <w:lang w:val="es"/>
        </w:rPr>
        <w:t xml:space="preserve"> urbana</w:t>
      </w:r>
      <w:r w:rsidRPr="007F7AD7">
        <w:rPr>
          <w:rFonts w:ascii="Arial" w:hAnsi="Arial" w:cs="Arial"/>
          <w:sz w:val="20"/>
          <w:szCs w:val="20"/>
          <w:lang w:val="es"/>
        </w:rPr>
        <w:t xml:space="preserve">. La URA se puso en contacto con múltiples grupos de partes interesadas de las comunidades locales, profesionales del sector, organizaciones de base e instituciones académicas para informar sobre la preparación del Plan Maestro </w:t>
      </w:r>
      <w:r w:rsidR="00820AA6" w:rsidRPr="007F7AD7">
        <w:rPr>
          <w:rFonts w:ascii="Arial" w:hAnsi="Arial" w:cs="Arial"/>
          <w:sz w:val="20"/>
          <w:szCs w:val="20"/>
          <w:lang w:val="es"/>
        </w:rPr>
        <w:t xml:space="preserve">de </w:t>
      </w:r>
      <w:r w:rsidRPr="007F7AD7">
        <w:rPr>
          <w:rFonts w:ascii="Arial" w:hAnsi="Arial" w:cs="Arial"/>
          <w:sz w:val="20"/>
          <w:szCs w:val="20"/>
          <w:lang w:val="es"/>
        </w:rPr>
        <w:t xml:space="preserve">2019. Estas actividades incluyeron exposiciones públicas, sesiones de grupos de discusión, talleres comunitarios y reuniones con las partes interesadas. A </w:t>
      </w:r>
      <w:r w:rsidR="00446955" w:rsidRPr="00446955">
        <w:rPr>
          <w:rFonts w:ascii="Arial" w:hAnsi="Arial" w:cs="Arial"/>
          <w:sz w:val="20"/>
          <w:szCs w:val="20"/>
          <w:lang w:val="es"/>
        </w:rPr>
        <w:t>continuación,</w:t>
      </w:r>
      <w:r w:rsidRPr="007F7AD7">
        <w:rPr>
          <w:rFonts w:ascii="Arial" w:hAnsi="Arial" w:cs="Arial"/>
          <w:sz w:val="20"/>
          <w:szCs w:val="20"/>
          <w:lang w:val="es"/>
        </w:rPr>
        <w:t xml:space="preserve"> se describen las principales actividades:</w:t>
      </w:r>
    </w:p>
    <w:p w14:paraId="736EF763" w14:textId="1FF76A66" w:rsidR="007D2FF7" w:rsidRPr="007F7AD7" w:rsidRDefault="007D2FF7" w:rsidP="007F7AD7">
      <w:pPr>
        <w:spacing w:line="276" w:lineRule="auto"/>
        <w:jc w:val="both"/>
        <w:rPr>
          <w:rFonts w:ascii="Arial" w:hAnsi="Arial" w:cs="Arial"/>
          <w:sz w:val="20"/>
          <w:szCs w:val="20"/>
        </w:rPr>
      </w:pPr>
    </w:p>
    <w:p w14:paraId="03157B38" w14:textId="168F0134" w:rsidR="007D2FF7" w:rsidRPr="007F7AD7" w:rsidRDefault="007D2FF7" w:rsidP="007F7AD7">
      <w:pPr>
        <w:pStyle w:val="ListParagraph"/>
        <w:numPr>
          <w:ilvl w:val="0"/>
          <w:numId w:val="7"/>
        </w:numPr>
        <w:spacing w:line="276" w:lineRule="auto"/>
        <w:jc w:val="both"/>
        <w:rPr>
          <w:rFonts w:ascii="Arial" w:hAnsi="Arial" w:cs="Arial"/>
          <w:sz w:val="20"/>
          <w:szCs w:val="20"/>
        </w:rPr>
      </w:pPr>
      <w:r w:rsidRPr="007F7AD7">
        <w:rPr>
          <w:rFonts w:ascii="Arial" w:hAnsi="Arial" w:cs="Arial"/>
          <w:b/>
          <w:bCs/>
          <w:sz w:val="20"/>
          <w:szCs w:val="20"/>
          <w:lang w:val="es"/>
        </w:rPr>
        <w:t>Serie de exposiciones:</w:t>
      </w:r>
      <w:r w:rsidRPr="007F7AD7">
        <w:rPr>
          <w:rFonts w:ascii="Arial" w:hAnsi="Arial" w:cs="Arial"/>
          <w:sz w:val="20"/>
          <w:szCs w:val="20"/>
          <w:lang w:val="es"/>
        </w:rPr>
        <w:t xml:space="preserve"> </w:t>
      </w:r>
      <w:r w:rsidR="00820AA6" w:rsidRPr="007F7AD7">
        <w:rPr>
          <w:rFonts w:ascii="Arial" w:hAnsi="Arial" w:cs="Arial"/>
          <w:sz w:val="20"/>
          <w:szCs w:val="20"/>
          <w:lang w:val="es"/>
        </w:rPr>
        <w:t>a</w:t>
      </w:r>
      <w:r w:rsidRPr="007F7AD7">
        <w:rPr>
          <w:rFonts w:ascii="Arial" w:hAnsi="Arial" w:cs="Arial"/>
          <w:sz w:val="20"/>
          <w:szCs w:val="20"/>
          <w:lang w:val="es"/>
        </w:rPr>
        <w:t xml:space="preserve">ntes del lanzamiento de la exposición principal del Proyecto del Plan Maestro en marzo de 2019, se celebraron una serie de exposiciones públicas </w:t>
      </w:r>
      <w:r w:rsidR="002E571E" w:rsidRPr="007F7AD7">
        <w:rPr>
          <w:rFonts w:ascii="Arial" w:hAnsi="Arial" w:cs="Arial"/>
          <w:sz w:val="20"/>
          <w:szCs w:val="20"/>
          <w:lang w:val="es"/>
        </w:rPr>
        <w:t>en menor escala</w:t>
      </w:r>
      <w:r w:rsidRPr="007F7AD7">
        <w:rPr>
          <w:rFonts w:ascii="Arial" w:hAnsi="Arial" w:cs="Arial"/>
          <w:sz w:val="20"/>
          <w:szCs w:val="20"/>
          <w:lang w:val="es"/>
        </w:rPr>
        <w:t xml:space="preserve"> entre 2016 y 2018 para mostrar las propuestas e ideas de la URA. Estas exposiciones permitieron a la URA recabar la opinión de diversas partes interesadas y perfeccionar las propuestas antes de la presentación del Proyecto de Plan Maestro.</w:t>
      </w:r>
    </w:p>
    <w:p w14:paraId="428F9B98" w14:textId="77777777" w:rsidR="00F72725" w:rsidRPr="007F7AD7" w:rsidRDefault="00F72725" w:rsidP="007F7AD7">
      <w:pPr>
        <w:pStyle w:val="ListParagraph"/>
        <w:spacing w:line="276" w:lineRule="auto"/>
        <w:jc w:val="both"/>
        <w:rPr>
          <w:rFonts w:ascii="Arial" w:hAnsi="Arial" w:cs="Arial"/>
          <w:sz w:val="20"/>
          <w:szCs w:val="20"/>
        </w:rPr>
      </w:pPr>
    </w:p>
    <w:p w14:paraId="6A24B62F" w14:textId="140813CE" w:rsidR="007D2FF7" w:rsidRPr="007F7AD7" w:rsidRDefault="007D2FF7" w:rsidP="007F7AD7">
      <w:pPr>
        <w:pStyle w:val="ListParagraph"/>
        <w:numPr>
          <w:ilvl w:val="0"/>
          <w:numId w:val="7"/>
        </w:numPr>
        <w:spacing w:line="276" w:lineRule="auto"/>
        <w:jc w:val="both"/>
        <w:rPr>
          <w:rFonts w:ascii="Arial" w:hAnsi="Arial" w:cs="Arial"/>
          <w:sz w:val="20"/>
          <w:szCs w:val="20"/>
        </w:rPr>
      </w:pPr>
      <w:r w:rsidRPr="007F7AD7">
        <w:rPr>
          <w:rFonts w:ascii="Arial" w:hAnsi="Arial" w:cs="Arial"/>
          <w:b/>
          <w:bCs/>
          <w:sz w:val="20"/>
          <w:szCs w:val="20"/>
          <w:lang w:val="es"/>
        </w:rPr>
        <w:t>Participación local y comunitaria:</w:t>
      </w:r>
      <w:r w:rsidRPr="007F7AD7">
        <w:rPr>
          <w:rFonts w:ascii="Arial" w:hAnsi="Arial" w:cs="Arial"/>
          <w:sz w:val="20"/>
          <w:szCs w:val="20"/>
          <w:lang w:val="es"/>
        </w:rPr>
        <w:t xml:space="preserve"> </w:t>
      </w:r>
      <w:r w:rsidR="00820AA6" w:rsidRPr="007F7AD7">
        <w:rPr>
          <w:rFonts w:ascii="Arial" w:hAnsi="Arial" w:cs="Arial"/>
          <w:sz w:val="20"/>
          <w:szCs w:val="20"/>
          <w:lang w:val="es"/>
        </w:rPr>
        <w:t>p</w:t>
      </w:r>
      <w:r w:rsidRPr="007F7AD7">
        <w:rPr>
          <w:rFonts w:ascii="Arial" w:hAnsi="Arial" w:cs="Arial"/>
          <w:sz w:val="20"/>
          <w:szCs w:val="20"/>
          <w:lang w:val="es"/>
        </w:rPr>
        <w:t>ara las áreas locales afectadas por planes de desarrollo o nuevas directrices políticas, la URA organizó sesiones de participación y talleres de diseño para compartir sus propuestas, escuchar las opiniones de las partes interesadas y permitir a la comunidad aportar ideas a los proyectos de planes. La información recibida contribuyó a la revisión de los planes de estas zonas y permitió a los planificadores entablar relaciones con las partes interesadas de muchos barrios.</w:t>
      </w:r>
    </w:p>
    <w:p w14:paraId="493D8621" w14:textId="77777777" w:rsidR="00F72725" w:rsidRPr="007F7AD7" w:rsidRDefault="00F72725" w:rsidP="007F7AD7">
      <w:pPr>
        <w:pStyle w:val="ListParagraph"/>
        <w:spacing w:line="276" w:lineRule="auto"/>
        <w:jc w:val="both"/>
        <w:rPr>
          <w:rFonts w:ascii="Arial" w:hAnsi="Arial" w:cs="Arial"/>
          <w:sz w:val="20"/>
          <w:szCs w:val="20"/>
        </w:rPr>
      </w:pPr>
    </w:p>
    <w:p w14:paraId="1D6E14AD" w14:textId="52C25805" w:rsidR="007D2FF7" w:rsidRPr="007F7AD7" w:rsidRDefault="007D2FF7" w:rsidP="007F7AD7">
      <w:pPr>
        <w:pStyle w:val="ListParagraph"/>
        <w:numPr>
          <w:ilvl w:val="0"/>
          <w:numId w:val="6"/>
        </w:numPr>
        <w:spacing w:line="276" w:lineRule="auto"/>
        <w:jc w:val="both"/>
        <w:rPr>
          <w:rFonts w:ascii="Arial" w:hAnsi="Arial" w:cs="Arial"/>
          <w:sz w:val="20"/>
          <w:szCs w:val="20"/>
        </w:rPr>
      </w:pPr>
      <w:r w:rsidRPr="007F7AD7">
        <w:rPr>
          <w:rFonts w:ascii="Arial" w:hAnsi="Arial" w:cs="Arial"/>
          <w:b/>
          <w:bCs/>
          <w:sz w:val="20"/>
          <w:szCs w:val="20"/>
          <w:lang w:val="es"/>
        </w:rPr>
        <w:t>Exposición del Proyecto de Plan Maestro (DMP2019):</w:t>
      </w:r>
      <w:r w:rsidRPr="007F7AD7">
        <w:rPr>
          <w:rFonts w:ascii="Arial" w:hAnsi="Arial" w:cs="Arial"/>
          <w:sz w:val="20"/>
          <w:szCs w:val="20"/>
          <w:lang w:val="es"/>
        </w:rPr>
        <w:t xml:space="preserve"> </w:t>
      </w:r>
      <w:r w:rsidR="00820AA6" w:rsidRPr="007F7AD7">
        <w:rPr>
          <w:rFonts w:ascii="Arial" w:hAnsi="Arial" w:cs="Arial"/>
          <w:sz w:val="20"/>
          <w:szCs w:val="20"/>
          <w:lang w:val="es"/>
        </w:rPr>
        <w:t>l</w:t>
      </w:r>
      <w:r w:rsidRPr="007F7AD7">
        <w:rPr>
          <w:rFonts w:ascii="Arial" w:hAnsi="Arial" w:cs="Arial"/>
          <w:sz w:val="20"/>
          <w:szCs w:val="20"/>
          <w:lang w:val="es"/>
        </w:rPr>
        <w:t xml:space="preserve">a exposición se celebró en el centro URA entre el 27 de marzo y el 21 de junio de 2019. Para implicar en las propuestas a las comunidades locales y al sector, los planificadores, arquitectos y voluntarios de URA organizaron más de 400 visitas guiadas para las partes interesadas de la comunidad, organismos asociados, profesionales del sector privado, grupos de interés y público en general. Más de 25 000 visitantes </w:t>
      </w:r>
      <w:r w:rsidR="00500E11" w:rsidRPr="007F7AD7">
        <w:rPr>
          <w:rFonts w:ascii="Arial" w:hAnsi="Arial" w:cs="Arial"/>
          <w:sz w:val="20"/>
          <w:szCs w:val="20"/>
          <w:lang w:val="es"/>
        </w:rPr>
        <w:t>atendieron</w:t>
      </w:r>
      <w:r w:rsidRPr="007F7AD7">
        <w:rPr>
          <w:rFonts w:ascii="Arial" w:hAnsi="Arial" w:cs="Arial"/>
          <w:sz w:val="20"/>
          <w:szCs w:val="20"/>
          <w:lang w:val="es"/>
        </w:rPr>
        <w:t xml:space="preserve"> la exposición, y más de 110 000 visitantes únicos consultaron el sitio web del DMP19. Además, se exhibieron contenidos seleccionados de la exposición DMP19 en otros 5 lugares de la ciudad durante un periodo de tiempo adicional.</w:t>
      </w:r>
    </w:p>
    <w:p w14:paraId="231BF509" w14:textId="77777777" w:rsidR="007D2FF7" w:rsidRPr="007F7AD7" w:rsidRDefault="007D2FF7" w:rsidP="007F7AD7">
      <w:pPr>
        <w:spacing w:line="276" w:lineRule="auto"/>
        <w:jc w:val="both"/>
        <w:rPr>
          <w:rFonts w:ascii="Arial" w:hAnsi="Arial" w:cs="Arial"/>
          <w:sz w:val="20"/>
          <w:szCs w:val="20"/>
        </w:rPr>
      </w:pPr>
    </w:p>
    <w:p w14:paraId="029418FD" w14:textId="40C35A72" w:rsidR="007D2FF7" w:rsidRPr="007F7AD7" w:rsidRDefault="007D2FF7" w:rsidP="007F7AD7">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Arial" w:hAnsi="Arial" w:cs="Arial"/>
          <w:sz w:val="20"/>
          <w:szCs w:val="20"/>
        </w:rPr>
      </w:pPr>
      <w:r w:rsidRPr="007F7AD7">
        <w:rPr>
          <w:rFonts w:ascii="Arial" w:hAnsi="Arial" w:cs="Arial"/>
          <w:sz w:val="20"/>
          <w:szCs w:val="20"/>
          <w:lang w:val="es"/>
        </w:rPr>
        <w:t>Los procesos participativos mencionados demuestran un proceso transversal clave para la incorporación del PCI en la planificación, a saber, la implicación de individuos</w:t>
      </w:r>
      <w:r w:rsidR="00E64C3B" w:rsidRPr="007F7AD7">
        <w:rPr>
          <w:rFonts w:ascii="Arial" w:hAnsi="Arial" w:cs="Arial"/>
          <w:sz w:val="20"/>
          <w:szCs w:val="20"/>
          <w:lang w:val="es"/>
        </w:rPr>
        <w:t>,</w:t>
      </w:r>
      <w:r w:rsidRPr="007F7AD7">
        <w:rPr>
          <w:rFonts w:ascii="Arial" w:hAnsi="Arial" w:cs="Arial"/>
          <w:sz w:val="20"/>
          <w:szCs w:val="20"/>
          <w:lang w:val="es"/>
        </w:rPr>
        <w:t xml:space="preserve"> grupos </w:t>
      </w:r>
      <w:r w:rsidR="00E64C3B" w:rsidRPr="007F7AD7">
        <w:rPr>
          <w:rFonts w:ascii="Arial" w:hAnsi="Arial" w:cs="Arial"/>
          <w:sz w:val="20"/>
          <w:szCs w:val="20"/>
          <w:lang w:val="es"/>
        </w:rPr>
        <w:t xml:space="preserve">y </w:t>
      </w:r>
      <w:r w:rsidRPr="007F7AD7">
        <w:rPr>
          <w:rFonts w:ascii="Arial" w:hAnsi="Arial" w:cs="Arial"/>
          <w:sz w:val="20"/>
          <w:szCs w:val="20"/>
          <w:lang w:val="es"/>
        </w:rPr>
        <w:t>comunidad</w:t>
      </w:r>
      <w:r w:rsidR="00E64C3B" w:rsidRPr="007F7AD7">
        <w:rPr>
          <w:rFonts w:ascii="Arial" w:hAnsi="Arial" w:cs="Arial"/>
          <w:sz w:val="20"/>
          <w:szCs w:val="20"/>
          <w:lang w:val="es"/>
        </w:rPr>
        <w:t>es</w:t>
      </w:r>
      <w:r w:rsidRPr="007F7AD7">
        <w:rPr>
          <w:rFonts w:ascii="Arial" w:hAnsi="Arial" w:cs="Arial"/>
          <w:sz w:val="20"/>
          <w:szCs w:val="20"/>
          <w:lang w:val="es"/>
        </w:rPr>
        <w:t xml:space="preserve"> para informar un plan urbano. Este tipo de proceso también puede ayudar a definir el diseño y facilitar la aplicación de medidas específicas de planificación y salvaguardia del PCI. Por ejemplo, en Singapur, las consultas periódicas con las partes interesadas, como la Asociación para el Patrimonio y la Identidad y el Grupo Asesor sobre el Patrimonio del Consejo del Patrimonio Nacional, han permitido a otros organismos implicar y comprometer a la comunidad en el proceso de planificación y promover una mayor  comprensión del patrimonio cultural por parte del público.</w:t>
      </w:r>
    </w:p>
    <w:p w14:paraId="7BC05FA2" w14:textId="1F8058DE" w:rsidR="00F63596" w:rsidRPr="007F7AD7" w:rsidRDefault="00F63596" w:rsidP="007F7AD7">
      <w:pPr>
        <w:pStyle w:val="Heading1"/>
        <w:numPr>
          <w:ilvl w:val="1"/>
          <w:numId w:val="12"/>
        </w:numPr>
        <w:spacing w:line="276" w:lineRule="auto"/>
        <w:ind w:left="1440"/>
        <w:jc w:val="both"/>
        <w:rPr>
          <w:rFonts w:ascii="Arial" w:hAnsi="Arial" w:cs="Arial"/>
          <w:color w:val="2F51F1"/>
          <w:sz w:val="20"/>
          <w:szCs w:val="20"/>
        </w:rPr>
      </w:pPr>
      <w:r w:rsidRPr="007F7AD7">
        <w:rPr>
          <w:rFonts w:ascii="Arial" w:hAnsi="Arial" w:cs="Arial"/>
          <w:color w:val="2F51F1"/>
          <w:sz w:val="20"/>
          <w:szCs w:val="20"/>
          <w:lang w:val="es"/>
        </w:rPr>
        <w:t>Otras herramientas o mecanismos de aplicación</w:t>
      </w:r>
    </w:p>
    <w:p w14:paraId="1E21D5F8" w14:textId="77777777" w:rsidR="00F63596" w:rsidRPr="007F7AD7" w:rsidRDefault="00F63596" w:rsidP="007F7AD7">
      <w:pPr>
        <w:spacing w:line="276" w:lineRule="auto"/>
        <w:jc w:val="both"/>
        <w:rPr>
          <w:rFonts w:ascii="Arial" w:hAnsi="Arial" w:cs="Arial"/>
          <w:sz w:val="20"/>
          <w:szCs w:val="20"/>
        </w:rPr>
      </w:pPr>
    </w:p>
    <w:p w14:paraId="131A5859" w14:textId="51A0483C" w:rsidR="00F63596" w:rsidRPr="007F7AD7" w:rsidRDefault="006D0E0C" w:rsidP="007F7AD7">
      <w:pPr>
        <w:spacing w:line="276" w:lineRule="auto"/>
        <w:jc w:val="both"/>
        <w:rPr>
          <w:rFonts w:ascii="Arial" w:hAnsi="Arial" w:cs="Arial"/>
          <w:sz w:val="20"/>
          <w:szCs w:val="20"/>
        </w:rPr>
      </w:pPr>
      <w:r w:rsidRPr="007F7AD7">
        <w:rPr>
          <w:rFonts w:ascii="Arial" w:hAnsi="Arial" w:cs="Arial"/>
          <w:sz w:val="20"/>
          <w:szCs w:val="20"/>
          <w:lang w:val="es"/>
        </w:rPr>
        <w:lastRenderedPageBreak/>
        <w:t>E</w:t>
      </w:r>
      <w:r w:rsidR="00F63596" w:rsidRPr="007F7AD7">
        <w:rPr>
          <w:rFonts w:ascii="Arial" w:hAnsi="Arial" w:cs="Arial"/>
          <w:sz w:val="20"/>
          <w:szCs w:val="20"/>
          <w:lang w:val="es"/>
        </w:rPr>
        <w:t>l Plan Maestro va acompañado de otras herramientas o mecanismos sectoriales (por ejemplo, jurídicos) y transversales (por ejemplo, de participación social) para garantizar su aplicación, algunos de los cuales contribuyen a la incorporación del PCI en el proceso de planificación</w:t>
      </w:r>
      <w:r w:rsidRPr="007F7AD7">
        <w:rPr>
          <w:rFonts w:ascii="Arial" w:hAnsi="Arial" w:cs="Arial"/>
          <w:sz w:val="20"/>
          <w:szCs w:val="20"/>
          <w:lang w:val="es"/>
        </w:rPr>
        <w:t xml:space="preserve"> urban</w:t>
      </w:r>
      <w:r w:rsidR="00296FCC" w:rsidRPr="007F7AD7">
        <w:rPr>
          <w:rFonts w:ascii="Arial" w:hAnsi="Arial" w:cs="Arial"/>
          <w:sz w:val="20"/>
          <w:szCs w:val="20"/>
          <w:lang w:val="es"/>
        </w:rPr>
        <w:t>a</w:t>
      </w:r>
      <w:r w:rsidR="00F63596" w:rsidRPr="007F7AD7">
        <w:rPr>
          <w:rFonts w:ascii="Arial" w:hAnsi="Arial" w:cs="Arial"/>
          <w:sz w:val="20"/>
          <w:szCs w:val="20"/>
          <w:lang w:val="es"/>
        </w:rPr>
        <w:t>. A continuación</w:t>
      </w:r>
      <w:r w:rsidR="00296FCC" w:rsidRPr="007F7AD7">
        <w:rPr>
          <w:rFonts w:ascii="Arial" w:hAnsi="Arial" w:cs="Arial"/>
          <w:sz w:val="20"/>
          <w:szCs w:val="20"/>
          <w:lang w:val="es"/>
        </w:rPr>
        <w:t>,</w:t>
      </w:r>
      <w:r w:rsidR="00F63596" w:rsidRPr="007F7AD7">
        <w:rPr>
          <w:rFonts w:ascii="Arial" w:hAnsi="Arial" w:cs="Arial"/>
          <w:sz w:val="20"/>
          <w:szCs w:val="20"/>
          <w:lang w:val="es"/>
        </w:rPr>
        <w:t xml:space="preserve"> se resumen tres herramientas o mecanismos principales identificados en el Plan Maestro </w:t>
      </w:r>
      <w:r w:rsidR="00296FCC" w:rsidRPr="007F7AD7">
        <w:rPr>
          <w:rFonts w:ascii="Arial" w:hAnsi="Arial" w:cs="Arial"/>
          <w:sz w:val="20"/>
          <w:szCs w:val="20"/>
          <w:lang w:val="es"/>
        </w:rPr>
        <w:t xml:space="preserve">de </w:t>
      </w:r>
      <w:r w:rsidR="00F63596" w:rsidRPr="007F7AD7">
        <w:rPr>
          <w:rFonts w:ascii="Arial" w:hAnsi="Arial" w:cs="Arial"/>
          <w:sz w:val="20"/>
          <w:szCs w:val="20"/>
          <w:lang w:val="es"/>
        </w:rPr>
        <w:t>2019.</w:t>
      </w:r>
    </w:p>
    <w:p w14:paraId="74BC0C38" w14:textId="77777777" w:rsidR="00F63596" w:rsidRPr="007F7AD7" w:rsidRDefault="00F63596" w:rsidP="007F7AD7">
      <w:pPr>
        <w:spacing w:line="276" w:lineRule="auto"/>
        <w:jc w:val="both"/>
        <w:rPr>
          <w:rFonts w:ascii="Arial" w:hAnsi="Arial" w:cs="Arial"/>
          <w:sz w:val="20"/>
          <w:szCs w:val="20"/>
        </w:rPr>
      </w:pPr>
    </w:p>
    <w:p w14:paraId="6D2DC1E4" w14:textId="7A18AD09" w:rsidR="00F63596" w:rsidRPr="007F7AD7" w:rsidRDefault="00F63596" w:rsidP="007F7AD7">
      <w:pPr>
        <w:pStyle w:val="ListParagraph"/>
        <w:numPr>
          <w:ilvl w:val="0"/>
          <w:numId w:val="11"/>
        </w:numPr>
        <w:spacing w:line="276" w:lineRule="auto"/>
        <w:jc w:val="both"/>
        <w:rPr>
          <w:rFonts w:ascii="Arial" w:hAnsi="Arial" w:cs="Arial"/>
          <w:sz w:val="20"/>
          <w:szCs w:val="20"/>
        </w:rPr>
      </w:pPr>
      <w:r w:rsidRPr="007F7AD7">
        <w:rPr>
          <w:rFonts w:ascii="Arial" w:hAnsi="Arial" w:cs="Arial"/>
          <w:b/>
          <w:bCs/>
          <w:sz w:val="20"/>
          <w:szCs w:val="20"/>
          <w:lang w:val="es"/>
        </w:rPr>
        <w:t xml:space="preserve">Controles de zonificación y desarrollo </w:t>
      </w:r>
      <w:r w:rsidRPr="007F7AD7">
        <w:rPr>
          <w:rFonts w:ascii="Arial" w:hAnsi="Arial" w:cs="Arial"/>
          <w:i/>
          <w:iCs/>
          <w:sz w:val="20"/>
          <w:szCs w:val="20"/>
          <w:lang w:val="es"/>
        </w:rPr>
        <w:t>(sectoriales)</w:t>
      </w:r>
      <w:r w:rsidRPr="007F7AD7">
        <w:rPr>
          <w:rFonts w:ascii="Arial" w:hAnsi="Arial" w:cs="Arial"/>
          <w:sz w:val="20"/>
          <w:szCs w:val="20"/>
          <w:lang w:val="es"/>
        </w:rPr>
        <w:t>:</w:t>
      </w:r>
      <w:r w:rsidRPr="007F7AD7">
        <w:rPr>
          <w:rFonts w:ascii="Arial" w:hAnsi="Arial" w:cs="Arial"/>
          <w:b/>
          <w:bCs/>
          <w:sz w:val="20"/>
          <w:szCs w:val="20"/>
          <w:lang w:val="es"/>
        </w:rPr>
        <w:t xml:space="preserve"> </w:t>
      </w:r>
      <w:r w:rsidRPr="007F7AD7">
        <w:rPr>
          <w:rFonts w:ascii="Arial" w:hAnsi="Arial" w:cs="Arial"/>
          <w:sz w:val="20"/>
          <w:szCs w:val="20"/>
          <w:lang w:val="es"/>
        </w:rPr>
        <w:t xml:space="preserve">El Plan Maestro va acompañado de un Mapa de Zonificación y de la Declaración Escrita 2019, que prescriben el uso del suelo y la intensidad de desarrollo permisibles dentro de cada zona demarcada. En consecuencia, estas herramientas establecen zonas de conservación </w:t>
      </w:r>
      <w:r w:rsidR="00296FCC" w:rsidRPr="007F7AD7">
        <w:rPr>
          <w:rFonts w:ascii="Arial" w:hAnsi="Arial" w:cs="Arial"/>
          <w:sz w:val="20"/>
          <w:szCs w:val="20"/>
          <w:lang w:val="es"/>
        </w:rPr>
        <w:t>“</w:t>
      </w:r>
      <w:r w:rsidRPr="007F7AD7">
        <w:rPr>
          <w:rFonts w:ascii="Arial" w:hAnsi="Arial" w:cs="Arial"/>
          <w:sz w:val="20"/>
          <w:szCs w:val="20"/>
          <w:lang w:val="es"/>
        </w:rPr>
        <w:t>de especial interés arquitectónico, histórico, tradicional o estético</w:t>
      </w:r>
      <w:r w:rsidR="00296FCC" w:rsidRPr="007F7AD7">
        <w:rPr>
          <w:rFonts w:ascii="Arial" w:hAnsi="Arial" w:cs="Arial"/>
          <w:sz w:val="20"/>
          <w:szCs w:val="20"/>
          <w:lang w:val="es"/>
        </w:rPr>
        <w:t>”</w:t>
      </w:r>
      <w:r w:rsidRPr="007F7AD7">
        <w:rPr>
          <w:rStyle w:val="FootnoteReference"/>
          <w:rFonts w:ascii="Arial" w:hAnsi="Arial" w:cs="Arial"/>
          <w:sz w:val="20"/>
          <w:szCs w:val="20"/>
          <w:lang w:val="es"/>
        </w:rPr>
        <w:footnoteReference w:id="4"/>
      </w:r>
      <w:r w:rsidRPr="007F7AD7">
        <w:rPr>
          <w:rFonts w:ascii="Arial" w:hAnsi="Arial" w:cs="Arial"/>
          <w:sz w:val="20"/>
          <w:szCs w:val="20"/>
          <w:lang w:val="es"/>
        </w:rPr>
        <w:t xml:space="preserve"> en las que se aplican directrices especiales de conservación para garantizar la protección de su significado histórico y cultural. Además de los contenidos y disposiciones de la Declaración Escrita, se han establecido controles de desarrollo para regular las alturas de los edificios, los retranqueos, los espaciamientos, la conectividad, las formas, el tamaño de las parcelas, entre otros, que pueden contribuir aún más a la salvaguardia de las prácticas culturales que tienen lugar en los espacios urbanos.</w:t>
      </w:r>
    </w:p>
    <w:p w14:paraId="0F744A48" w14:textId="77777777" w:rsidR="00F63596" w:rsidRPr="007F7AD7" w:rsidRDefault="00F63596" w:rsidP="007F7AD7">
      <w:pPr>
        <w:spacing w:line="276" w:lineRule="auto"/>
        <w:jc w:val="both"/>
        <w:rPr>
          <w:rFonts w:ascii="Arial" w:hAnsi="Arial" w:cs="Arial"/>
          <w:b/>
          <w:bCs/>
          <w:sz w:val="20"/>
          <w:szCs w:val="20"/>
        </w:rPr>
      </w:pPr>
    </w:p>
    <w:p w14:paraId="7B5268C5" w14:textId="3396342A" w:rsidR="00F63596" w:rsidRPr="007F7AD7" w:rsidRDefault="00F63596" w:rsidP="007F7AD7">
      <w:pPr>
        <w:pStyle w:val="ListParagraph"/>
        <w:numPr>
          <w:ilvl w:val="0"/>
          <w:numId w:val="11"/>
        </w:numPr>
        <w:spacing w:line="276" w:lineRule="auto"/>
        <w:jc w:val="both"/>
        <w:rPr>
          <w:rFonts w:ascii="Arial" w:hAnsi="Arial" w:cs="Arial"/>
          <w:sz w:val="20"/>
          <w:szCs w:val="20"/>
        </w:rPr>
      </w:pPr>
      <w:r w:rsidRPr="007F7AD7">
        <w:rPr>
          <w:rFonts w:ascii="Arial" w:hAnsi="Arial" w:cs="Arial"/>
          <w:b/>
          <w:bCs/>
          <w:sz w:val="20"/>
          <w:szCs w:val="20"/>
          <w:lang w:val="es"/>
        </w:rPr>
        <w:t xml:space="preserve">Evaluación del impacto patrimonial </w:t>
      </w:r>
      <w:r w:rsidRPr="007F7AD7">
        <w:rPr>
          <w:rFonts w:ascii="Arial" w:hAnsi="Arial" w:cs="Arial"/>
          <w:i/>
          <w:iCs/>
          <w:sz w:val="20"/>
          <w:szCs w:val="20"/>
          <w:lang w:val="es"/>
        </w:rPr>
        <w:t>(sectorial)</w:t>
      </w:r>
      <w:r w:rsidRPr="007F7AD7">
        <w:rPr>
          <w:rFonts w:ascii="Arial" w:hAnsi="Arial" w:cs="Arial"/>
          <w:sz w:val="20"/>
          <w:szCs w:val="20"/>
          <w:lang w:val="es"/>
        </w:rPr>
        <w:t>:</w:t>
      </w:r>
      <w:r w:rsidRPr="007F7AD7">
        <w:rPr>
          <w:rFonts w:ascii="Arial" w:hAnsi="Arial" w:cs="Arial"/>
          <w:b/>
          <w:bCs/>
          <w:sz w:val="20"/>
          <w:szCs w:val="20"/>
          <w:lang w:val="es"/>
        </w:rPr>
        <w:t xml:space="preserve"> </w:t>
      </w:r>
      <w:r w:rsidRPr="007F7AD7">
        <w:rPr>
          <w:rFonts w:ascii="Arial" w:hAnsi="Arial" w:cs="Arial"/>
          <w:sz w:val="20"/>
          <w:szCs w:val="20"/>
          <w:lang w:val="es"/>
        </w:rPr>
        <w:t>Singapur ha introducido las Evaluaciones del Impacto Patrimonial (HIA) para determinar y mitigar el impacto potencial de</w:t>
      </w:r>
      <w:r w:rsidR="00925432" w:rsidRPr="007F7AD7">
        <w:rPr>
          <w:rFonts w:ascii="Arial" w:hAnsi="Arial" w:cs="Arial"/>
          <w:sz w:val="20"/>
          <w:szCs w:val="20"/>
          <w:lang w:val="es"/>
        </w:rPr>
        <w:t xml:space="preserve"> los proyectos de</w:t>
      </w:r>
      <w:r w:rsidRPr="007F7AD7">
        <w:rPr>
          <w:rFonts w:ascii="Arial" w:hAnsi="Arial" w:cs="Arial"/>
          <w:sz w:val="20"/>
          <w:szCs w:val="20"/>
          <w:lang w:val="es"/>
        </w:rPr>
        <w:t xml:space="preserve"> desarrollo. </w:t>
      </w:r>
      <w:r w:rsidR="00400B8B" w:rsidRPr="007F7AD7">
        <w:rPr>
          <w:rFonts w:ascii="Arial" w:hAnsi="Arial" w:cs="Arial"/>
          <w:sz w:val="20"/>
          <w:szCs w:val="20"/>
          <w:lang w:val="es"/>
        </w:rPr>
        <w:t>Estos d</w:t>
      </w:r>
      <w:r w:rsidRPr="007F7AD7">
        <w:rPr>
          <w:rFonts w:ascii="Arial" w:hAnsi="Arial" w:cs="Arial"/>
          <w:sz w:val="20"/>
          <w:szCs w:val="20"/>
          <w:lang w:val="es"/>
        </w:rPr>
        <w:t xml:space="preserve">eben realizar una HIA para evaluar y abordar las repercusiones en ámbitos como el tráfico, la salud pública, el medio ambiente y el patrimonio, antes de que se conceda la aprobación urbanística. A los proyectos que puedan causar un impacto importante en el patrimonio se les puede exigir que realicen consultas adicionales con la Autoridad de Reordenación Urbana y el Consejo del Patrimonio Nacional para determinar el tipo de medidas paliativas necesarias. En última instancia, la HIA pretende </w:t>
      </w:r>
      <w:r w:rsidR="00400B8B" w:rsidRPr="007F7AD7">
        <w:rPr>
          <w:rFonts w:ascii="Arial" w:hAnsi="Arial" w:cs="Arial"/>
          <w:sz w:val="20"/>
          <w:szCs w:val="20"/>
          <w:lang w:val="es"/>
        </w:rPr>
        <w:t>preservar</w:t>
      </w:r>
      <w:r w:rsidRPr="007F7AD7">
        <w:rPr>
          <w:rFonts w:ascii="Arial" w:hAnsi="Arial" w:cs="Arial"/>
          <w:sz w:val="20"/>
          <w:szCs w:val="20"/>
          <w:lang w:val="es"/>
        </w:rPr>
        <w:t xml:space="preserve"> la identidad y la memoria colectiva de Singapur.</w:t>
      </w:r>
    </w:p>
    <w:p w14:paraId="238A4BBF" w14:textId="77777777" w:rsidR="00F63596" w:rsidRPr="007F7AD7" w:rsidRDefault="00F63596" w:rsidP="007F7AD7">
      <w:pPr>
        <w:pStyle w:val="ListParagraph"/>
        <w:spacing w:line="276" w:lineRule="auto"/>
        <w:jc w:val="both"/>
        <w:rPr>
          <w:rFonts w:ascii="Arial" w:hAnsi="Arial" w:cs="Arial"/>
          <w:b/>
          <w:bCs/>
          <w:sz w:val="20"/>
          <w:szCs w:val="20"/>
        </w:rPr>
      </w:pPr>
    </w:p>
    <w:p w14:paraId="4838988F" w14:textId="12746752" w:rsidR="00F63596" w:rsidRPr="007F7AD7" w:rsidRDefault="00F63596" w:rsidP="007F7AD7">
      <w:pPr>
        <w:pStyle w:val="ListParagraph"/>
        <w:numPr>
          <w:ilvl w:val="0"/>
          <w:numId w:val="11"/>
        </w:numPr>
        <w:spacing w:before="240" w:line="276" w:lineRule="auto"/>
        <w:jc w:val="both"/>
        <w:rPr>
          <w:rFonts w:ascii="Arial" w:hAnsi="Arial" w:cs="Arial"/>
          <w:color w:val="0177D4"/>
          <w:sz w:val="20"/>
          <w:szCs w:val="20"/>
        </w:rPr>
      </w:pPr>
      <w:r w:rsidRPr="007F7AD7">
        <w:rPr>
          <w:rFonts w:ascii="Arial" w:hAnsi="Arial" w:cs="Arial"/>
          <w:b/>
          <w:bCs/>
          <w:sz w:val="20"/>
          <w:szCs w:val="20"/>
          <w:lang w:val="es"/>
        </w:rPr>
        <w:t>Participación social</w:t>
      </w:r>
      <w:r w:rsidRPr="007F7AD7">
        <w:rPr>
          <w:rFonts w:ascii="Arial" w:hAnsi="Arial" w:cs="Arial"/>
          <w:sz w:val="20"/>
          <w:szCs w:val="20"/>
          <w:lang w:val="es"/>
        </w:rPr>
        <w:t xml:space="preserve"> </w:t>
      </w:r>
      <w:r w:rsidRPr="007F7AD7">
        <w:rPr>
          <w:rFonts w:ascii="Arial" w:hAnsi="Arial" w:cs="Arial"/>
          <w:i/>
          <w:iCs/>
          <w:sz w:val="20"/>
          <w:szCs w:val="20"/>
          <w:lang w:val="es"/>
        </w:rPr>
        <w:t>(transversal)</w:t>
      </w:r>
      <w:r w:rsidRPr="007F7AD7">
        <w:rPr>
          <w:rFonts w:ascii="Arial" w:hAnsi="Arial" w:cs="Arial"/>
          <w:sz w:val="20"/>
          <w:szCs w:val="20"/>
          <w:lang w:val="es"/>
        </w:rPr>
        <w:t>: Además del proceso participativo llevado a cabo para la elaboración del Plan Maestro 2019, el plan incluye otras estrategias que implican la participación de diversas partes interesadas para avanzar en propuestas específicas. Por ejemplo, involucra a estudiantes de turismo para que realicen recorridos por el patrimonio y compartan historias de la zona de Tiong Bahru. Promueve paseos por el patrimonio que incluyen jornadas de puertas abiertas en el Instituto de Ciencias de Singapur para que el público comprenda la historia y los relatos de los edificios conservados, y promueve murales sobre el patrimonio en las nuevas urbanizaciones públicas</w:t>
      </w:r>
      <w:r w:rsidR="00201998" w:rsidRPr="007F7AD7">
        <w:rPr>
          <w:rFonts w:ascii="Arial" w:hAnsi="Arial" w:cs="Arial"/>
          <w:sz w:val="20"/>
          <w:szCs w:val="20"/>
          <w:lang w:val="es"/>
        </w:rPr>
        <w:t>.</w:t>
      </w:r>
    </w:p>
    <w:p w14:paraId="068F56AA" w14:textId="6AFE7B8A" w:rsidR="007D2FF7" w:rsidRPr="007F7AD7" w:rsidRDefault="00F63596" w:rsidP="007F7AD7">
      <w:pPr>
        <w:pStyle w:val="Heading1"/>
        <w:numPr>
          <w:ilvl w:val="1"/>
          <w:numId w:val="12"/>
        </w:numPr>
        <w:spacing w:before="240" w:line="276" w:lineRule="auto"/>
        <w:ind w:left="1440"/>
        <w:jc w:val="both"/>
        <w:rPr>
          <w:rFonts w:ascii="Arial" w:hAnsi="Arial" w:cs="Arial"/>
          <w:color w:val="2F51F9"/>
          <w:sz w:val="20"/>
          <w:szCs w:val="20"/>
        </w:rPr>
      </w:pPr>
      <w:r w:rsidRPr="007F7AD7">
        <w:rPr>
          <w:rFonts w:ascii="Arial" w:hAnsi="Arial" w:cs="Arial"/>
          <w:color w:val="2F51F9"/>
          <w:sz w:val="20"/>
          <w:szCs w:val="20"/>
          <w:lang w:val="es"/>
        </w:rPr>
        <w:t xml:space="preserve"> </w:t>
      </w:r>
      <w:r w:rsidR="007D2FF7" w:rsidRPr="007F7AD7">
        <w:rPr>
          <w:rFonts w:ascii="Arial" w:hAnsi="Arial" w:cs="Arial"/>
          <w:color w:val="2F51F9"/>
          <w:sz w:val="20"/>
          <w:szCs w:val="20"/>
          <w:lang w:val="es"/>
        </w:rPr>
        <w:t xml:space="preserve">Estrategias y propuestas para la incorporación del </w:t>
      </w:r>
      <w:r w:rsidR="003E3706">
        <w:rPr>
          <w:rFonts w:ascii="Arial" w:hAnsi="Arial" w:cs="Arial"/>
          <w:color w:val="2F51F9"/>
          <w:sz w:val="20"/>
          <w:szCs w:val="20"/>
          <w:lang w:val="es"/>
        </w:rPr>
        <w:t>patrimonio cultural inmaterial</w:t>
      </w:r>
      <w:r w:rsidR="007D2FF7" w:rsidRPr="007F7AD7">
        <w:rPr>
          <w:rFonts w:ascii="Arial" w:hAnsi="Arial" w:cs="Arial"/>
          <w:color w:val="2F51F9"/>
          <w:sz w:val="20"/>
          <w:szCs w:val="20"/>
          <w:lang w:val="es"/>
        </w:rPr>
        <w:t xml:space="preserve"> en la planificación</w:t>
      </w:r>
      <w:r w:rsidR="0087013B" w:rsidRPr="007F7AD7">
        <w:rPr>
          <w:rFonts w:ascii="Arial" w:hAnsi="Arial" w:cs="Arial"/>
          <w:color w:val="2F51F9"/>
          <w:sz w:val="20"/>
          <w:szCs w:val="20"/>
          <w:lang w:val="es"/>
        </w:rPr>
        <w:t xml:space="preserve"> urbana</w:t>
      </w:r>
    </w:p>
    <w:p w14:paraId="43FC6671" w14:textId="77777777" w:rsidR="007D2FF7" w:rsidRPr="007F7AD7" w:rsidRDefault="007D2FF7" w:rsidP="007F7AD7">
      <w:pPr>
        <w:spacing w:line="276" w:lineRule="auto"/>
        <w:jc w:val="both"/>
        <w:rPr>
          <w:rFonts w:ascii="Arial" w:hAnsi="Arial" w:cs="Arial"/>
          <w:sz w:val="20"/>
          <w:szCs w:val="20"/>
        </w:rPr>
      </w:pPr>
    </w:p>
    <w:p w14:paraId="44F2CDBE" w14:textId="3A63193C" w:rsidR="007D2FF7" w:rsidRPr="007F7AD7" w:rsidRDefault="007D2FF7" w:rsidP="007F7AD7">
      <w:pPr>
        <w:spacing w:line="276" w:lineRule="auto"/>
        <w:jc w:val="both"/>
        <w:rPr>
          <w:rFonts w:ascii="Arial" w:hAnsi="Arial" w:cs="Arial"/>
          <w:sz w:val="20"/>
          <w:szCs w:val="20"/>
        </w:rPr>
      </w:pPr>
      <w:r w:rsidRPr="007F7AD7">
        <w:rPr>
          <w:rFonts w:ascii="Arial" w:hAnsi="Arial" w:cs="Arial"/>
          <w:sz w:val="20"/>
          <w:szCs w:val="20"/>
          <w:lang w:val="es"/>
        </w:rPr>
        <w:t xml:space="preserve">Como ya se ha mencionado, el Plan Maestro </w:t>
      </w:r>
      <w:r w:rsidR="0087013B" w:rsidRPr="007F7AD7">
        <w:rPr>
          <w:rFonts w:ascii="Arial" w:hAnsi="Arial" w:cs="Arial"/>
          <w:sz w:val="20"/>
          <w:szCs w:val="20"/>
          <w:lang w:val="es"/>
        </w:rPr>
        <w:t xml:space="preserve">de </w:t>
      </w:r>
      <w:r w:rsidRPr="007F7AD7">
        <w:rPr>
          <w:rFonts w:ascii="Arial" w:hAnsi="Arial" w:cs="Arial"/>
          <w:sz w:val="20"/>
          <w:szCs w:val="20"/>
          <w:lang w:val="es"/>
        </w:rPr>
        <w:t xml:space="preserve">2019 contiene cinco temas principales, cada uno de los cuales comprende estrategias y propuestas para alcanzar los objetivos del plan. Estos están relacionados con las estructuras urbanas definidas en la metodología para incorporar el PCI a la planificación: estructuras ecológicas, funcionales, socioeconómicas y de patrimonio construido. Múltiples estrategias pueden contribuir, directa o indirectamente, a la preservación del patrimonio </w:t>
      </w:r>
      <w:r w:rsidRPr="007F7AD7">
        <w:rPr>
          <w:rFonts w:ascii="Arial" w:hAnsi="Arial" w:cs="Arial"/>
          <w:sz w:val="20"/>
          <w:szCs w:val="20"/>
          <w:lang w:val="es"/>
        </w:rPr>
        <w:lastRenderedPageBreak/>
        <w:t xml:space="preserve">vivo, especialmente las del </w:t>
      </w:r>
      <w:r w:rsidRPr="007F7AD7">
        <w:rPr>
          <w:rFonts w:ascii="Arial" w:hAnsi="Arial" w:cs="Arial"/>
          <w:i/>
          <w:iCs/>
          <w:sz w:val="20"/>
          <w:szCs w:val="20"/>
          <w:lang w:val="es"/>
        </w:rPr>
        <w:t>Tema 3 - Rejuvenecimiento de lugares familiares</w:t>
      </w:r>
      <w:r w:rsidRPr="007F7AD7">
        <w:rPr>
          <w:rFonts w:ascii="Arial" w:hAnsi="Arial" w:cs="Arial"/>
          <w:sz w:val="20"/>
          <w:szCs w:val="20"/>
          <w:lang w:val="es"/>
        </w:rPr>
        <w:t xml:space="preserve"> y sus objetivos subyacentes (ver el siguiente diagrama ). Además, el plan incluye estrategias para que los distritos históricos del centro preserven su historia y su cultura. </w:t>
      </w:r>
    </w:p>
    <w:p w14:paraId="31CBDC46" w14:textId="77777777" w:rsidR="007D2FF7" w:rsidRPr="007F7AD7" w:rsidRDefault="007D2FF7" w:rsidP="007F7AD7">
      <w:pPr>
        <w:spacing w:line="276" w:lineRule="auto"/>
        <w:jc w:val="both"/>
        <w:rPr>
          <w:rFonts w:ascii="Arial" w:hAnsi="Arial" w:cs="Arial"/>
          <w:sz w:val="20"/>
          <w:szCs w:val="20"/>
        </w:rPr>
      </w:pPr>
    </w:p>
    <w:p w14:paraId="74CE32A2" w14:textId="77777777" w:rsidR="007D2FF7" w:rsidRPr="007F7AD7" w:rsidRDefault="007D2FF7" w:rsidP="007F7AD7">
      <w:pPr>
        <w:spacing w:line="276" w:lineRule="auto"/>
        <w:jc w:val="both"/>
        <w:rPr>
          <w:rFonts w:ascii="Arial" w:hAnsi="Arial" w:cs="Arial"/>
          <w:sz w:val="20"/>
          <w:szCs w:val="20"/>
        </w:rPr>
      </w:pPr>
      <w:r w:rsidRPr="007F7AD7">
        <w:rPr>
          <w:rFonts w:ascii="Arial" w:hAnsi="Arial" w:cs="Arial"/>
          <w:sz w:val="20"/>
          <w:szCs w:val="20"/>
          <w:lang w:val="es"/>
        </w:rPr>
        <w:t>En el siguiente diagrama se representan los componentes del plan estrechamente relacionados con la salvaguardia del PCI. A continuación, se describen las propuestas clave destinadas a salvaguardar el patrimonio vivo, o que pueden contribuir a ello, ordenadas por cada estructura urbana.</w:t>
      </w:r>
    </w:p>
    <w:p w14:paraId="25795C73" w14:textId="77777777" w:rsidR="007D2FF7" w:rsidRPr="007F7AD7" w:rsidRDefault="007D2FF7" w:rsidP="007F7AD7">
      <w:pPr>
        <w:spacing w:line="276" w:lineRule="auto"/>
        <w:jc w:val="both"/>
        <w:rPr>
          <w:rFonts w:ascii="Arial" w:hAnsi="Arial" w:cs="Arial"/>
          <w:sz w:val="20"/>
          <w:szCs w:val="20"/>
        </w:rPr>
      </w:pPr>
    </w:p>
    <w:p w14:paraId="3BDC7B53" w14:textId="77777777" w:rsidR="007D2FF7" w:rsidRPr="007F7AD7" w:rsidRDefault="007D2FF7" w:rsidP="007F7AD7">
      <w:pPr>
        <w:spacing w:line="276" w:lineRule="auto"/>
        <w:jc w:val="center"/>
        <w:rPr>
          <w:rFonts w:ascii="Arial" w:hAnsi="Arial" w:cs="Arial"/>
          <w:sz w:val="20"/>
          <w:szCs w:val="20"/>
        </w:rPr>
      </w:pPr>
      <w:r w:rsidRPr="007F7AD7">
        <w:rPr>
          <w:rFonts w:ascii="Arial" w:hAnsi="Arial" w:cs="Arial"/>
          <w:noProof/>
          <w:sz w:val="20"/>
          <w:szCs w:val="20"/>
          <w:lang w:val="es"/>
        </w:rPr>
        <w:drawing>
          <wp:inline distT="0" distB="0" distL="0" distR="0" wp14:anchorId="51E7F238" wp14:editId="4A4435BF">
            <wp:extent cx="3972393" cy="2448213"/>
            <wp:effectExtent l="0" t="0" r="317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98890" cy="2464543"/>
                    </a:xfrm>
                    <a:prstGeom prst="rect">
                      <a:avLst/>
                    </a:prstGeom>
                  </pic:spPr>
                </pic:pic>
              </a:graphicData>
            </a:graphic>
          </wp:inline>
        </w:drawing>
      </w:r>
    </w:p>
    <w:p w14:paraId="1473E6F0" w14:textId="77777777" w:rsidR="007D2FF7" w:rsidRPr="007F7AD7" w:rsidRDefault="007D2FF7" w:rsidP="007F7AD7">
      <w:pPr>
        <w:spacing w:line="276" w:lineRule="auto"/>
        <w:jc w:val="both"/>
        <w:rPr>
          <w:rFonts w:ascii="Arial" w:hAnsi="Arial" w:cs="Arial"/>
          <w:sz w:val="20"/>
          <w:szCs w:val="20"/>
        </w:rPr>
      </w:pPr>
    </w:p>
    <w:p w14:paraId="3D6F391D" w14:textId="2495F768" w:rsidR="007D2FF7" w:rsidRPr="007F7AD7" w:rsidRDefault="007D2FF7" w:rsidP="007F7AD7">
      <w:pPr>
        <w:spacing w:line="276" w:lineRule="auto"/>
        <w:jc w:val="both"/>
        <w:rPr>
          <w:rFonts w:ascii="Arial" w:hAnsi="Arial" w:cs="Arial"/>
          <w:b/>
          <w:bCs/>
          <w:sz w:val="20"/>
          <w:szCs w:val="20"/>
        </w:rPr>
      </w:pPr>
      <w:r w:rsidRPr="007F7AD7">
        <w:rPr>
          <w:rFonts w:ascii="Arial" w:hAnsi="Arial" w:cs="Arial"/>
          <w:b/>
          <w:bCs/>
          <w:sz w:val="20"/>
          <w:szCs w:val="20"/>
          <w:lang w:val="es"/>
        </w:rPr>
        <w:t xml:space="preserve">Estructura ecológica: </w:t>
      </w:r>
      <w:r w:rsidR="006B3507" w:rsidRPr="007F7AD7">
        <w:rPr>
          <w:rFonts w:ascii="Arial" w:hAnsi="Arial" w:cs="Arial"/>
          <w:sz w:val="20"/>
          <w:szCs w:val="20"/>
          <w:lang w:val="es"/>
        </w:rPr>
        <w:t>l</w:t>
      </w:r>
      <w:r w:rsidRPr="007F7AD7">
        <w:rPr>
          <w:rFonts w:ascii="Arial" w:hAnsi="Arial" w:cs="Arial"/>
          <w:sz w:val="20"/>
          <w:szCs w:val="20"/>
          <w:lang w:val="es"/>
        </w:rPr>
        <w:t>a preservación del valor ecológico de las ciudades exige que la planificación urbana tenga en cuenta el PCI como fuente de conocimientos tradicionales sobre los ecosistemas naturales y otros bienes ecológicos a menudo relacionados con prácticas culturales. El Plan Maestro 2019 incluye medidas para mejorar las prácticas culturales relacionadas con la estructura ecológica.</w:t>
      </w:r>
      <w:r w:rsidRPr="007F7AD7">
        <w:rPr>
          <w:rFonts w:ascii="Arial" w:hAnsi="Arial" w:cs="Arial"/>
          <w:b/>
          <w:bCs/>
          <w:sz w:val="20"/>
          <w:szCs w:val="20"/>
          <w:lang w:val="es"/>
        </w:rPr>
        <w:t xml:space="preserve"> </w:t>
      </w:r>
      <w:r w:rsidRPr="007F7AD7">
        <w:rPr>
          <w:rFonts w:ascii="Arial" w:hAnsi="Arial" w:cs="Arial"/>
          <w:sz w:val="20"/>
          <w:szCs w:val="20"/>
          <w:lang w:val="es"/>
        </w:rPr>
        <w:t>Por ejemplo, propone convertir la calle Armenia en un jardín botánico para que artistas, estudiantes y visitantes disfruten de picnics y actuaciones musicales, e introducir más espacio para actos y actividades culturales. Del mismo modo, se propone que el Royal Graden, o Jardín Real, exhiba árboles frutales locales como rambutanes, jackfruits, palmeras lontar, así como plantas aromáticas como diferentes especies de gardenias, jazmines y magnolias, y la ruta centenaria del Jardín Farquhar presente nuevos jardines para exhibir flora autóctona, cultivos económicos y plantas ornamentales.</w:t>
      </w:r>
    </w:p>
    <w:p w14:paraId="6EEEE2A7" w14:textId="77777777" w:rsidR="007D2FF7" w:rsidRPr="007F7AD7" w:rsidRDefault="007D2FF7" w:rsidP="007F7AD7">
      <w:pPr>
        <w:spacing w:line="276" w:lineRule="auto"/>
        <w:jc w:val="both"/>
        <w:rPr>
          <w:rFonts w:ascii="Arial" w:hAnsi="Arial" w:cs="Arial"/>
          <w:sz w:val="20"/>
          <w:szCs w:val="20"/>
        </w:rPr>
      </w:pPr>
    </w:p>
    <w:p w14:paraId="5D7A07B1" w14:textId="621380B9" w:rsidR="007D2FF7" w:rsidRPr="007F7AD7" w:rsidRDefault="007D2FF7" w:rsidP="007F7AD7">
      <w:pPr>
        <w:spacing w:line="276" w:lineRule="auto"/>
        <w:jc w:val="both"/>
        <w:rPr>
          <w:rFonts w:ascii="Arial" w:hAnsi="Arial" w:cs="Arial"/>
          <w:b/>
          <w:bCs/>
          <w:sz w:val="20"/>
          <w:szCs w:val="20"/>
        </w:rPr>
      </w:pPr>
      <w:r w:rsidRPr="007F7AD7">
        <w:rPr>
          <w:rFonts w:ascii="Arial" w:hAnsi="Arial" w:cs="Arial"/>
          <w:b/>
          <w:bCs/>
          <w:sz w:val="20"/>
          <w:szCs w:val="20"/>
          <w:lang w:val="es"/>
        </w:rPr>
        <w:t xml:space="preserve">Estructura funcional: </w:t>
      </w:r>
      <w:r w:rsidR="006B3507" w:rsidRPr="007F7AD7">
        <w:rPr>
          <w:rFonts w:ascii="Arial" w:hAnsi="Arial" w:cs="Arial"/>
          <w:sz w:val="20"/>
          <w:szCs w:val="20"/>
          <w:lang w:val="es"/>
        </w:rPr>
        <w:t>e</w:t>
      </w:r>
      <w:r w:rsidRPr="007F7AD7">
        <w:rPr>
          <w:rFonts w:ascii="Arial" w:hAnsi="Arial" w:cs="Arial"/>
          <w:sz w:val="20"/>
          <w:szCs w:val="20"/>
          <w:lang w:val="es"/>
        </w:rPr>
        <w:t>sta estructura incluye capas como los sistemas de movilidad, los espacios y servicios públicos y las instalaciones urbanas, que son clave para la transmisión y viabilidad del patrimonio vivo. El Plan Maestro esboza varias estrategias para proteger el patrimonio cultural a través de muchos componentes de la estructura funcional.</w:t>
      </w:r>
    </w:p>
    <w:p w14:paraId="2D860837" w14:textId="77777777" w:rsidR="007D2FF7" w:rsidRPr="007F7AD7" w:rsidRDefault="007D2FF7" w:rsidP="007F7AD7">
      <w:pPr>
        <w:spacing w:line="276" w:lineRule="auto"/>
        <w:jc w:val="both"/>
        <w:rPr>
          <w:rFonts w:ascii="Arial" w:hAnsi="Arial" w:cs="Arial"/>
          <w:sz w:val="20"/>
          <w:szCs w:val="20"/>
        </w:rPr>
      </w:pPr>
    </w:p>
    <w:p w14:paraId="09F5E393" w14:textId="07E058D2" w:rsidR="007D2FF7" w:rsidRPr="007F7AD7" w:rsidRDefault="007D2FF7" w:rsidP="007F7AD7">
      <w:pPr>
        <w:pStyle w:val="ListParagraph"/>
        <w:numPr>
          <w:ilvl w:val="0"/>
          <w:numId w:val="6"/>
        </w:numPr>
        <w:spacing w:line="276" w:lineRule="auto"/>
        <w:jc w:val="both"/>
        <w:rPr>
          <w:rFonts w:ascii="Arial" w:hAnsi="Arial" w:cs="Arial"/>
          <w:sz w:val="20"/>
          <w:szCs w:val="20"/>
        </w:rPr>
      </w:pPr>
      <w:r w:rsidRPr="007F7AD7">
        <w:rPr>
          <w:rFonts w:ascii="Arial" w:hAnsi="Arial" w:cs="Arial"/>
          <w:sz w:val="20"/>
          <w:szCs w:val="20"/>
          <w:u w:val="single"/>
          <w:lang w:val="es"/>
        </w:rPr>
        <w:t>Transporte y movilidad:</w:t>
      </w:r>
      <w:r w:rsidRPr="007F7AD7">
        <w:rPr>
          <w:rFonts w:ascii="Arial" w:hAnsi="Arial" w:cs="Arial"/>
          <w:sz w:val="20"/>
          <w:szCs w:val="20"/>
          <w:lang w:val="es"/>
        </w:rPr>
        <w:t xml:space="preserve"> </w:t>
      </w:r>
      <w:r w:rsidR="006B3507" w:rsidRPr="007F7AD7">
        <w:rPr>
          <w:rFonts w:ascii="Arial" w:hAnsi="Arial" w:cs="Arial"/>
          <w:sz w:val="20"/>
          <w:szCs w:val="20"/>
          <w:lang w:val="es"/>
        </w:rPr>
        <w:t>e</w:t>
      </w:r>
      <w:r w:rsidRPr="007F7AD7">
        <w:rPr>
          <w:rFonts w:ascii="Arial" w:hAnsi="Arial" w:cs="Arial"/>
          <w:sz w:val="20"/>
          <w:szCs w:val="20"/>
          <w:lang w:val="es"/>
        </w:rPr>
        <w:t xml:space="preserve">n el distrito histórico de Kampong Glam, el plan propone introducir calles sin coches para que las comunidades se reúnan en el espacio público y potenciar las actuaciones culturales a lo largo de la calle Aliwal durante los cortes de carretera. En el distrito cívico se aplicarían medidas de pacificación vial para acercar las instituciones artísticas y culturales. En el distrito de Bras Basha-Bugis, las aceras se ensancharían e </w:t>
      </w:r>
      <w:r w:rsidRPr="007F7AD7">
        <w:rPr>
          <w:rFonts w:ascii="Arial" w:hAnsi="Arial" w:cs="Arial"/>
          <w:sz w:val="20"/>
          <w:szCs w:val="20"/>
          <w:lang w:val="es"/>
        </w:rPr>
        <w:lastRenderedPageBreak/>
        <w:t>incluirían mobiliario urbano diseñado por estudiantes para crear más espacio para que la gente socialice en el Cinturón de las Artes. En Chinatown, el plan propone promover la historia del distrito mediante cuentacuentos y actividades en los días sin coches.</w:t>
      </w:r>
    </w:p>
    <w:p w14:paraId="39283DB8" w14:textId="77777777" w:rsidR="007D2FF7" w:rsidRPr="007F7AD7" w:rsidRDefault="007D2FF7" w:rsidP="007F7AD7">
      <w:pPr>
        <w:spacing w:line="276" w:lineRule="auto"/>
        <w:jc w:val="both"/>
        <w:rPr>
          <w:rFonts w:ascii="Arial" w:hAnsi="Arial" w:cs="Arial"/>
          <w:sz w:val="20"/>
          <w:szCs w:val="20"/>
        </w:rPr>
      </w:pPr>
    </w:p>
    <w:p w14:paraId="57D481FA" w14:textId="68BD7EE1" w:rsidR="007D2FF7" w:rsidRPr="007F7AD7" w:rsidRDefault="007D2FF7" w:rsidP="007F7AD7">
      <w:pPr>
        <w:pStyle w:val="ListParagraph"/>
        <w:numPr>
          <w:ilvl w:val="0"/>
          <w:numId w:val="6"/>
        </w:numPr>
        <w:spacing w:line="276" w:lineRule="auto"/>
        <w:jc w:val="both"/>
        <w:rPr>
          <w:rFonts w:ascii="Arial" w:hAnsi="Arial" w:cs="Arial"/>
          <w:sz w:val="20"/>
          <w:szCs w:val="20"/>
        </w:rPr>
      </w:pPr>
      <w:r w:rsidRPr="007F7AD7">
        <w:rPr>
          <w:rFonts w:ascii="Arial" w:hAnsi="Arial" w:cs="Arial"/>
          <w:sz w:val="20"/>
          <w:szCs w:val="20"/>
          <w:u w:val="single"/>
          <w:lang w:val="es"/>
        </w:rPr>
        <w:t>Espacios públicos:</w:t>
      </w:r>
      <w:r w:rsidRPr="007F7AD7">
        <w:rPr>
          <w:rFonts w:ascii="Arial" w:hAnsi="Arial" w:cs="Arial"/>
          <w:sz w:val="20"/>
          <w:szCs w:val="20"/>
          <w:lang w:val="es"/>
        </w:rPr>
        <w:t xml:space="preserve"> </w:t>
      </w:r>
      <w:r w:rsidR="006B3507" w:rsidRPr="007F7AD7">
        <w:rPr>
          <w:rFonts w:ascii="Arial" w:hAnsi="Arial" w:cs="Arial"/>
          <w:sz w:val="20"/>
          <w:szCs w:val="20"/>
          <w:lang w:val="es"/>
        </w:rPr>
        <w:t>l</w:t>
      </w:r>
      <w:r w:rsidRPr="007F7AD7">
        <w:rPr>
          <w:rFonts w:ascii="Arial" w:hAnsi="Arial" w:cs="Arial"/>
          <w:sz w:val="20"/>
          <w:szCs w:val="20"/>
          <w:lang w:val="es"/>
        </w:rPr>
        <w:t>as mejoras del Jubilee Park introducirán espacios para actividades culturales en un entorno ajardinado. En Fort Canning Park, se adaptarán los senderos patrimoniales existentes para mostrar la historia de los parques, mientras que en Little India, el proyecto Oasis Little India seguirá transformando terrenos estatales baldíos en espacios públicos para actividades comunitarias organizadas por la Asociación de Comerciantes y Patrimonio de Little India.</w:t>
      </w:r>
    </w:p>
    <w:p w14:paraId="0E8B2E43" w14:textId="77777777" w:rsidR="007D2FF7" w:rsidRPr="007F7AD7" w:rsidRDefault="007D2FF7" w:rsidP="007F7AD7">
      <w:pPr>
        <w:spacing w:line="276" w:lineRule="auto"/>
        <w:jc w:val="both"/>
        <w:rPr>
          <w:rFonts w:ascii="Arial" w:hAnsi="Arial" w:cs="Arial"/>
          <w:sz w:val="20"/>
          <w:szCs w:val="20"/>
        </w:rPr>
      </w:pPr>
    </w:p>
    <w:p w14:paraId="0C7A7D09" w14:textId="48B9630B" w:rsidR="007D2FF7" w:rsidRPr="007F7AD7" w:rsidRDefault="007D2FF7" w:rsidP="007F7AD7">
      <w:pPr>
        <w:pStyle w:val="ListParagraph"/>
        <w:numPr>
          <w:ilvl w:val="0"/>
          <w:numId w:val="6"/>
        </w:numPr>
        <w:spacing w:line="276" w:lineRule="auto"/>
        <w:jc w:val="both"/>
        <w:rPr>
          <w:rFonts w:ascii="Arial" w:hAnsi="Arial" w:cs="Arial"/>
          <w:sz w:val="20"/>
          <w:szCs w:val="20"/>
        </w:rPr>
      </w:pPr>
      <w:r w:rsidRPr="007F7AD7">
        <w:rPr>
          <w:rFonts w:ascii="Arial" w:hAnsi="Arial" w:cs="Arial"/>
          <w:sz w:val="20"/>
          <w:szCs w:val="20"/>
          <w:u w:val="single"/>
          <w:lang w:val="es"/>
        </w:rPr>
        <w:t>Instalaciones urbanas:</w:t>
      </w:r>
      <w:r w:rsidRPr="007F7AD7">
        <w:rPr>
          <w:rFonts w:ascii="Arial" w:hAnsi="Arial" w:cs="Arial"/>
          <w:sz w:val="20"/>
          <w:szCs w:val="20"/>
          <w:lang w:val="es"/>
        </w:rPr>
        <w:t xml:space="preserve"> </w:t>
      </w:r>
      <w:r w:rsidR="006B3507" w:rsidRPr="007F7AD7">
        <w:rPr>
          <w:rFonts w:ascii="Arial" w:hAnsi="Arial" w:cs="Arial"/>
          <w:sz w:val="20"/>
          <w:szCs w:val="20"/>
          <w:lang w:val="es"/>
        </w:rPr>
        <w:t>e</w:t>
      </w:r>
      <w:r w:rsidRPr="007F7AD7">
        <w:rPr>
          <w:rFonts w:ascii="Arial" w:hAnsi="Arial" w:cs="Arial"/>
          <w:sz w:val="20"/>
          <w:szCs w:val="20"/>
          <w:lang w:val="es"/>
        </w:rPr>
        <w:t>l plan sugiere que la finalización de la ampliación del Museo de Arte de Singapur creará nuevos escenarios para eventos artísticos y culturales en el distrito histórico de Bras Basah-Bugis. Del mismo modo, la Little India Artwalk del Lasalle College of the Arts animará a los visitantes a explorar sus instalaciones artísticas que muestran la historia del distrito.</w:t>
      </w:r>
    </w:p>
    <w:p w14:paraId="521B7AB1" w14:textId="77777777" w:rsidR="007D2FF7" w:rsidRPr="007F7AD7" w:rsidRDefault="007D2FF7" w:rsidP="007F7AD7">
      <w:pPr>
        <w:spacing w:line="276" w:lineRule="auto"/>
        <w:jc w:val="both"/>
        <w:rPr>
          <w:rFonts w:ascii="Arial" w:hAnsi="Arial" w:cs="Arial"/>
          <w:sz w:val="20"/>
          <w:szCs w:val="20"/>
        </w:rPr>
      </w:pPr>
    </w:p>
    <w:p w14:paraId="033EA987" w14:textId="072DECC1" w:rsidR="007D2FF7" w:rsidRPr="007F7AD7" w:rsidRDefault="007D2FF7" w:rsidP="007F7AD7">
      <w:pPr>
        <w:spacing w:line="276" w:lineRule="auto"/>
        <w:jc w:val="both"/>
        <w:rPr>
          <w:rFonts w:ascii="Arial" w:hAnsi="Arial" w:cs="Arial"/>
          <w:b/>
          <w:bCs/>
          <w:sz w:val="20"/>
          <w:szCs w:val="20"/>
        </w:rPr>
      </w:pPr>
      <w:r w:rsidRPr="007F7AD7">
        <w:rPr>
          <w:rFonts w:ascii="Arial" w:hAnsi="Arial" w:cs="Arial"/>
          <w:b/>
          <w:bCs/>
          <w:sz w:val="20"/>
          <w:szCs w:val="20"/>
          <w:lang w:val="es"/>
        </w:rPr>
        <w:t xml:space="preserve">Estructura socioeconómica: </w:t>
      </w:r>
      <w:r w:rsidR="006B3507" w:rsidRPr="007F7AD7">
        <w:rPr>
          <w:rFonts w:ascii="Arial" w:hAnsi="Arial" w:cs="Arial"/>
          <w:sz w:val="20"/>
          <w:szCs w:val="20"/>
          <w:lang w:val="es"/>
        </w:rPr>
        <w:t>e</w:t>
      </w:r>
      <w:r w:rsidRPr="007F7AD7">
        <w:rPr>
          <w:rFonts w:ascii="Arial" w:hAnsi="Arial" w:cs="Arial"/>
          <w:sz w:val="20"/>
          <w:szCs w:val="20"/>
          <w:lang w:val="es"/>
        </w:rPr>
        <w:t>sta estructura se refiere a la planificación de una mayor inclusión social en términos de acceso a las oportunidades (por ejemplo, vivienda, salud, educación), y al empleo, la productividad o las actividades generadoras de ingresos, muchas de las cuales pueden presentar características distintivas en cuanto a etnia, edad u otros factores demográficos que pueden generar cohesión social e identidad. El Plan Maestro incluye estrategias que inciden en estos factores. Por ejemplo, el Ayuntamiento de Jurong, que alberga asociaciones comerciales y cámaras que apoyan el crecimiento económico, ha sido clasificado como monumento nacional. Varios edificios patrimoniales han sido renovados para albergar actividades económicas, como el Great Madras Hotel de Little India y el Khong Guan Building, donde se han instalado cafeterías, y la Red House, que mantiene su uso como cafetería local y ha añadido paneles explicativos para mostrar su historia. En cuanto a las congregaciones religiosas, que también forman parte de la estructura socioeconómica, el plan incluye estrategias para conservar y preservar el diseño, la cultura y la identidad, por ejemplo, de Christ Church, la primera iglesia anglicana de Singapur construida para la población de habla tamil.</w:t>
      </w:r>
    </w:p>
    <w:p w14:paraId="15FA4FA0" w14:textId="77777777" w:rsidR="007D2FF7" w:rsidRPr="007F7AD7" w:rsidRDefault="007D2FF7" w:rsidP="007F7AD7">
      <w:pPr>
        <w:spacing w:line="276" w:lineRule="auto"/>
        <w:jc w:val="both"/>
        <w:rPr>
          <w:rFonts w:ascii="Arial" w:hAnsi="Arial" w:cs="Arial"/>
          <w:sz w:val="20"/>
          <w:szCs w:val="20"/>
        </w:rPr>
      </w:pPr>
    </w:p>
    <w:p w14:paraId="3ECD6DB7" w14:textId="5C5FAD54" w:rsidR="007D2FF7" w:rsidRPr="007F7AD7" w:rsidRDefault="007D2FF7" w:rsidP="007F7AD7">
      <w:pPr>
        <w:spacing w:line="276" w:lineRule="auto"/>
        <w:jc w:val="both"/>
        <w:rPr>
          <w:rFonts w:ascii="Arial" w:hAnsi="Arial" w:cs="Arial"/>
          <w:b/>
          <w:bCs/>
          <w:sz w:val="20"/>
          <w:szCs w:val="20"/>
        </w:rPr>
      </w:pPr>
      <w:r w:rsidRPr="007F7AD7">
        <w:rPr>
          <w:rFonts w:ascii="Arial" w:hAnsi="Arial" w:cs="Arial"/>
          <w:b/>
          <w:bCs/>
          <w:sz w:val="20"/>
          <w:szCs w:val="20"/>
          <w:lang w:val="es"/>
        </w:rPr>
        <w:t xml:space="preserve">Estructura del patrimonio histórico y construido: </w:t>
      </w:r>
      <w:r w:rsidR="006B3507" w:rsidRPr="007F7AD7">
        <w:rPr>
          <w:rFonts w:ascii="Arial" w:hAnsi="Arial" w:cs="Arial"/>
          <w:sz w:val="20"/>
          <w:szCs w:val="20"/>
          <w:lang w:val="es"/>
        </w:rPr>
        <w:t>e</w:t>
      </w:r>
      <w:r w:rsidRPr="007F7AD7">
        <w:rPr>
          <w:rFonts w:ascii="Arial" w:hAnsi="Arial" w:cs="Arial"/>
          <w:sz w:val="20"/>
          <w:szCs w:val="20"/>
          <w:lang w:val="es"/>
        </w:rPr>
        <w:t xml:space="preserve">sta estructura se refiere a edificios, monumentos o distritos históricos protegidos, que aportan un importante valor social y económico a las ciudades y a menudo albergan prácticas culturales inmateriales. El plan comprende estrategias para preservar el patrimonio histórico y construido como medio de salvaguardar el valor cultural de la nación. Por ejemplo, el puesto de bebidas Ah Ma de Pulau Ubin se reconstruirá para mantener </w:t>
      </w:r>
      <w:r w:rsidR="00386694" w:rsidRPr="007F7AD7">
        <w:rPr>
          <w:rFonts w:ascii="Arial" w:hAnsi="Arial" w:cs="Arial"/>
          <w:sz w:val="20"/>
          <w:szCs w:val="20"/>
          <w:lang w:val="es"/>
        </w:rPr>
        <w:t>“</w:t>
      </w:r>
      <w:r w:rsidRPr="007F7AD7">
        <w:rPr>
          <w:rFonts w:ascii="Arial" w:hAnsi="Arial" w:cs="Arial"/>
          <w:sz w:val="20"/>
          <w:szCs w:val="20"/>
          <w:lang w:val="es"/>
        </w:rPr>
        <w:t>su estilo y espíritu kampong originales</w:t>
      </w:r>
      <w:r w:rsidR="00386694" w:rsidRPr="007F7AD7">
        <w:rPr>
          <w:rFonts w:ascii="Arial" w:hAnsi="Arial" w:cs="Arial"/>
          <w:sz w:val="20"/>
          <w:szCs w:val="20"/>
          <w:lang w:val="es"/>
        </w:rPr>
        <w:t>”</w:t>
      </w:r>
      <w:r w:rsidRPr="007F7AD7">
        <w:rPr>
          <w:rFonts w:ascii="Arial" w:hAnsi="Arial" w:cs="Arial"/>
          <w:sz w:val="20"/>
          <w:szCs w:val="20"/>
          <w:lang w:val="es"/>
        </w:rPr>
        <w:t>. El antiguo parque de bomberos de Bukit Timah se conservará como hito de la historia de la extinción de incendios en Singapur, y la Fábrica Nacional de Aguas Gaseosas se restaurará para celebrar el pasado industrial del río Kallang.</w:t>
      </w:r>
    </w:p>
    <w:p w14:paraId="7D3C3BB4" w14:textId="77777777" w:rsidR="002B3D3F" w:rsidRPr="007F7AD7" w:rsidRDefault="002B3D3F" w:rsidP="007F7AD7">
      <w:pPr>
        <w:pStyle w:val="Texte1"/>
        <w:spacing w:line="276" w:lineRule="auto"/>
        <w:ind w:left="360"/>
        <w:rPr>
          <w:b/>
          <w:bCs/>
          <w:color w:val="2F51F1"/>
          <w:lang w:val="es-ES"/>
        </w:rPr>
      </w:pPr>
    </w:p>
    <w:p w14:paraId="68884B00" w14:textId="4C32141B" w:rsidR="007D2FF7" w:rsidRPr="007F7AD7" w:rsidRDefault="007D2FF7" w:rsidP="007F7AD7">
      <w:pPr>
        <w:pStyle w:val="Texte1"/>
        <w:numPr>
          <w:ilvl w:val="0"/>
          <w:numId w:val="5"/>
        </w:numPr>
        <w:spacing w:line="276" w:lineRule="auto"/>
        <w:rPr>
          <w:b/>
          <w:bCs/>
          <w:color w:val="2F51F1"/>
          <w:lang w:val="es-ES"/>
        </w:rPr>
      </w:pPr>
      <w:r w:rsidRPr="007F7AD7">
        <w:rPr>
          <w:b/>
          <w:bCs/>
          <w:color w:val="2F51F1"/>
          <w:lang w:val="es"/>
        </w:rPr>
        <w:t xml:space="preserve">LECCIONES CLAVE DEL PLAN MAESTRO </w:t>
      </w:r>
      <w:r w:rsidR="00A603E1" w:rsidRPr="007F7AD7">
        <w:rPr>
          <w:b/>
          <w:bCs/>
          <w:color w:val="2F51F1"/>
          <w:lang w:val="es"/>
        </w:rPr>
        <w:t xml:space="preserve">DE </w:t>
      </w:r>
      <w:r w:rsidRPr="007F7AD7">
        <w:rPr>
          <w:b/>
          <w:bCs/>
          <w:color w:val="2F51F1"/>
          <w:lang w:val="es"/>
        </w:rPr>
        <w:t>2019</w:t>
      </w:r>
    </w:p>
    <w:p w14:paraId="4FB22607" w14:textId="77777777" w:rsidR="007D2FF7" w:rsidRPr="007F7AD7" w:rsidRDefault="007D2FF7" w:rsidP="007F7AD7">
      <w:pPr>
        <w:spacing w:line="276" w:lineRule="auto"/>
        <w:jc w:val="both"/>
        <w:rPr>
          <w:rFonts w:ascii="Arial" w:hAnsi="Arial" w:cs="Arial"/>
          <w:sz w:val="20"/>
          <w:szCs w:val="20"/>
        </w:rPr>
      </w:pPr>
    </w:p>
    <w:p w14:paraId="0069AB05" w14:textId="77777777" w:rsidR="007D2FF7" w:rsidRPr="007F7AD7" w:rsidRDefault="007D2FF7" w:rsidP="007F7AD7">
      <w:pPr>
        <w:spacing w:line="276" w:lineRule="auto"/>
        <w:jc w:val="both"/>
        <w:rPr>
          <w:rFonts w:ascii="Arial" w:hAnsi="Arial" w:cs="Arial"/>
          <w:sz w:val="20"/>
          <w:szCs w:val="20"/>
        </w:rPr>
      </w:pPr>
      <w:r w:rsidRPr="007F7AD7">
        <w:rPr>
          <w:rFonts w:ascii="Arial" w:hAnsi="Arial" w:cs="Arial"/>
          <w:sz w:val="20"/>
          <w:szCs w:val="20"/>
          <w:lang w:val="es"/>
        </w:rPr>
        <w:t xml:space="preserve">En el siguiente cuadro se resumen las principales lecciones del plan. </w:t>
      </w:r>
    </w:p>
    <w:p w14:paraId="70D29570" w14:textId="77777777" w:rsidR="007D2FF7" w:rsidRPr="007F7AD7" w:rsidRDefault="007D2FF7" w:rsidP="007F7AD7">
      <w:pPr>
        <w:spacing w:line="276" w:lineRule="auto"/>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1"/>
        <w:gridCol w:w="7387"/>
      </w:tblGrid>
      <w:tr w:rsidR="007D2FF7" w:rsidRPr="00446955" w14:paraId="3112BEC0" w14:textId="77777777" w:rsidTr="007F7AD7">
        <w:trPr>
          <w:trHeight w:val="340"/>
          <w:jc w:val="center"/>
        </w:trPr>
        <w:tc>
          <w:tcPr>
            <w:tcW w:w="800" w:type="pct"/>
            <w:shd w:val="clear" w:color="auto" w:fill="2F51F1"/>
            <w:vAlign w:val="center"/>
            <w:hideMark/>
          </w:tcPr>
          <w:p w14:paraId="59BBD37D" w14:textId="77777777" w:rsidR="007D2FF7" w:rsidRPr="007F7AD7" w:rsidRDefault="007D2FF7" w:rsidP="007F7AD7">
            <w:pPr>
              <w:spacing w:line="276" w:lineRule="auto"/>
              <w:jc w:val="both"/>
              <w:rPr>
                <w:rFonts w:ascii="Arial" w:eastAsia="Times New Roman" w:hAnsi="Arial" w:cs="Arial"/>
                <w:b/>
                <w:bCs/>
                <w:color w:val="FFFFFF" w:themeColor="background1"/>
                <w:sz w:val="20"/>
                <w:szCs w:val="20"/>
              </w:rPr>
            </w:pPr>
            <w:r w:rsidRPr="007F7AD7">
              <w:rPr>
                <w:rFonts w:ascii="Arial" w:eastAsia="Times New Roman" w:hAnsi="Arial" w:cs="Arial"/>
                <w:b/>
                <w:bCs/>
                <w:color w:val="FFFFFF" w:themeColor="background1"/>
                <w:sz w:val="20"/>
                <w:szCs w:val="20"/>
                <w:lang w:val="es"/>
              </w:rPr>
              <w:lastRenderedPageBreak/>
              <w:t xml:space="preserve">Componente </w:t>
            </w:r>
          </w:p>
        </w:tc>
        <w:tc>
          <w:tcPr>
            <w:tcW w:w="4200" w:type="pct"/>
            <w:shd w:val="clear" w:color="auto" w:fill="2F51F1"/>
            <w:vAlign w:val="center"/>
            <w:hideMark/>
          </w:tcPr>
          <w:p w14:paraId="15AD368F" w14:textId="77777777" w:rsidR="007D2FF7" w:rsidRPr="007F7AD7" w:rsidRDefault="007D2FF7" w:rsidP="007F7AD7">
            <w:pPr>
              <w:spacing w:line="276" w:lineRule="auto"/>
              <w:jc w:val="both"/>
              <w:rPr>
                <w:rFonts w:ascii="Arial" w:eastAsia="Times New Roman" w:hAnsi="Arial" w:cs="Arial"/>
                <w:b/>
                <w:bCs/>
                <w:color w:val="FFFFFF" w:themeColor="background1"/>
                <w:sz w:val="20"/>
                <w:szCs w:val="20"/>
              </w:rPr>
            </w:pPr>
            <w:r w:rsidRPr="007F7AD7">
              <w:rPr>
                <w:rFonts w:ascii="Arial" w:eastAsia="Times New Roman" w:hAnsi="Arial" w:cs="Arial"/>
                <w:b/>
                <w:bCs/>
                <w:color w:val="FFFFFF" w:themeColor="background1"/>
                <w:sz w:val="20"/>
                <w:szCs w:val="20"/>
                <w:lang w:val="es"/>
              </w:rPr>
              <w:t>Lección clave</w:t>
            </w:r>
          </w:p>
        </w:tc>
      </w:tr>
      <w:tr w:rsidR="007D2FF7" w:rsidRPr="00446955" w14:paraId="36404EE8" w14:textId="77777777" w:rsidTr="000418F9">
        <w:trPr>
          <w:trHeight w:val="144"/>
          <w:jc w:val="center"/>
        </w:trPr>
        <w:tc>
          <w:tcPr>
            <w:tcW w:w="800" w:type="pct"/>
            <w:shd w:val="clear" w:color="auto" w:fill="auto"/>
            <w:vAlign w:val="center"/>
            <w:hideMark/>
          </w:tcPr>
          <w:p w14:paraId="372CAB6F" w14:textId="77777777" w:rsidR="007D2FF7" w:rsidRPr="00446955" w:rsidRDefault="007D2FF7" w:rsidP="007F7AD7">
            <w:pPr>
              <w:spacing w:line="276" w:lineRule="auto"/>
              <w:jc w:val="both"/>
              <w:rPr>
                <w:rFonts w:ascii="Arial" w:eastAsia="Times New Roman" w:hAnsi="Arial" w:cs="Arial"/>
                <w:b/>
                <w:bCs/>
                <w:color w:val="000000"/>
                <w:sz w:val="20"/>
                <w:szCs w:val="20"/>
              </w:rPr>
            </w:pPr>
            <w:r w:rsidRPr="00446955">
              <w:rPr>
                <w:rFonts w:ascii="Arial" w:eastAsia="Times New Roman" w:hAnsi="Arial" w:cs="Arial"/>
                <w:b/>
                <w:bCs/>
                <w:color w:val="000000"/>
                <w:sz w:val="20"/>
                <w:szCs w:val="20"/>
                <w:lang w:val="es"/>
              </w:rPr>
              <w:t xml:space="preserve">Estructuras urbanas </w:t>
            </w:r>
          </w:p>
        </w:tc>
        <w:tc>
          <w:tcPr>
            <w:tcW w:w="4200" w:type="pct"/>
            <w:shd w:val="clear" w:color="auto" w:fill="auto"/>
            <w:vAlign w:val="center"/>
            <w:hideMark/>
          </w:tcPr>
          <w:p w14:paraId="47B99971" w14:textId="6FEAEE68" w:rsidR="007D2FF7" w:rsidRPr="00446955" w:rsidRDefault="007D2FF7" w:rsidP="007F7AD7">
            <w:pPr>
              <w:spacing w:line="276" w:lineRule="auto"/>
              <w:jc w:val="both"/>
              <w:rPr>
                <w:rFonts w:ascii="Arial" w:eastAsia="Times New Roman" w:hAnsi="Arial" w:cs="Arial"/>
                <w:color w:val="000000"/>
                <w:sz w:val="20"/>
                <w:szCs w:val="20"/>
              </w:rPr>
            </w:pPr>
            <w:r w:rsidRPr="00446955">
              <w:rPr>
                <w:rFonts w:ascii="Arial" w:eastAsia="Times New Roman" w:hAnsi="Arial" w:cs="Arial"/>
                <w:color w:val="000000"/>
                <w:sz w:val="20"/>
                <w:szCs w:val="20"/>
                <w:lang w:val="es"/>
              </w:rPr>
              <w:t>Las propuestas de un plan suelen estar relacionadas con cuatro estructuras urbanas, concretamente con la ecológica, la funcional, la socioeconómica y la del patrimonio construido. Estas estructuras están íntimamente relacionadas con el patrimonio cultural y, por tanto, es importante que las propuestas relacionadas con cada una de ellas reconozcan su papel en la salvaguardia de las prácticas culturales relacionadas.</w:t>
            </w:r>
          </w:p>
        </w:tc>
      </w:tr>
      <w:tr w:rsidR="007D2FF7" w:rsidRPr="00446955" w14:paraId="2E168880" w14:textId="77777777" w:rsidTr="000418F9">
        <w:trPr>
          <w:trHeight w:val="144"/>
          <w:jc w:val="center"/>
        </w:trPr>
        <w:tc>
          <w:tcPr>
            <w:tcW w:w="800" w:type="pct"/>
            <w:shd w:val="clear" w:color="auto" w:fill="auto"/>
            <w:vAlign w:val="center"/>
            <w:hideMark/>
          </w:tcPr>
          <w:p w14:paraId="5C1FDF5D" w14:textId="77777777" w:rsidR="007D2FF7" w:rsidRPr="00446955" w:rsidRDefault="007D2FF7" w:rsidP="007F7AD7">
            <w:pPr>
              <w:spacing w:line="276" w:lineRule="auto"/>
              <w:jc w:val="both"/>
              <w:rPr>
                <w:rFonts w:ascii="Arial" w:eastAsia="Times New Roman" w:hAnsi="Arial" w:cs="Arial"/>
                <w:b/>
                <w:bCs/>
                <w:color w:val="000000"/>
                <w:sz w:val="20"/>
                <w:szCs w:val="20"/>
              </w:rPr>
            </w:pPr>
            <w:r w:rsidRPr="00446955">
              <w:rPr>
                <w:rFonts w:ascii="Arial" w:eastAsia="Times New Roman" w:hAnsi="Arial" w:cs="Arial"/>
                <w:b/>
                <w:bCs/>
                <w:color w:val="000000"/>
                <w:sz w:val="20"/>
                <w:szCs w:val="20"/>
                <w:lang w:val="es"/>
              </w:rPr>
              <w:t>Coordinación multisectorial</w:t>
            </w:r>
          </w:p>
        </w:tc>
        <w:tc>
          <w:tcPr>
            <w:tcW w:w="4200" w:type="pct"/>
            <w:shd w:val="clear" w:color="auto" w:fill="auto"/>
            <w:vAlign w:val="center"/>
            <w:hideMark/>
          </w:tcPr>
          <w:p w14:paraId="4DC8DEC2" w14:textId="29868C31" w:rsidR="007D2FF7" w:rsidRPr="00446955" w:rsidRDefault="007D2FF7" w:rsidP="007F7AD7">
            <w:pPr>
              <w:spacing w:line="276" w:lineRule="auto"/>
              <w:jc w:val="both"/>
              <w:rPr>
                <w:rFonts w:ascii="Arial" w:eastAsia="Times New Roman" w:hAnsi="Arial" w:cs="Arial"/>
                <w:color w:val="000000"/>
                <w:sz w:val="20"/>
                <w:szCs w:val="20"/>
              </w:rPr>
            </w:pPr>
            <w:r w:rsidRPr="00446955">
              <w:rPr>
                <w:rFonts w:ascii="Arial" w:eastAsia="Times New Roman" w:hAnsi="Arial" w:cs="Arial"/>
                <w:color w:val="000000"/>
                <w:sz w:val="20"/>
                <w:szCs w:val="20"/>
                <w:lang w:val="es"/>
              </w:rPr>
              <w:t>La coordinación entre organismos públicos es clave para garantizar la alineación de objetivos y funciones y responsabilidades, especialmente entre los sectores urbanístico y cultural. La coordinación también puede ayudar a avanzar en los esfuerzos conjuntos para salvaguardar el PCI en las ciudades y aprovechar los conocimientos, los recursos y la toma de decisiones de forma colaborativa.</w:t>
            </w:r>
          </w:p>
        </w:tc>
      </w:tr>
      <w:tr w:rsidR="007D2FF7" w:rsidRPr="00446955" w14:paraId="13A3549F" w14:textId="77777777" w:rsidTr="000418F9">
        <w:trPr>
          <w:trHeight w:val="144"/>
          <w:jc w:val="center"/>
        </w:trPr>
        <w:tc>
          <w:tcPr>
            <w:tcW w:w="800" w:type="pct"/>
            <w:shd w:val="clear" w:color="auto" w:fill="auto"/>
            <w:vAlign w:val="center"/>
            <w:hideMark/>
          </w:tcPr>
          <w:p w14:paraId="317F700A" w14:textId="77777777" w:rsidR="007D2FF7" w:rsidRPr="00446955" w:rsidRDefault="007D2FF7" w:rsidP="007F7AD7">
            <w:pPr>
              <w:spacing w:line="276" w:lineRule="auto"/>
              <w:jc w:val="both"/>
              <w:rPr>
                <w:rFonts w:ascii="Arial" w:eastAsia="Times New Roman" w:hAnsi="Arial" w:cs="Arial"/>
                <w:b/>
                <w:bCs/>
                <w:color w:val="000000"/>
                <w:sz w:val="20"/>
                <w:szCs w:val="20"/>
              </w:rPr>
            </w:pPr>
            <w:r w:rsidRPr="00446955">
              <w:rPr>
                <w:rFonts w:ascii="Arial" w:eastAsia="Times New Roman" w:hAnsi="Arial" w:cs="Arial"/>
                <w:b/>
                <w:bCs/>
                <w:color w:val="000000"/>
                <w:sz w:val="20"/>
                <w:szCs w:val="20"/>
                <w:lang w:val="es"/>
              </w:rPr>
              <w:t>Participación social</w:t>
            </w:r>
          </w:p>
        </w:tc>
        <w:tc>
          <w:tcPr>
            <w:tcW w:w="4200" w:type="pct"/>
            <w:shd w:val="clear" w:color="auto" w:fill="auto"/>
            <w:vAlign w:val="center"/>
            <w:hideMark/>
          </w:tcPr>
          <w:p w14:paraId="00FA0BCC" w14:textId="5B2125D8" w:rsidR="007D2FF7" w:rsidRPr="00446955" w:rsidRDefault="007D2FF7" w:rsidP="007F7AD7">
            <w:pPr>
              <w:spacing w:line="276" w:lineRule="auto"/>
              <w:jc w:val="both"/>
              <w:rPr>
                <w:rFonts w:ascii="Arial" w:eastAsia="Times New Roman" w:hAnsi="Arial" w:cs="Arial"/>
                <w:color w:val="000000"/>
                <w:sz w:val="20"/>
                <w:szCs w:val="20"/>
              </w:rPr>
            </w:pPr>
            <w:r w:rsidRPr="00446955">
              <w:rPr>
                <w:rFonts w:ascii="Arial" w:eastAsia="Times New Roman" w:hAnsi="Arial" w:cs="Arial"/>
                <w:color w:val="000000"/>
                <w:sz w:val="20"/>
                <w:szCs w:val="20"/>
                <w:lang w:val="es"/>
              </w:rPr>
              <w:t xml:space="preserve">La </w:t>
            </w:r>
            <w:proofErr w:type="gramStart"/>
            <w:r w:rsidRPr="00446955">
              <w:rPr>
                <w:rFonts w:ascii="Arial" w:eastAsia="Times New Roman" w:hAnsi="Arial" w:cs="Arial"/>
                <w:color w:val="000000"/>
                <w:sz w:val="20"/>
                <w:szCs w:val="20"/>
                <w:lang w:val="es"/>
              </w:rPr>
              <w:t>participación activa</w:t>
            </w:r>
            <w:proofErr w:type="gramEnd"/>
            <w:r w:rsidRPr="00446955">
              <w:rPr>
                <w:rFonts w:ascii="Arial" w:eastAsia="Times New Roman" w:hAnsi="Arial" w:cs="Arial"/>
                <w:color w:val="000000"/>
                <w:sz w:val="20"/>
                <w:szCs w:val="20"/>
                <w:lang w:val="es"/>
              </w:rPr>
              <w:t xml:space="preserve"> de las partes interesadas de los sectores público, privado y comunitario es positiva para informar sobre la elaboración de un plan y refinar sus propuestas. Del mismo modo, la participación de individuos</w:t>
            </w:r>
            <w:r w:rsidR="004C399E" w:rsidRPr="00446955">
              <w:rPr>
                <w:rFonts w:ascii="Arial" w:eastAsia="Times New Roman" w:hAnsi="Arial" w:cs="Arial"/>
                <w:color w:val="000000"/>
                <w:sz w:val="20"/>
                <w:szCs w:val="20"/>
                <w:lang w:val="es"/>
              </w:rPr>
              <w:t>,</w:t>
            </w:r>
            <w:r w:rsidRPr="00446955">
              <w:rPr>
                <w:rFonts w:ascii="Arial" w:eastAsia="Times New Roman" w:hAnsi="Arial" w:cs="Arial"/>
                <w:color w:val="000000"/>
                <w:sz w:val="20"/>
                <w:szCs w:val="20"/>
                <w:lang w:val="es"/>
              </w:rPr>
              <w:t xml:space="preserve"> grupos </w:t>
            </w:r>
            <w:r w:rsidR="004C399E" w:rsidRPr="00446955">
              <w:rPr>
                <w:rFonts w:ascii="Arial" w:eastAsia="Times New Roman" w:hAnsi="Arial" w:cs="Arial"/>
                <w:color w:val="000000"/>
                <w:sz w:val="20"/>
                <w:szCs w:val="20"/>
                <w:lang w:val="es"/>
              </w:rPr>
              <w:t xml:space="preserve">y </w:t>
            </w:r>
            <w:r w:rsidRPr="00446955">
              <w:rPr>
                <w:rFonts w:ascii="Arial" w:eastAsia="Times New Roman" w:hAnsi="Arial" w:cs="Arial"/>
                <w:color w:val="000000"/>
                <w:sz w:val="20"/>
                <w:szCs w:val="20"/>
                <w:lang w:val="es"/>
              </w:rPr>
              <w:t>de las comunidades puede facilitar la aplicación de estrategias específicas.</w:t>
            </w:r>
          </w:p>
        </w:tc>
      </w:tr>
      <w:tr w:rsidR="007D2FF7" w:rsidRPr="00446955" w14:paraId="19190A09" w14:textId="77777777" w:rsidTr="000418F9">
        <w:trPr>
          <w:trHeight w:val="144"/>
          <w:jc w:val="center"/>
        </w:trPr>
        <w:tc>
          <w:tcPr>
            <w:tcW w:w="800" w:type="pct"/>
            <w:shd w:val="clear" w:color="auto" w:fill="auto"/>
            <w:vAlign w:val="center"/>
            <w:hideMark/>
          </w:tcPr>
          <w:p w14:paraId="7BF2247C" w14:textId="77777777" w:rsidR="007D2FF7" w:rsidRPr="00446955" w:rsidRDefault="007D2FF7" w:rsidP="007F7AD7">
            <w:pPr>
              <w:spacing w:line="276" w:lineRule="auto"/>
              <w:jc w:val="both"/>
              <w:rPr>
                <w:rFonts w:ascii="Arial" w:eastAsia="Times New Roman" w:hAnsi="Arial" w:cs="Arial"/>
                <w:b/>
                <w:bCs/>
                <w:color w:val="000000"/>
                <w:sz w:val="20"/>
                <w:szCs w:val="20"/>
              </w:rPr>
            </w:pPr>
            <w:r w:rsidRPr="00446955">
              <w:rPr>
                <w:rFonts w:ascii="Arial" w:eastAsia="Times New Roman" w:hAnsi="Arial" w:cs="Arial"/>
                <w:b/>
                <w:bCs/>
                <w:color w:val="000000"/>
                <w:sz w:val="20"/>
                <w:szCs w:val="20"/>
                <w:lang w:val="es"/>
              </w:rPr>
              <w:t>Herramientas o mecanismos de aplicación</w:t>
            </w:r>
          </w:p>
        </w:tc>
        <w:tc>
          <w:tcPr>
            <w:tcW w:w="4200" w:type="pct"/>
            <w:shd w:val="clear" w:color="auto" w:fill="auto"/>
            <w:vAlign w:val="center"/>
            <w:hideMark/>
          </w:tcPr>
          <w:p w14:paraId="136EB4C1" w14:textId="545A88C5" w:rsidR="007D2FF7" w:rsidRPr="00446955" w:rsidRDefault="007D2FF7" w:rsidP="007F7AD7">
            <w:pPr>
              <w:spacing w:line="276" w:lineRule="auto"/>
              <w:jc w:val="both"/>
              <w:rPr>
                <w:rFonts w:ascii="Arial" w:eastAsia="Times New Roman" w:hAnsi="Arial" w:cs="Arial"/>
                <w:color w:val="000000"/>
                <w:sz w:val="20"/>
                <w:szCs w:val="20"/>
              </w:rPr>
            </w:pPr>
            <w:r w:rsidRPr="00446955">
              <w:rPr>
                <w:rFonts w:ascii="Arial" w:eastAsia="Times New Roman" w:hAnsi="Arial" w:cs="Arial"/>
                <w:color w:val="000000"/>
                <w:sz w:val="20"/>
                <w:szCs w:val="20"/>
                <w:lang w:val="es"/>
              </w:rPr>
              <w:t>Un plan debe ir acompañado de herramientas o mecanismos adicionales para su aplicación. Instrumentos jurídicos como las declaraciones de zonificación y los controles del desarrollo son de suma importancia para regular adecuadamente el desarrollo urbano, especialmente en lo que se refiere a la salvaguardia del patrimonio cultural.</w:t>
            </w:r>
          </w:p>
        </w:tc>
      </w:tr>
    </w:tbl>
    <w:p w14:paraId="3707FCE7" w14:textId="77777777" w:rsidR="002B3D3F" w:rsidRPr="007F7AD7" w:rsidRDefault="002B3D3F" w:rsidP="007F7AD7">
      <w:pPr>
        <w:pStyle w:val="Texte1"/>
        <w:spacing w:line="276" w:lineRule="auto"/>
        <w:ind w:left="0"/>
        <w:rPr>
          <w:color w:val="0177D4"/>
          <w:lang w:val="es-ES"/>
        </w:rPr>
      </w:pPr>
    </w:p>
    <w:p w14:paraId="70A2BE67" w14:textId="5D2D89B0" w:rsidR="007D2FF7" w:rsidRPr="007F7AD7" w:rsidRDefault="007D2FF7" w:rsidP="007F7AD7">
      <w:pPr>
        <w:pStyle w:val="Texte1"/>
        <w:numPr>
          <w:ilvl w:val="0"/>
          <w:numId w:val="5"/>
        </w:numPr>
        <w:spacing w:line="276" w:lineRule="auto"/>
        <w:rPr>
          <w:b/>
          <w:bCs/>
          <w:color w:val="2F51F9"/>
        </w:rPr>
      </w:pPr>
      <w:r w:rsidRPr="007F7AD7">
        <w:rPr>
          <w:b/>
          <w:bCs/>
          <w:color w:val="2F51F9"/>
          <w:lang w:val="es"/>
        </w:rPr>
        <w:t>CONCLUSIÓN</w:t>
      </w:r>
    </w:p>
    <w:p w14:paraId="2E6F6C08" w14:textId="77777777" w:rsidR="007D2FF7" w:rsidRPr="007F7AD7" w:rsidRDefault="007D2FF7" w:rsidP="007F7AD7">
      <w:pPr>
        <w:spacing w:line="276" w:lineRule="auto"/>
        <w:jc w:val="both"/>
        <w:rPr>
          <w:rFonts w:ascii="Arial" w:hAnsi="Arial" w:cs="Arial"/>
          <w:sz w:val="20"/>
          <w:szCs w:val="20"/>
        </w:rPr>
      </w:pPr>
    </w:p>
    <w:p w14:paraId="3E9D96AF" w14:textId="5078EB86" w:rsidR="00AB1A73" w:rsidRDefault="007D2FF7" w:rsidP="007F7AD7">
      <w:pPr>
        <w:spacing w:line="276" w:lineRule="auto"/>
        <w:jc w:val="both"/>
        <w:rPr>
          <w:rFonts w:ascii="Arial" w:hAnsi="Arial" w:cs="Arial"/>
          <w:sz w:val="22"/>
          <w:szCs w:val="22"/>
          <w:lang w:val="es"/>
        </w:rPr>
      </w:pPr>
      <w:r w:rsidRPr="007F7AD7">
        <w:rPr>
          <w:rFonts w:ascii="Arial" w:hAnsi="Arial" w:cs="Arial"/>
          <w:sz w:val="20"/>
          <w:szCs w:val="20"/>
          <w:lang w:val="es"/>
        </w:rPr>
        <w:t xml:space="preserve">El Plan Maestro </w:t>
      </w:r>
      <w:r w:rsidR="00064853" w:rsidRPr="007F7AD7">
        <w:rPr>
          <w:rFonts w:ascii="Arial" w:hAnsi="Arial" w:cs="Arial"/>
          <w:sz w:val="20"/>
          <w:szCs w:val="20"/>
          <w:lang w:val="es"/>
        </w:rPr>
        <w:t xml:space="preserve">de </w:t>
      </w:r>
      <w:r w:rsidRPr="007F7AD7">
        <w:rPr>
          <w:rFonts w:ascii="Arial" w:hAnsi="Arial" w:cs="Arial"/>
          <w:sz w:val="20"/>
          <w:szCs w:val="20"/>
          <w:lang w:val="es"/>
        </w:rPr>
        <w:t xml:space="preserve">2019 de Singapur se considera un </w:t>
      </w:r>
      <w:r w:rsidR="00064853" w:rsidRPr="007F7AD7">
        <w:rPr>
          <w:rFonts w:ascii="Arial" w:hAnsi="Arial" w:cs="Arial"/>
          <w:sz w:val="20"/>
          <w:szCs w:val="20"/>
          <w:lang w:val="es"/>
        </w:rPr>
        <w:t>buen ejemplo</w:t>
      </w:r>
      <w:r w:rsidRPr="007F7AD7">
        <w:rPr>
          <w:rFonts w:ascii="Arial" w:hAnsi="Arial" w:cs="Arial"/>
          <w:sz w:val="20"/>
          <w:szCs w:val="20"/>
          <w:lang w:val="es"/>
        </w:rPr>
        <w:t xml:space="preserve"> en cuanto a la formulación de estrategias urbanas que pueden contribuir a salvaguardar el patrimonio vivo y, por lo tanto, puede ayudar a fundamentar la aplicación de la metodología propuesta para la incorporación del PCI en la planificación urbana. El plan demuestra cómo la planificación urbana puede incorporar elementos culturales de forma práctica y viable, y expone múltiples aspectos que deben tenerse en cuenta en el proceso de elaboración y aplicación. En particular, cabe destacar que el plan pretende conservar las cualidades distintivas de las zonas de identidad local mediante intervenciones físicas (por ejemplo, espacios públicos, mejora del paisaje urbano) y directrices de diseño. Sienta las bases para asociarse con otras partes interesadas en la aplicación de estrategias destinadas a preservar el patrimonio construido e inmaterial y explora múltiples formas de celebrar la historia y la memoria colectiva de Singapur en los espacios urban</w:t>
      </w:r>
      <w:r>
        <w:rPr>
          <w:rFonts w:ascii="Arial" w:hAnsi="Arial" w:cs="Arial"/>
          <w:sz w:val="22"/>
          <w:szCs w:val="22"/>
          <w:lang w:val="es"/>
        </w:rPr>
        <w:t>os.</w:t>
      </w:r>
    </w:p>
    <w:p w14:paraId="32B30BBD" w14:textId="77777777" w:rsidR="003E3706" w:rsidRDefault="003E3706" w:rsidP="007F7AD7">
      <w:pPr>
        <w:spacing w:line="276" w:lineRule="auto"/>
        <w:jc w:val="both"/>
        <w:rPr>
          <w:rFonts w:ascii="Arial" w:hAnsi="Arial" w:cs="Arial"/>
          <w:sz w:val="22"/>
          <w:szCs w:val="22"/>
          <w:lang w:val="es"/>
        </w:rPr>
      </w:pPr>
    </w:p>
    <w:p w14:paraId="0707EC55" w14:textId="52B49B0E" w:rsidR="003E3706" w:rsidRPr="00F605B7" w:rsidRDefault="003E3706" w:rsidP="003E3706">
      <w:pPr>
        <w:pStyle w:val="Texte1"/>
        <w:spacing w:line="276" w:lineRule="auto"/>
        <w:ind w:left="0"/>
        <w:rPr>
          <w:b/>
          <w:bCs/>
          <w:lang w:val="es-ES"/>
        </w:rPr>
      </w:pPr>
      <w:r w:rsidRPr="00F605B7">
        <w:rPr>
          <w:b/>
          <w:bCs/>
          <w:lang w:val="es-ES"/>
        </w:rPr>
        <w:t>REFERENC</w:t>
      </w:r>
      <w:r w:rsidRPr="00F605B7">
        <w:rPr>
          <w:b/>
          <w:bCs/>
          <w:lang w:val="es-ES"/>
        </w:rPr>
        <w:t>IAS</w:t>
      </w:r>
    </w:p>
    <w:p w14:paraId="56022396" w14:textId="77777777" w:rsidR="003E3706" w:rsidRPr="00F605B7" w:rsidRDefault="003E3706" w:rsidP="003E3706">
      <w:pPr>
        <w:pStyle w:val="Texte1"/>
        <w:spacing w:line="276" w:lineRule="auto"/>
        <w:ind w:left="0"/>
        <w:rPr>
          <w:b/>
          <w:bCs/>
          <w:lang w:val="es-ES"/>
        </w:rPr>
      </w:pPr>
    </w:p>
    <w:p w14:paraId="2B1C1FDD" w14:textId="101DA6B5" w:rsidR="003E3706" w:rsidRPr="00F605B7" w:rsidRDefault="00F605B7" w:rsidP="003E3706">
      <w:pPr>
        <w:pStyle w:val="Texte1"/>
        <w:spacing w:line="276" w:lineRule="auto"/>
        <w:ind w:left="0"/>
        <w:rPr>
          <w:lang w:val="es-ES"/>
        </w:rPr>
      </w:pPr>
      <w:r w:rsidRPr="00F605B7">
        <w:rPr>
          <w:lang w:val="es-ES"/>
        </w:rPr>
        <w:t xml:space="preserve">Autoridad de </w:t>
      </w:r>
      <w:r>
        <w:rPr>
          <w:lang w:val="es-ES"/>
        </w:rPr>
        <w:t>Reordenación</w:t>
      </w:r>
      <w:r w:rsidRPr="00F605B7">
        <w:rPr>
          <w:lang w:val="es-ES"/>
        </w:rPr>
        <w:t xml:space="preserve"> Urban</w:t>
      </w:r>
      <w:r>
        <w:rPr>
          <w:lang w:val="es-ES"/>
        </w:rPr>
        <w:t>a</w:t>
      </w:r>
      <w:r w:rsidR="003E3706" w:rsidRPr="00F605B7">
        <w:rPr>
          <w:lang w:val="es-ES"/>
        </w:rPr>
        <w:t xml:space="preserve"> (2019). </w:t>
      </w:r>
      <w:r w:rsidRPr="00F605B7">
        <w:rPr>
          <w:lang w:val="es-ES"/>
        </w:rPr>
        <w:t>Plan Maestro de Singapur</w:t>
      </w:r>
      <w:r w:rsidR="003E3706" w:rsidRPr="00F605B7">
        <w:rPr>
          <w:lang w:val="es-ES"/>
        </w:rPr>
        <w:t xml:space="preserve"> 2019. </w:t>
      </w:r>
      <w:r w:rsidRPr="00F605B7">
        <w:rPr>
          <w:lang w:val="es-ES"/>
        </w:rPr>
        <w:t>Extra</w:t>
      </w:r>
      <w:r>
        <w:rPr>
          <w:lang w:val="es-ES"/>
        </w:rPr>
        <w:t>í</w:t>
      </w:r>
      <w:r w:rsidRPr="00F605B7">
        <w:rPr>
          <w:lang w:val="es-ES"/>
        </w:rPr>
        <w:t>do d</w:t>
      </w:r>
      <w:r>
        <w:rPr>
          <w:lang w:val="es-ES"/>
        </w:rPr>
        <w:t>e</w:t>
      </w:r>
      <w:r w:rsidR="003E3706" w:rsidRPr="00F605B7">
        <w:rPr>
          <w:lang w:val="es-ES"/>
        </w:rPr>
        <w:t xml:space="preserve">: </w:t>
      </w:r>
      <w:hyperlink r:id="rId10" w:history="1">
        <w:r w:rsidR="003E3706" w:rsidRPr="00F605B7">
          <w:rPr>
            <w:rStyle w:val="Hyperlink"/>
            <w:lang w:val="es-ES"/>
          </w:rPr>
          <w:t>https://www.ura.gov.sg/Corporate/Planning/Mast</w:t>
        </w:r>
        <w:r w:rsidR="003E3706" w:rsidRPr="00F605B7">
          <w:rPr>
            <w:rStyle w:val="Hyperlink"/>
            <w:lang w:val="es-ES"/>
          </w:rPr>
          <w:t>er-Plan/Master-Plan-2019</w:t>
        </w:r>
      </w:hyperlink>
      <w:r w:rsidR="003E3706" w:rsidRPr="00F605B7">
        <w:rPr>
          <w:lang w:val="es-ES"/>
        </w:rPr>
        <w:t xml:space="preserve"> </w:t>
      </w:r>
    </w:p>
    <w:p w14:paraId="43CC1329" w14:textId="77777777" w:rsidR="003E3706" w:rsidRPr="00F605B7" w:rsidRDefault="003E3706" w:rsidP="007F7AD7">
      <w:pPr>
        <w:spacing w:line="276" w:lineRule="auto"/>
        <w:jc w:val="both"/>
        <w:rPr>
          <w:color w:val="3366FF"/>
          <w:lang w:val="es-ES"/>
        </w:rPr>
      </w:pPr>
    </w:p>
    <w:sectPr w:rsidR="003E3706" w:rsidRPr="00F605B7" w:rsidSect="003E3706">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2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CEBFC" w14:textId="77777777" w:rsidR="000E5B0E" w:rsidRDefault="000E5B0E" w:rsidP="00DF3895">
      <w:r>
        <w:separator/>
      </w:r>
    </w:p>
  </w:endnote>
  <w:endnote w:type="continuationSeparator" w:id="0">
    <w:p w14:paraId="0DDC35A7" w14:textId="77777777" w:rsidR="000E5B0E" w:rsidRDefault="000E5B0E"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81EC" w14:textId="159F1AB3" w:rsidR="005B6351" w:rsidRPr="00A1188E" w:rsidRDefault="005B6351" w:rsidP="001639B4">
    <w:pPr>
      <w:tabs>
        <w:tab w:val="center" w:pos="4536"/>
        <w:tab w:val="right" w:pos="8820"/>
      </w:tabs>
      <w:rPr>
        <w:rFonts w:asciiTheme="minorBidi" w:hAnsiTheme="minorBidi"/>
        <w:sz w:val="16"/>
        <w:szCs w:val="16"/>
      </w:rPr>
    </w:pPr>
    <w:r>
      <w:rPr>
        <w:rFonts w:asciiTheme="minorBidi" w:hAnsiTheme="minorBidi"/>
        <w:sz w:val="16"/>
        <w:szCs w:val="16"/>
        <w:lang w:val="es"/>
      </w:rPr>
      <w:tab/>
    </w:r>
    <w:r>
      <w:rPr>
        <w:rFonts w:asciiTheme="minorBidi" w:hAnsiTheme="minorBidi"/>
        <w:sz w:val="16"/>
        <w:szCs w:val="16"/>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05B86" w14:textId="111D7674" w:rsidR="003E3706" w:rsidRPr="003E3706" w:rsidRDefault="003E3706" w:rsidP="003E3706">
    <w:pPr>
      <w:rPr>
        <w:rFonts w:ascii="Arial" w:hAnsi="Arial" w:cs="Arial"/>
        <w:sz w:val="16"/>
        <w:szCs w:val="16"/>
      </w:rPr>
    </w:pPr>
  </w:p>
  <w:p w14:paraId="2F3C3929" w14:textId="3148240B" w:rsidR="003E3706" w:rsidRDefault="003E3706" w:rsidP="003E3706">
    <w:r w:rsidRPr="001165F6">
      <w:rPr>
        <w:rFonts w:ascii="Arial" w:eastAsia="SimSun" w:hAnsi="Arial" w:cs="Arial"/>
        <w:noProof/>
        <w:snapToGrid w:val="0"/>
        <w:color w:val="000000"/>
        <w:sz w:val="16"/>
        <w:szCs w:val="16"/>
        <w:lang w:val="en-GB" w:eastAsia="zh-CN"/>
      </w:rPr>
      <w:drawing>
        <wp:anchor distT="0" distB="0" distL="114300" distR="114300" simplePos="0" relativeHeight="251678720" behindDoc="0" locked="0" layoutInCell="1" allowOverlap="1" wp14:anchorId="52415196" wp14:editId="48E67945">
          <wp:simplePos x="0" y="0"/>
          <wp:positionH relativeFrom="column">
            <wp:posOffset>4866005</wp:posOffset>
          </wp:positionH>
          <wp:positionV relativeFrom="page">
            <wp:posOffset>8871585</wp:posOffset>
          </wp:positionV>
          <wp:extent cx="750570" cy="457200"/>
          <wp:effectExtent l="0" t="0" r="0" b="0"/>
          <wp:wrapSquare wrapText="bothSides"/>
          <wp:docPr id="85071888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346999E2" w14:textId="16B1C3F9" w:rsidR="003E3706" w:rsidRDefault="003E3706" w:rsidP="003E3706">
    <w:r w:rsidRPr="001165F6">
      <w:rPr>
        <w:rFonts w:ascii="Arial" w:eastAsia="SimSun" w:hAnsi="Arial" w:cs="Arial"/>
        <w:snapToGrid w:val="0"/>
        <w:color w:val="000000"/>
        <w:sz w:val="16"/>
        <w:szCs w:val="16"/>
        <w:lang w:val="es-ES" w:eastAsia="zh-CN"/>
      </w:rPr>
      <w:t>U</w:t>
    </w:r>
    <w:r>
      <w:rPr>
        <w:rFonts w:ascii="Arial" w:eastAsia="SimSun" w:hAnsi="Arial" w:cs="Arial"/>
        <w:snapToGrid w:val="0"/>
        <w:color w:val="000000"/>
        <w:sz w:val="16"/>
        <w:szCs w:val="16"/>
        <w:lang w:val="es-ES" w:eastAsia="zh-CN"/>
      </w:rPr>
      <w:t>C</w:t>
    </w:r>
    <w:r w:rsidRPr="001165F6">
      <w:rPr>
        <w:rFonts w:ascii="Arial" w:eastAsia="SimSun" w:hAnsi="Arial" w:cs="Arial"/>
        <w:snapToGrid w:val="0"/>
        <w:color w:val="000000"/>
        <w:sz w:val="16"/>
        <w:szCs w:val="16"/>
        <w:lang w:val="es-ES" w:eastAsia="zh-CN"/>
      </w:rPr>
      <w:t>-v1.0-</w:t>
    </w:r>
    <w:r>
      <w:rPr>
        <w:rFonts w:ascii="Arial" w:eastAsia="SimSun" w:hAnsi="Arial" w:cs="Arial"/>
        <w:snapToGrid w:val="0"/>
        <w:color w:val="000000"/>
        <w:sz w:val="16"/>
        <w:szCs w:val="16"/>
        <w:lang w:val="es-ES" w:eastAsia="zh-CN"/>
      </w:rPr>
      <w:t>CS1</w:t>
    </w:r>
    <w:r w:rsidRPr="001165F6">
      <w:rPr>
        <w:rFonts w:ascii="Arial" w:eastAsia="SimSun" w:hAnsi="Arial" w:cs="Arial"/>
        <w:snapToGrid w:val="0"/>
        <w:color w:val="000000"/>
        <w:sz w:val="16"/>
        <w:szCs w:val="16"/>
        <w:lang w:val="es-ES" w:eastAsia="zh-CN"/>
      </w:rPr>
      <w:t>-ES</w:t>
    </w:r>
    <w:r>
      <w:rPr>
        <w:rFonts w:ascii="Arial" w:eastAsia="SimSun" w:hAnsi="Arial" w:cs="Arial"/>
        <w:snapToGrid w:val="0"/>
        <w:color w:val="000000"/>
        <w:sz w:val="16"/>
        <w:szCs w:val="16"/>
        <w:lang w:val="es-ES" w:eastAsia="zh-CN"/>
      </w:rPr>
      <w:t xml:space="preserve">                    </w:t>
    </w:r>
    <w:r w:rsidRPr="001165F6">
      <w:rPr>
        <w:rFonts w:ascii="Arial" w:eastAsia="SimSun" w:hAnsi="Arial" w:cs="Arial"/>
        <w:snapToGrid w:val="0"/>
        <w:color w:val="000000"/>
        <w:sz w:val="16"/>
        <w:szCs w:val="16"/>
        <w:lang w:val="es-ES" w:eastAsia="zh-CN"/>
      </w:rPr>
      <w:tab/>
    </w:r>
    <w:r>
      <w:rPr>
        <w:rFonts w:ascii="Arial" w:eastAsia="SimSun" w:hAnsi="Arial" w:cs="Arial"/>
        <w:snapToGrid w:val="0"/>
        <w:color w:val="000000"/>
        <w:sz w:val="16"/>
        <w:szCs w:val="16"/>
        <w:lang w:val="es-ES" w:eastAsia="zh-CN"/>
      </w:rPr>
      <w:t xml:space="preserve">        </w:t>
    </w:r>
    <w:r w:rsidRPr="001165F6">
      <w:rPr>
        <w:rFonts w:ascii="Arial" w:eastAsia="SimSun" w:hAnsi="Arial" w:cs="Arial"/>
        <w:snapToGrid w:val="0"/>
        <w:color w:val="000000"/>
        <w:sz w:val="16"/>
        <w:szCs w:val="16"/>
        <w:lang w:val="es-ES" w:eastAsia="zh-CN"/>
      </w:rPr>
      <w:t>© UNESCO - Prohibida su reproducción sin autorización</w:t>
    </w:r>
  </w:p>
  <w:p w14:paraId="357D2252" w14:textId="52AECE2B" w:rsidR="003E3706" w:rsidRPr="003E3706" w:rsidRDefault="003E3706" w:rsidP="003E3706">
    <w:pPr>
      <w:pBdr>
        <w:top w:val="nil"/>
        <w:left w:val="nil"/>
        <w:bottom w:val="nil"/>
        <w:right w:val="nil"/>
        <w:between w:val="nil"/>
      </w:pBdr>
      <w:tabs>
        <w:tab w:val="left" w:pos="567"/>
        <w:tab w:val="center" w:pos="4423"/>
        <w:tab w:val="right" w:pos="8845"/>
      </w:tabs>
      <w:snapToGrid w:val="0"/>
    </w:pPr>
  </w:p>
  <w:p w14:paraId="467D6874" w14:textId="05A592EC" w:rsidR="003E3706" w:rsidRPr="003E3706" w:rsidRDefault="003E3706" w:rsidP="003E3706">
    <w:pPr>
      <w:rPr>
        <w:lang w:val="es-ES"/>
      </w:rPr>
    </w:pPr>
  </w:p>
  <w:p w14:paraId="40CD949B" w14:textId="541CFEBC" w:rsidR="007F7AD7" w:rsidRPr="003E3706" w:rsidRDefault="007F7AD7" w:rsidP="007F7AD7">
    <w:pPr>
      <w:rPr>
        <w:lang w:val="es-ES"/>
      </w:rPr>
    </w:pPr>
  </w:p>
  <w:p w14:paraId="00230CBD" w14:textId="7AA7E23C" w:rsidR="005B6351" w:rsidRPr="003E3706" w:rsidRDefault="005B6351" w:rsidP="00E93351">
    <w:pPr>
      <w:tabs>
        <w:tab w:val="center" w:pos="4536"/>
        <w:tab w:val="right" w:pos="9072"/>
      </w:tabs>
      <w:snapToGrid w:val="0"/>
      <w:spacing w:before="120" w:after="120"/>
      <w:jc w:val="both"/>
      <w:rPr>
        <w:rFonts w:ascii="Arial" w:eastAsia="SimSun" w:hAnsi="Arial" w:cs="Times New Roman"/>
        <w:noProof/>
        <w:sz w:val="16"/>
        <w:szCs w:val="16"/>
        <w:lang w:val="es-ES"/>
      </w:rPr>
    </w:pPr>
    <w:r w:rsidRPr="003E3706">
      <w:rPr>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2650" w14:textId="77777777" w:rsidR="003E3706" w:rsidRDefault="003E3706" w:rsidP="003E3706">
    <w:r w:rsidRPr="001165F6">
      <w:rPr>
        <w:rFonts w:ascii="Arial" w:eastAsia="SimSun" w:hAnsi="Arial" w:cs="Arial"/>
        <w:noProof/>
        <w:snapToGrid w:val="0"/>
        <w:color w:val="000000"/>
        <w:sz w:val="16"/>
        <w:szCs w:val="16"/>
        <w:lang w:val="en-GB" w:eastAsia="zh-CN"/>
      </w:rPr>
      <w:drawing>
        <wp:anchor distT="0" distB="0" distL="114300" distR="114300" simplePos="0" relativeHeight="251676672" behindDoc="0" locked="0" layoutInCell="1" allowOverlap="1" wp14:anchorId="5C8A660C" wp14:editId="74CE81C9">
          <wp:simplePos x="0" y="0"/>
          <wp:positionH relativeFrom="column">
            <wp:posOffset>4961255</wp:posOffset>
          </wp:positionH>
          <wp:positionV relativeFrom="page">
            <wp:posOffset>9290685</wp:posOffset>
          </wp:positionV>
          <wp:extent cx="750570" cy="457200"/>
          <wp:effectExtent l="0" t="0" r="0" b="0"/>
          <wp:wrapSquare wrapText="bothSides"/>
          <wp:docPr id="1892779598"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0116A37B" w14:textId="5EF8B0C6" w:rsidR="003E3706" w:rsidRDefault="003E3706" w:rsidP="003E3706">
    <w:r w:rsidRPr="001165F6">
      <w:rPr>
        <w:rFonts w:ascii="Arial" w:eastAsia="SimSun" w:hAnsi="Arial" w:cs="Arial"/>
        <w:snapToGrid w:val="0"/>
        <w:color w:val="000000"/>
        <w:sz w:val="16"/>
        <w:szCs w:val="16"/>
        <w:lang w:val="es-ES" w:eastAsia="zh-CN"/>
      </w:rPr>
      <w:t>U</w:t>
    </w:r>
    <w:r>
      <w:rPr>
        <w:rFonts w:ascii="Arial" w:eastAsia="SimSun" w:hAnsi="Arial" w:cs="Arial"/>
        <w:snapToGrid w:val="0"/>
        <w:color w:val="000000"/>
        <w:sz w:val="16"/>
        <w:szCs w:val="16"/>
        <w:lang w:val="es-ES" w:eastAsia="zh-CN"/>
      </w:rPr>
      <w:t>C</w:t>
    </w:r>
    <w:r w:rsidRPr="001165F6">
      <w:rPr>
        <w:rFonts w:ascii="Arial" w:eastAsia="SimSun" w:hAnsi="Arial" w:cs="Arial"/>
        <w:snapToGrid w:val="0"/>
        <w:color w:val="000000"/>
        <w:sz w:val="16"/>
        <w:szCs w:val="16"/>
        <w:lang w:val="es-ES" w:eastAsia="zh-CN"/>
      </w:rPr>
      <w:t>-v1.0-</w:t>
    </w:r>
    <w:r>
      <w:rPr>
        <w:rFonts w:ascii="Arial" w:eastAsia="SimSun" w:hAnsi="Arial" w:cs="Arial"/>
        <w:snapToGrid w:val="0"/>
        <w:color w:val="000000"/>
        <w:sz w:val="16"/>
        <w:szCs w:val="16"/>
        <w:lang w:val="es-ES" w:eastAsia="zh-CN"/>
      </w:rPr>
      <w:t>CS</w:t>
    </w:r>
    <w:r>
      <w:rPr>
        <w:rFonts w:ascii="Arial" w:eastAsia="SimSun" w:hAnsi="Arial" w:cs="Arial"/>
        <w:snapToGrid w:val="0"/>
        <w:color w:val="000000"/>
        <w:sz w:val="16"/>
        <w:szCs w:val="16"/>
        <w:lang w:val="es-ES" w:eastAsia="zh-CN"/>
      </w:rPr>
      <w:t>1</w:t>
    </w:r>
    <w:r w:rsidRPr="001165F6">
      <w:rPr>
        <w:rFonts w:ascii="Arial" w:eastAsia="SimSun" w:hAnsi="Arial" w:cs="Arial"/>
        <w:snapToGrid w:val="0"/>
        <w:color w:val="000000"/>
        <w:sz w:val="16"/>
        <w:szCs w:val="16"/>
        <w:lang w:val="es-ES" w:eastAsia="zh-CN"/>
      </w:rPr>
      <w:t>-ES</w:t>
    </w:r>
    <w:r>
      <w:rPr>
        <w:rFonts w:ascii="Arial" w:eastAsia="SimSun" w:hAnsi="Arial" w:cs="Arial"/>
        <w:snapToGrid w:val="0"/>
        <w:color w:val="000000"/>
        <w:sz w:val="16"/>
        <w:szCs w:val="16"/>
        <w:lang w:val="es-ES" w:eastAsia="zh-CN"/>
      </w:rPr>
      <w:t xml:space="preserve">                    </w:t>
    </w:r>
    <w:r w:rsidRPr="001165F6">
      <w:rPr>
        <w:rFonts w:ascii="Arial" w:eastAsia="SimSun" w:hAnsi="Arial" w:cs="Arial"/>
        <w:snapToGrid w:val="0"/>
        <w:color w:val="000000"/>
        <w:sz w:val="16"/>
        <w:szCs w:val="16"/>
        <w:lang w:val="es-ES" w:eastAsia="zh-CN"/>
      </w:rPr>
      <w:tab/>
      <w:t>© UNESCO - Prohibida su reproducción sin autorización</w:t>
    </w:r>
  </w:p>
  <w:p w14:paraId="3971392B" w14:textId="70A97557" w:rsidR="007F7AD7" w:rsidRPr="003E3706" w:rsidRDefault="007F7AD7" w:rsidP="007F7AD7"/>
  <w:p w14:paraId="517F6CC6" w14:textId="76ED55B4" w:rsidR="005B6351" w:rsidRPr="003E3706" w:rsidRDefault="00C06CDE" w:rsidP="00C06CDE">
    <w:pPr>
      <w:tabs>
        <w:tab w:val="center" w:pos="4536"/>
        <w:tab w:val="right" w:pos="9072"/>
      </w:tabs>
      <w:rPr>
        <w:rFonts w:ascii="Arial" w:hAnsi="Arial" w:cs="Arial"/>
        <w:sz w:val="16"/>
        <w:szCs w:val="16"/>
        <w:lang w:val="es-ES"/>
      </w:rPr>
    </w:pPr>
    <w:r w:rsidRPr="003E3706">
      <w:rPr>
        <w:lang w:val="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9D0BB" w14:textId="77777777" w:rsidR="000E5B0E" w:rsidRDefault="000E5B0E" w:rsidP="00DF3895">
      <w:r>
        <w:separator/>
      </w:r>
    </w:p>
  </w:footnote>
  <w:footnote w:type="continuationSeparator" w:id="0">
    <w:p w14:paraId="298B165B" w14:textId="77777777" w:rsidR="000E5B0E" w:rsidRDefault="000E5B0E" w:rsidP="00DF3895">
      <w:r>
        <w:continuationSeparator/>
      </w:r>
    </w:p>
  </w:footnote>
  <w:footnote w:id="1">
    <w:p w14:paraId="1B36FA96" w14:textId="359D5E8E" w:rsidR="007D2FF7" w:rsidRPr="00425DFE" w:rsidRDefault="007D2FF7" w:rsidP="007F7AD7">
      <w:pPr>
        <w:pStyle w:val="FootnoteText"/>
        <w:jc w:val="both"/>
      </w:pPr>
      <w:r>
        <w:rPr>
          <w:rStyle w:val="FootnoteReference"/>
          <w:lang w:val="es"/>
        </w:rPr>
        <w:footnoteRef/>
      </w:r>
      <w:r>
        <w:rPr>
          <w:lang w:val="es"/>
        </w:rPr>
        <w:t xml:space="preserve"> Van der Seijden, A.; Kirk, Y.S; Arnhem, G. W (2019). Patrimonio en contextos urbanos: Presentaciones de la reunión del Foro </w:t>
      </w:r>
      <w:r w:rsidR="00726BA5">
        <w:rPr>
          <w:lang w:val="es"/>
        </w:rPr>
        <w:t xml:space="preserve">de ONG del </w:t>
      </w:r>
      <w:r>
        <w:rPr>
          <w:lang w:val="es"/>
        </w:rPr>
        <w:t>PCI en Bogotá, 8 de diciembre de 2019.</w:t>
      </w:r>
    </w:p>
  </w:footnote>
  <w:footnote w:id="2">
    <w:p w14:paraId="273800CB" w14:textId="77777777" w:rsidR="007D2FF7" w:rsidRPr="007F7AD7" w:rsidRDefault="007D2FF7" w:rsidP="007F7AD7">
      <w:pPr>
        <w:pStyle w:val="FootnoteText"/>
        <w:jc w:val="both"/>
        <w:rPr>
          <w:lang w:val="en-US"/>
        </w:rPr>
      </w:pPr>
      <w:r>
        <w:rPr>
          <w:rStyle w:val="FootnoteReference"/>
          <w:lang w:val="es"/>
        </w:rPr>
        <w:footnoteRef/>
      </w:r>
      <w:r w:rsidRPr="007F7AD7">
        <w:rPr>
          <w:lang w:val="en-US"/>
        </w:rPr>
        <w:t xml:space="preserve"> Ibid. </w:t>
      </w:r>
    </w:p>
  </w:footnote>
  <w:footnote w:id="3">
    <w:p w14:paraId="2A833D58" w14:textId="77777777" w:rsidR="007D2FF7" w:rsidRPr="007F7AD7" w:rsidRDefault="007D2FF7" w:rsidP="007F7AD7">
      <w:pPr>
        <w:pStyle w:val="FootnoteText"/>
        <w:jc w:val="both"/>
        <w:rPr>
          <w:lang w:val="en-US"/>
        </w:rPr>
      </w:pPr>
      <w:r>
        <w:rPr>
          <w:rStyle w:val="FootnoteReference"/>
          <w:lang w:val="es"/>
        </w:rPr>
        <w:footnoteRef/>
      </w:r>
      <w:r w:rsidRPr="007F7AD7">
        <w:rPr>
          <w:lang w:val="en-US"/>
        </w:rPr>
        <w:t xml:space="preserve"> Center for Liveable Cities (2019). Urban Systems Studies: Past, Present and Future, Conserving the Nation’s Built Heritage.</w:t>
      </w:r>
    </w:p>
  </w:footnote>
  <w:footnote w:id="4">
    <w:p w14:paraId="1663E281" w14:textId="77777777" w:rsidR="00F63596" w:rsidRPr="006E0299" w:rsidRDefault="00F63596" w:rsidP="00F63596">
      <w:pPr>
        <w:pStyle w:val="FootnoteText"/>
      </w:pPr>
      <w:r>
        <w:rPr>
          <w:rStyle w:val="FootnoteReference"/>
          <w:lang w:val="es"/>
        </w:rPr>
        <w:footnoteRef/>
      </w:r>
      <w:r>
        <w:rPr>
          <w:lang w:val="es"/>
        </w:rPr>
        <w:t xml:space="preserve"> Tal y como se define en la Sección 2 de la Ley de Planificación de Singapur.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09AB" w14:textId="5B4F2EA0" w:rsidR="005B6351" w:rsidRPr="00A61186" w:rsidRDefault="005B6351" w:rsidP="00A61186">
    <w:pPr>
      <w:pStyle w:val="Header"/>
      <w:ind w:right="360"/>
      <w:rPr>
        <w:rFonts w:asciiTheme="minorBidi" w:hAnsiTheme="minorBid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850C" w14:textId="6F0B058C" w:rsidR="003E3706" w:rsidRPr="003E3706" w:rsidRDefault="003E3706" w:rsidP="003E3706">
    <w:pPr>
      <w:pStyle w:val="Header"/>
      <w:ind w:right="360"/>
      <w:rPr>
        <w:rFonts w:ascii="Arial" w:hAnsi="Arial"/>
        <w:sz w:val="16"/>
        <w:szCs w:val="16"/>
        <w:lang w:val="en-US"/>
      </w:rPr>
    </w:pPr>
    <w:r w:rsidRPr="00E44852">
      <w:rPr>
        <w:rFonts w:ascii="Arial" w:hAnsi="Arial"/>
        <w:sz w:val="16"/>
        <w:szCs w:val="16"/>
        <w:lang w:val="en-US"/>
      </w:rPr>
      <w:t>LHE/25/PRO URB-1/6</w:t>
    </w:r>
  </w:p>
  <w:p w14:paraId="5B8F6FFC" w14:textId="28E91536" w:rsidR="00446955" w:rsidRPr="00405422" w:rsidRDefault="00446955" w:rsidP="00446955">
    <w:pPr>
      <w:pStyle w:val="Header"/>
      <w:ind w:right="680"/>
      <w:rPr>
        <w:rFonts w:asciiTheme="minorBidi" w:hAnsiTheme="minorBidi"/>
        <w:sz w:val="16"/>
        <w:szCs w:val="16"/>
        <w:lang w:val="es-ES"/>
      </w:rPr>
    </w:pPr>
    <w:r w:rsidRPr="0040630D">
      <w:rPr>
        <w:rFonts w:asciiTheme="minorBidi" w:hAnsiTheme="minorBidi"/>
        <w:sz w:val="16"/>
        <w:szCs w:val="16"/>
        <w:lang w:val="es-ES"/>
      </w:rPr>
      <w:t>Unidad 3: Abordaje práctico para</w:t>
    </w:r>
    <w:r>
      <w:rPr>
        <w:rFonts w:asciiTheme="minorBidi" w:hAnsiTheme="minorBidi"/>
        <w:sz w:val="16"/>
        <w:szCs w:val="16"/>
        <w:lang w:val="es-ES"/>
      </w:rPr>
      <w:t xml:space="preserve"> la salvaguardia del patrimonio vivo en contextos urbanos </w:t>
    </w:r>
    <w:r w:rsidRPr="0040630D">
      <w:rPr>
        <w:rFonts w:asciiTheme="minorBidi" w:hAnsiTheme="minorBidi"/>
        <w:sz w:val="16"/>
        <w:szCs w:val="16"/>
        <w:lang w:val="es-ES"/>
      </w:rPr>
      <w:t xml:space="preserve">      </w:t>
    </w:r>
    <w:r>
      <w:rPr>
        <w:rFonts w:asciiTheme="minorBidi" w:hAnsiTheme="minorBidi"/>
        <w:sz w:val="16"/>
        <w:szCs w:val="16"/>
        <w:lang w:val="es-ES"/>
      </w:rPr>
      <w:t xml:space="preserve">   Caso de estudio 1</w:t>
    </w:r>
  </w:p>
  <w:p w14:paraId="624EE658" w14:textId="77777777" w:rsidR="00446955" w:rsidRPr="007F7AD7" w:rsidRDefault="00446955">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36B0" w14:textId="77777777" w:rsidR="007F7AD7" w:rsidRPr="000F3ADA" w:rsidRDefault="007F7AD7" w:rsidP="007F7AD7">
    <w:pPr>
      <w:tabs>
        <w:tab w:val="left" w:pos="567"/>
      </w:tabs>
      <w:snapToGrid w:val="0"/>
      <w:spacing w:before="120" w:after="480"/>
      <w:jc w:val="right"/>
      <w:rPr>
        <w:rFonts w:ascii="Arial" w:eastAsia="SimSun" w:hAnsi="Arial" w:cs="Arial"/>
        <w:snapToGrid w:val="0"/>
        <w:sz w:val="22"/>
        <w:lang w:val="en-US" w:eastAsia="zh-CN"/>
      </w:rPr>
    </w:pPr>
    <w:r w:rsidRPr="001165F6">
      <w:rPr>
        <w:rFonts w:ascii="Arial" w:eastAsia="SimSun" w:hAnsi="Arial" w:cs="Arial"/>
        <w:noProof/>
        <w:snapToGrid w:val="0"/>
        <w:sz w:val="22"/>
        <w:szCs w:val="22"/>
        <w:lang w:val="en-GB" w:eastAsia="zh-CN"/>
      </w:rPr>
      <w:drawing>
        <wp:anchor distT="0" distB="0" distL="114300" distR="114300" simplePos="0" relativeHeight="251666432" behindDoc="0" locked="0" layoutInCell="1" allowOverlap="1" wp14:anchorId="4BC9659F" wp14:editId="084C584F">
          <wp:simplePos x="0" y="0"/>
          <wp:positionH relativeFrom="column">
            <wp:posOffset>-29952</wp:posOffset>
          </wp:positionH>
          <wp:positionV relativeFrom="paragraph">
            <wp:posOffset>167005</wp:posOffset>
          </wp:positionV>
          <wp:extent cx="1668780" cy="1311910"/>
          <wp:effectExtent l="0" t="0" r="7620" b="2540"/>
          <wp:wrapSquare wrapText="bothSides"/>
          <wp:docPr id="107648617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86174"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5F6">
      <w:rPr>
        <w:rFonts w:ascii="Arial" w:eastAsia="SimSun" w:hAnsi="Arial" w:cs="Arial"/>
        <w:b/>
        <w:snapToGrid w:val="0"/>
        <w:sz w:val="44"/>
        <w:szCs w:val="44"/>
        <w:lang w:val="pt-PT" w:eastAsia="zh-CN"/>
      </w:rPr>
      <w:t>PRO URB</w:t>
    </w:r>
  </w:p>
  <w:p w14:paraId="5E3BD5FA" w14:textId="7F7A4EE2" w:rsidR="007F7AD7" w:rsidRPr="001165F6" w:rsidRDefault="007F7AD7" w:rsidP="007F7AD7">
    <w:pPr>
      <w:tabs>
        <w:tab w:val="left" w:pos="567"/>
      </w:tabs>
      <w:snapToGrid w:val="0"/>
      <w:spacing w:before="120" w:after="120"/>
      <w:contextualSpacing/>
      <w:jc w:val="right"/>
      <w:rPr>
        <w:rFonts w:ascii="Arial" w:eastAsia="SimSun" w:hAnsi="Arial" w:cs="Arial"/>
        <w:b/>
        <w:snapToGrid w:val="0"/>
        <w:sz w:val="22"/>
        <w:szCs w:val="22"/>
        <w:lang w:val="pt-PT" w:eastAsia="zh-CN"/>
      </w:rPr>
    </w:pPr>
    <w:r w:rsidRPr="001165F6">
      <w:rPr>
        <w:rFonts w:ascii="Arial" w:eastAsia="SimSun" w:hAnsi="Arial" w:cs="Arial"/>
        <w:b/>
        <w:snapToGrid w:val="0"/>
        <w:sz w:val="22"/>
        <w:szCs w:val="22"/>
        <w:lang w:val="pt-PT" w:eastAsia="zh-CN"/>
      </w:rPr>
      <w:t>LHE/25/</w:t>
    </w:r>
    <w:bookmarkStart w:id="8" w:name="_Hlk94624970"/>
    <w:r w:rsidRPr="001165F6">
      <w:rPr>
        <w:rFonts w:ascii="Arial" w:eastAsia="SimSun" w:hAnsi="Arial" w:cs="Arial"/>
        <w:b/>
        <w:snapToGrid w:val="0"/>
        <w:sz w:val="22"/>
        <w:szCs w:val="22"/>
        <w:lang w:val="pt-PT" w:eastAsia="zh-CN"/>
      </w:rPr>
      <w:t>PRO URB/</w:t>
    </w:r>
    <w:r w:rsidR="003E3706">
      <w:rPr>
        <w:rFonts w:ascii="Arial" w:eastAsia="SimSun" w:hAnsi="Arial" w:cs="Arial"/>
        <w:b/>
        <w:snapToGrid w:val="0"/>
        <w:sz w:val="22"/>
        <w:szCs w:val="22"/>
        <w:lang w:val="pt-PT" w:eastAsia="zh-CN"/>
      </w:rPr>
      <w:t>6</w:t>
    </w:r>
  </w:p>
  <w:bookmarkEnd w:id="8"/>
  <w:p w14:paraId="388CC212" w14:textId="72687B70" w:rsidR="007F7AD7" w:rsidRPr="001165F6" w:rsidRDefault="007F7AD7" w:rsidP="007F7AD7">
    <w:pPr>
      <w:tabs>
        <w:tab w:val="left" w:pos="567"/>
      </w:tabs>
      <w:snapToGrid w:val="0"/>
      <w:spacing w:before="120" w:after="120"/>
      <w:contextualSpacing/>
      <w:jc w:val="right"/>
      <w:rPr>
        <w:rFonts w:ascii="Arial" w:eastAsia="SimSun" w:hAnsi="Arial" w:cs="Arial"/>
        <w:b/>
        <w:snapToGrid w:val="0"/>
        <w:sz w:val="22"/>
        <w:szCs w:val="22"/>
        <w:lang w:val="pt-PT" w:eastAsia="ko-KR"/>
      </w:rPr>
    </w:pPr>
    <w:r w:rsidRPr="001165F6">
      <w:rPr>
        <w:rFonts w:ascii="Arial" w:eastAsia="SimSun" w:hAnsi="Arial" w:cs="Arial"/>
        <w:b/>
        <w:snapToGrid w:val="0"/>
        <w:sz w:val="22"/>
        <w:szCs w:val="22"/>
        <w:lang w:val="pt-PT" w:eastAsia="zh-CN"/>
      </w:rPr>
      <w:t xml:space="preserve">París, </w:t>
    </w:r>
    <w:r w:rsidR="00885840">
      <w:rPr>
        <w:rFonts w:ascii="Arial" w:eastAsia="SimSun" w:hAnsi="Arial" w:cs="Arial"/>
        <w:b/>
        <w:snapToGrid w:val="0"/>
        <w:sz w:val="22"/>
        <w:szCs w:val="22"/>
        <w:lang w:val="pt-PT" w:eastAsia="zh-CN"/>
      </w:rPr>
      <w:t>1 de abril</w:t>
    </w:r>
    <w:r w:rsidRPr="001165F6">
      <w:rPr>
        <w:rFonts w:ascii="Arial" w:eastAsia="SimSun" w:hAnsi="Arial" w:cs="Arial"/>
        <w:b/>
        <w:snapToGrid w:val="0"/>
        <w:sz w:val="22"/>
        <w:szCs w:val="22"/>
        <w:lang w:val="pt-PT" w:eastAsia="zh-CN"/>
      </w:rPr>
      <w:t xml:space="preserve"> de 2025</w:t>
    </w:r>
  </w:p>
  <w:p w14:paraId="00883B85" w14:textId="07A5744D" w:rsidR="005B6351" w:rsidRPr="007F7AD7" w:rsidRDefault="007F7AD7" w:rsidP="007F7AD7">
    <w:pPr>
      <w:tabs>
        <w:tab w:val="left" w:pos="567"/>
      </w:tabs>
      <w:snapToGrid w:val="0"/>
      <w:spacing w:before="120" w:after="120"/>
      <w:contextualSpacing/>
      <w:jc w:val="right"/>
      <w:rPr>
        <w:rFonts w:ascii="Arial" w:eastAsia="SimSun" w:hAnsi="Arial" w:cs="Arial"/>
        <w:b/>
        <w:snapToGrid w:val="0"/>
        <w:sz w:val="22"/>
        <w:szCs w:val="22"/>
        <w:lang w:val="es-ES" w:eastAsia="zh-CN"/>
      </w:rPr>
    </w:pPr>
    <w:r w:rsidRPr="001165F6">
      <w:rPr>
        <w:rFonts w:ascii="Arial" w:eastAsia="SimSun" w:hAnsi="Arial" w:cs="Arial"/>
        <w:b/>
        <w:snapToGrid w:val="0"/>
        <w:sz w:val="22"/>
        <w:szCs w:val="22"/>
        <w:lang w:val="es-ES" w:eastAsia="zh-CN"/>
      </w:rPr>
      <w:t>Original: Inglés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807A9"/>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FAC2F8B"/>
    <w:multiLevelType w:val="hybridMultilevel"/>
    <w:tmpl w:val="6CC42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A1384C"/>
    <w:multiLevelType w:val="hybridMultilevel"/>
    <w:tmpl w:val="F1E48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F030D8"/>
    <w:multiLevelType w:val="hybridMultilevel"/>
    <w:tmpl w:val="33AE0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861B08"/>
    <w:multiLevelType w:val="hybridMultilevel"/>
    <w:tmpl w:val="79DA1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FC6B54"/>
    <w:multiLevelType w:val="hybridMultilevel"/>
    <w:tmpl w:val="B7B06710"/>
    <w:lvl w:ilvl="0" w:tplc="618CC560">
      <w:start w:val="1"/>
      <w:numFmt w:val="decimal"/>
      <w:lvlText w:val="%1."/>
      <w:lvlJc w:val="left"/>
      <w:pPr>
        <w:ind w:left="720" w:hanging="360"/>
      </w:pPr>
      <w:rPr>
        <w:rFonts w:hint="default"/>
        <w:b/>
        <w:bCs/>
        <w:color w:val="2F51F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7A1F51"/>
    <w:multiLevelType w:val="multilevel"/>
    <w:tmpl w:val="C05860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2F51F9"/>
      </w:rPr>
    </w:lvl>
    <w:lvl w:ilvl="2">
      <w:start w:val="1"/>
      <w:numFmt w:val="decimal"/>
      <w:lvlText w:val="%1.%2.%3"/>
      <w:lvlJc w:val="left"/>
      <w:pPr>
        <w:ind w:left="1996" w:hanging="720"/>
      </w:pPr>
      <w:rPr>
        <w:rFonts w:hint="default"/>
        <w:color w:val="2F51F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9341616"/>
    <w:multiLevelType w:val="hybridMultilevel"/>
    <w:tmpl w:val="F8102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D020827"/>
    <w:multiLevelType w:val="hybridMultilevel"/>
    <w:tmpl w:val="23C477F8"/>
    <w:lvl w:ilvl="0" w:tplc="055E5266">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1851092">
    <w:abstractNumId w:val="0"/>
  </w:num>
  <w:num w:numId="2" w16cid:durableId="2133160302">
    <w:abstractNumId w:val="2"/>
  </w:num>
  <w:num w:numId="3" w16cid:durableId="1334334039">
    <w:abstractNumId w:val="1"/>
  </w:num>
  <w:num w:numId="4" w16cid:durableId="2030714014">
    <w:abstractNumId w:val="5"/>
  </w:num>
  <w:num w:numId="5" w16cid:durableId="24601111">
    <w:abstractNumId w:val="8"/>
  </w:num>
  <w:num w:numId="6" w16cid:durableId="1278634453">
    <w:abstractNumId w:val="6"/>
  </w:num>
  <w:num w:numId="7" w16cid:durableId="667026907">
    <w:abstractNumId w:val="7"/>
  </w:num>
  <w:num w:numId="8" w16cid:durableId="2146503686">
    <w:abstractNumId w:val="10"/>
  </w:num>
  <w:num w:numId="9" w16cid:durableId="983317755">
    <w:abstractNumId w:val="3"/>
  </w:num>
  <w:num w:numId="10" w16cid:durableId="1959870718">
    <w:abstractNumId w:val="11"/>
  </w:num>
  <w:num w:numId="11" w16cid:durableId="868569030">
    <w:abstractNumId w:val="4"/>
  </w:num>
  <w:num w:numId="12" w16cid:durableId="1646545726">
    <w:abstractNumId w:val="9"/>
  </w:num>
  <w:num w:numId="13" w16cid:durableId="1212228881">
    <w:abstractNumId w:val="2"/>
  </w:num>
  <w:num w:numId="14" w16cid:durableId="213143711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7C"/>
    <w:rsid w:val="00002CA0"/>
    <w:rsid w:val="000139FB"/>
    <w:rsid w:val="0002294A"/>
    <w:rsid w:val="000249F4"/>
    <w:rsid w:val="00024D22"/>
    <w:rsid w:val="000351A8"/>
    <w:rsid w:val="000360D9"/>
    <w:rsid w:val="00036901"/>
    <w:rsid w:val="00046D61"/>
    <w:rsid w:val="0005038D"/>
    <w:rsid w:val="00050E2B"/>
    <w:rsid w:val="0005155B"/>
    <w:rsid w:val="0005380C"/>
    <w:rsid w:val="00057DFE"/>
    <w:rsid w:val="000634BB"/>
    <w:rsid w:val="00063639"/>
    <w:rsid w:val="00063D1F"/>
    <w:rsid w:val="00063FAA"/>
    <w:rsid w:val="00064194"/>
    <w:rsid w:val="00064853"/>
    <w:rsid w:val="000670E0"/>
    <w:rsid w:val="00073544"/>
    <w:rsid w:val="00075F07"/>
    <w:rsid w:val="00077BF9"/>
    <w:rsid w:val="00080585"/>
    <w:rsid w:val="00080673"/>
    <w:rsid w:val="000812A9"/>
    <w:rsid w:val="00082F7E"/>
    <w:rsid w:val="00086AF9"/>
    <w:rsid w:val="00087F74"/>
    <w:rsid w:val="00091889"/>
    <w:rsid w:val="00096753"/>
    <w:rsid w:val="00097FDE"/>
    <w:rsid w:val="000A096D"/>
    <w:rsid w:val="000A276C"/>
    <w:rsid w:val="000A2D13"/>
    <w:rsid w:val="000B308D"/>
    <w:rsid w:val="000B4B00"/>
    <w:rsid w:val="000B63F6"/>
    <w:rsid w:val="000B7892"/>
    <w:rsid w:val="000C5064"/>
    <w:rsid w:val="000D41EE"/>
    <w:rsid w:val="000E0E7A"/>
    <w:rsid w:val="000E0FBB"/>
    <w:rsid w:val="000E146A"/>
    <w:rsid w:val="000E43AB"/>
    <w:rsid w:val="000E48A3"/>
    <w:rsid w:val="000E5B0E"/>
    <w:rsid w:val="000E5D36"/>
    <w:rsid w:val="000E6A70"/>
    <w:rsid w:val="000E7664"/>
    <w:rsid w:val="000E7D57"/>
    <w:rsid w:val="000F3A2F"/>
    <w:rsid w:val="000F4669"/>
    <w:rsid w:val="00100E76"/>
    <w:rsid w:val="00101215"/>
    <w:rsid w:val="0010264F"/>
    <w:rsid w:val="001064C4"/>
    <w:rsid w:val="001101E5"/>
    <w:rsid w:val="00115DC7"/>
    <w:rsid w:val="00124465"/>
    <w:rsid w:val="0012589A"/>
    <w:rsid w:val="00127260"/>
    <w:rsid w:val="00130ABE"/>
    <w:rsid w:val="001327C7"/>
    <w:rsid w:val="001358C9"/>
    <w:rsid w:val="00137A53"/>
    <w:rsid w:val="00141390"/>
    <w:rsid w:val="001444C7"/>
    <w:rsid w:val="00145870"/>
    <w:rsid w:val="00145AAD"/>
    <w:rsid w:val="001461DE"/>
    <w:rsid w:val="00146AD0"/>
    <w:rsid w:val="00147584"/>
    <w:rsid w:val="00147E01"/>
    <w:rsid w:val="001520AA"/>
    <w:rsid w:val="001527A3"/>
    <w:rsid w:val="00160CBD"/>
    <w:rsid w:val="001639B4"/>
    <w:rsid w:val="00165AEA"/>
    <w:rsid w:val="00166BF5"/>
    <w:rsid w:val="0016738A"/>
    <w:rsid w:val="0016764C"/>
    <w:rsid w:val="00170436"/>
    <w:rsid w:val="00171AA7"/>
    <w:rsid w:val="0017767E"/>
    <w:rsid w:val="00180232"/>
    <w:rsid w:val="00181888"/>
    <w:rsid w:val="00185D2F"/>
    <w:rsid w:val="00197B68"/>
    <w:rsid w:val="001A01E8"/>
    <w:rsid w:val="001A527E"/>
    <w:rsid w:val="001A697B"/>
    <w:rsid w:val="001A70A9"/>
    <w:rsid w:val="001A731B"/>
    <w:rsid w:val="001B2E7D"/>
    <w:rsid w:val="001B5FB4"/>
    <w:rsid w:val="001B6B8F"/>
    <w:rsid w:val="001B6BB8"/>
    <w:rsid w:val="001C08EA"/>
    <w:rsid w:val="001C3750"/>
    <w:rsid w:val="001C38F6"/>
    <w:rsid w:val="001C41AE"/>
    <w:rsid w:val="001C4DB2"/>
    <w:rsid w:val="001D0846"/>
    <w:rsid w:val="001D0A96"/>
    <w:rsid w:val="001D0F97"/>
    <w:rsid w:val="001D1EE0"/>
    <w:rsid w:val="001D4A8B"/>
    <w:rsid w:val="001D57CB"/>
    <w:rsid w:val="001D6C39"/>
    <w:rsid w:val="001D7653"/>
    <w:rsid w:val="001E3002"/>
    <w:rsid w:val="001E4CE7"/>
    <w:rsid w:val="001F7CA2"/>
    <w:rsid w:val="0020060F"/>
    <w:rsid w:val="00201998"/>
    <w:rsid w:val="00216786"/>
    <w:rsid w:val="002169C6"/>
    <w:rsid w:val="00217B2D"/>
    <w:rsid w:val="00217DE9"/>
    <w:rsid w:val="002206FE"/>
    <w:rsid w:val="00222630"/>
    <w:rsid w:val="0023001D"/>
    <w:rsid w:val="00230B4B"/>
    <w:rsid w:val="002316FB"/>
    <w:rsid w:val="00235580"/>
    <w:rsid w:val="002379B3"/>
    <w:rsid w:val="0024727A"/>
    <w:rsid w:val="002477B6"/>
    <w:rsid w:val="00247DC2"/>
    <w:rsid w:val="002519B6"/>
    <w:rsid w:val="00253C91"/>
    <w:rsid w:val="002540F3"/>
    <w:rsid w:val="00257114"/>
    <w:rsid w:val="00257BA7"/>
    <w:rsid w:val="0026188A"/>
    <w:rsid w:val="00266936"/>
    <w:rsid w:val="0027344F"/>
    <w:rsid w:val="0027491E"/>
    <w:rsid w:val="00275400"/>
    <w:rsid w:val="00277013"/>
    <w:rsid w:val="00281031"/>
    <w:rsid w:val="00290774"/>
    <w:rsid w:val="00290ECC"/>
    <w:rsid w:val="002917CA"/>
    <w:rsid w:val="00296422"/>
    <w:rsid w:val="00296FCC"/>
    <w:rsid w:val="002A3DED"/>
    <w:rsid w:val="002A4394"/>
    <w:rsid w:val="002A5AEB"/>
    <w:rsid w:val="002A6AD9"/>
    <w:rsid w:val="002A7414"/>
    <w:rsid w:val="002A7563"/>
    <w:rsid w:val="002B17E4"/>
    <w:rsid w:val="002B215F"/>
    <w:rsid w:val="002B3D3F"/>
    <w:rsid w:val="002B4230"/>
    <w:rsid w:val="002B64E6"/>
    <w:rsid w:val="002B76AD"/>
    <w:rsid w:val="002C3245"/>
    <w:rsid w:val="002C3D82"/>
    <w:rsid w:val="002C3EE7"/>
    <w:rsid w:val="002C40FB"/>
    <w:rsid w:val="002D2FD4"/>
    <w:rsid w:val="002D316B"/>
    <w:rsid w:val="002E147F"/>
    <w:rsid w:val="002E2553"/>
    <w:rsid w:val="002E2C4A"/>
    <w:rsid w:val="002E311B"/>
    <w:rsid w:val="002E571E"/>
    <w:rsid w:val="002E5AD7"/>
    <w:rsid w:val="002E5F72"/>
    <w:rsid w:val="002F12AF"/>
    <w:rsid w:val="002F5F73"/>
    <w:rsid w:val="0030742A"/>
    <w:rsid w:val="003130A9"/>
    <w:rsid w:val="00314005"/>
    <w:rsid w:val="003153B3"/>
    <w:rsid w:val="00315488"/>
    <w:rsid w:val="00316A4C"/>
    <w:rsid w:val="0032196E"/>
    <w:rsid w:val="0032248E"/>
    <w:rsid w:val="00322FF3"/>
    <w:rsid w:val="00323DF7"/>
    <w:rsid w:val="003255DC"/>
    <w:rsid w:val="00327769"/>
    <w:rsid w:val="0033147E"/>
    <w:rsid w:val="00336417"/>
    <w:rsid w:val="00340171"/>
    <w:rsid w:val="00340B9C"/>
    <w:rsid w:val="00341C1E"/>
    <w:rsid w:val="003440B8"/>
    <w:rsid w:val="0035358B"/>
    <w:rsid w:val="00355BF4"/>
    <w:rsid w:val="00357828"/>
    <w:rsid w:val="0036131C"/>
    <w:rsid w:val="00361671"/>
    <w:rsid w:val="0036602A"/>
    <w:rsid w:val="00372318"/>
    <w:rsid w:val="0037552B"/>
    <w:rsid w:val="00375CCE"/>
    <w:rsid w:val="0038131A"/>
    <w:rsid w:val="00382EDD"/>
    <w:rsid w:val="0038647E"/>
    <w:rsid w:val="00386694"/>
    <w:rsid w:val="00392481"/>
    <w:rsid w:val="003953DD"/>
    <w:rsid w:val="003A178E"/>
    <w:rsid w:val="003A1FB3"/>
    <w:rsid w:val="003A619B"/>
    <w:rsid w:val="003A6FB8"/>
    <w:rsid w:val="003A7D60"/>
    <w:rsid w:val="003B057F"/>
    <w:rsid w:val="003B0630"/>
    <w:rsid w:val="003B20AD"/>
    <w:rsid w:val="003B4E67"/>
    <w:rsid w:val="003B7C5E"/>
    <w:rsid w:val="003B7D78"/>
    <w:rsid w:val="003C1FCE"/>
    <w:rsid w:val="003C3616"/>
    <w:rsid w:val="003D211A"/>
    <w:rsid w:val="003D51C3"/>
    <w:rsid w:val="003D721E"/>
    <w:rsid w:val="003D7875"/>
    <w:rsid w:val="003E0068"/>
    <w:rsid w:val="003E1A19"/>
    <w:rsid w:val="003E3706"/>
    <w:rsid w:val="003E6951"/>
    <w:rsid w:val="003E6A08"/>
    <w:rsid w:val="003F43A7"/>
    <w:rsid w:val="003F6353"/>
    <w:rsid w:val="00400B8B"/>
    <w:rsid w:val="004064BE"/>
    <w:rsid w:val="0041257B"/>
    <w:rsid w:val="00415F08"/>
    <w:rsid w:val="0042279B"/>
    <w:rsid w:val="00423332"/>
    <w:rsid w:val="004237EC"/>
    <w:rsid w:val="00423F04"/>
    <w:rsid w:val="004250CA"/>
    <w:rsid w:val="0042510C"/>
    <w:rsid w:val="004267D4"/>
    <w:rsid w:val="00426878"/>
    <w:rsid w:val="00427076"/>
    <w:rsid w:val="00430565"/>
    <w:rsid w:val="004311E6"/>
    <w:rsid w:val="00431406"/>
    <w:rsid w:val="00435621"/>
    <w:rsid w:val="00442C4B"/>
    <w:rsid w:val="004440E0"/>
    <w:rsid w:val="0044602A"/>
    <w:rsid w:val="00446955"/>
    <w:rsid w:val="004469A6"/>
    <w:rsid w:val="004475E1"/>
    <w:rsid w:val="0045298D"/>
    <w:rsid w:val="004603C7"/>
    <w:rsid w:val="004613A5"/>
    <w:rsid w:val="004620BD"/>
    <w:rsid w:val="0046225F"/>
    <w:rsid w:val="0046518B"/>
    <w:rsid w:val="00470B15"/>
    <w:rsid w:val="004710D9"/>
    <w:rsid w:val="004714D0"/>
    <w:rsid w:val="00472273"/>
    <w:rsid w:val="00475669"/>
    <w:rsid w:val="00476E06"/>
    <w:rsid w:val="00477F3F"/>
    <w:rsid w:val="00480FA1"/>
    <w:rsid w:val="0048466F"/>
    <w:rsid w:val="0048494F"/>
    <w:rsid w:val="00484C59"/>
    <w:rsid w:val="00487AD9"/>
    <w:rsid w:val="00490F0F"/>
    <w:rsid w:val="00492156"/>
    <w:rsid w:val="0049255D"/>
    <w:rsid w:val="00492A4B"/>
    <w:rsid w:val="00497E8F"/>
    <w:rsid w:val="004B14E6"/>
    <w:rsid w:val="004B19DB"/>
    <w:rsid w:val="004B30CE"/>
    <w:rsid w:val="004B56D9"/>
    <w:rsid w:val="004C23D3"/>
    <w:rsid w:val="004C399E"/>
    <w:rsid w:val="004C3ACA"/>
    <w:rsid w:val="004D14F2"/>
    <w:rsid w:val="004D5FF8"/>
    <w:rsid w:val="004D75F0"/>
    <w:rsid w:val="004D7795"/>
    <w:rsid w:val="004F33A2"/>
    <w:rsid w:val="004F4977"/>
    <w:rsid w:val="004F4A4F"/>
    <w:rsid w:val="004F5AB5"/>
    <w:rsid w:val="00500E11"/>
    <w:rsid w:val="0050110C"/>
    <w:rsid w:val="0050390F"/>
    <w:rsid w:val="00510015"/>
    <w:rsid w:val="005102B4"/>
    <w:rsid w:val="0051378B"/>
    <w:rsid w:val="0051745D"/>
    <w:rsid w:val="00520DC2"/>
    <w:rsid w:val="00523F18"/>
    <w:rsid w:val="00536A5D"/>
    <w:rsid w:val="00537EA7"/>
    <w:rsid w:val="00542695"/>
    <w:rsid w:val="00547EF6"/>
    <w:rsid w:val="00551AA6"/>
    <w:rsid w:val="005525D3"/>
    <w:rsid w:val="00553143"/>
    <w:rsid w:val="005544C2"/>
    <w:rsid w:val="00561979"/>
    <w:rsid w:val="0056480B"/>
    <w:rsid w:val="00567024"/>
    <w:rsid w:val="0057044A"/>
    <w:rsid w:val="00571892"/>
    <w:rsid w:val="00573BEE"/>
    <w:rsid w:val="0057506D"/>
    <w:rsid w:val="00577EF0"/>
    <w:rsid w:val="005855FF"/>
    <w:rsid w:val="0058733D"/>
    <w:rsid w:val="00592171"/>
    <w:rsid w:val="00594578"/>
    <w:rsid w:val="005965DC"/>
    <w:rsid w:val="005A2500"/>
    <w:rsid w:val="005A3969"/>
    <w:rsid w:val="005A48D9"/>
    <w:rsid w:val="005A735F"/>
    <w:rsid w:val="005A793C"/>
    <w:rsid w:val="005B0C5D"/>
    <w:rsid w:val="005B2DBC"/>
    <w:rsid w:val="005B6351"/>
    <w:rsid w:val="005C0AE0"/>
    <w:rsid w:val="005C2390"/>
    <w:rsid w:val="005C55BE"/>
    <w:rsid w:val="005D296E"/>
    <w:rsid w:val="005D75A7"/>
    <w:rsid w:val="005D7639"/>
    <w:rsid w:val="005E106E"/>
    <w:rsid w:val="005E185A"/>
    <w:rsid w:val="005E46BF"/>
    <w:rsid w:val="005F0CD5"/>
    <w:rsid w:val="005F15DC"/>
    <w:rsid w:val="005F2BEB"/>
    <w:rsid w:val="00601D63"/>
    <w:rsid w:val="006061F2"/>
    <w:rsid w:val="00613F5A"/>
    <w:rsid w:val="006141BE"/>
    <w:rsid w:val="006154A5"/>
    <w:rsid w:val="00615BB3"/>
    <w:rsid w:val="00620515"/>
    <w:rsid w:val="00621456"/>
    <w:rsid w:val="0063119A"/>
    <w:rsid w:val="00631694"/>
    <w:rsid w:val="00635B54"/>
    <w:rsid w:val="00635F2F"/>
    <w:rsid w:val="0063644F"/>
    <w:rsid w:val="006406E3"/>
    <w:rsid w:val="00643208"/>
    <w:rsid w:val="006450AC"/>
    <w:rsid w:val="006477B3"/>
    <w:rsid w:val="00655476"/>
    <w:rsid w:val="006601D3"/>
    <w:rsid w:val="006622D2"/>
    <w:rsid w:val="00664F90"/>
    <w:rsid w:val="00665A6B"/>
    <w:rsid w:val="006669DF"/>
    <w:rsid w:val="0067115E"/>
    <w:rsid w:val="00682719"/>
    <w:rsid w:val="00683AB0"/>
    <w:rsid w:val="0068617F"/>
    <w:rsid w:val="00686FE8"/>
    <w:rsid w:val="006925EA"/>
    <w:rsid w:val="00696638"/>
    <w:rsid w:val="006A21D6"/>
    <w:rsid w:val="006A3E08"/>
    <w:rsid w:val="006A4C53"/>
    <w:rsid w:val="006B16DC"/>
    <w:rsid w:val="006B3507"/>
    <w:rsid w:val="006B5242"/>
    <w:rsid w:val="006C0695"/>
    <w:rsid w:val="006C2E4E"/>
    <w:rsid w:val="006D0E0C"/>
    <w:rsid w:val="006D1C81"/>
    <w:rsid w:val="006D1FFF"/>
    <w:rsid w:val="006D296E"/>
    <w:rsid w:val="006D3F99"/>
    <w:rsid w:val="006D4C15"/>
    <w:rsid w:val="006D681C"/>
    <w:rsid w:val="006E0E4C"/>
    <w:rsid w:val="006E4893"/>
    <w:rsid w:val="006F0ED0"/>
    <w:rsid w:val="006F2167"/>
    <w:rsid w:val="006F3DDC"/>
    <w:rsid w:val="0070010B"/>
    <w:rsid w:val="00700E4A"/>
    <w:rsid w:val="007073C9"/>
    <w:rsid w:val="00712E23"/>
    <w:rsid w:val="007176F8"/>
    <w:rsid w:val="00721519"/>
    <w:rsid w:val="00724723"/>
    <w:rsid w:val="007258D4"/>
    <w:rsid w:val="00726BA5"/>
    <w:rsid w:val="00727322"/>
    <w:rsid w:val="00730738"/>
    <w:rsid w:val="00731A34"/>
    <w:rsid w:val="0074039A"/>
    <w:rsid w:val="0074753C"/>
    <w:rsid w:val="00747D57"/>
    <w:rsid w:val="007544AA"/>
    <w:rsid w:val="00755836"/>
    <w:rsid w:val="00757DBD"/>
    <w:rsid w:val="00757DCC"/>
    <w:rsid w:val="00760CEC"/>
    <w:rsid w:val="00761381"/>
    <w:rsid w:val="007749CD"/>
    <w:rsid w:val="0077644D"/>
    <w:rsid w:val="00780CDA"/>
    <w:rsid w:val="00780F47"/>
    <w:rsid w:val="00781051"/>
    <w:rsid w:val="0078109B"/>
    <w:rsid w:val="00781300"/>
    <w:rsid w:val="00791042"/>
    <w:rsid w:val="00794780"/>
    <w:rsid w:val="00796813"/>
    <w:rsid w:val="00797B8C"/>
    <w:rsid w:val="007A406A"/>
    <w:rsid w:val="007B0978"/>
    <w:rsid w:val="007B64EA"/>
    <w:rsid w:val="007C1312"/>
    <w:rsid w:val="007C1E25"/>
    <w:rsid w:val="007C3360"/>
    <w:rsid w:val="007C706C"/>
    <w:rsid w:val="007C78DC"/>
    <w:rsid w:val="007D2FF7"/>
    <w:rsid w:val="007D58F5"/>
    <w:rsid w:val="007D63FA"/>
    <w:rsid w:val="007D7D18"/>
    <w:rsid w:val="007E2AD1"/>
    <w:rsid w:val="007E4360"/>
    <w:rsid w:val="007E73F4"/>
    <w:rsid w:val="007E777D"/>
    <w:rsid w:val="007F413E"/>
    <w:rsid w:val="007F7AD7"/>
    <w:rsid w:val="0080043A"/>
    <w:rsid w:val="00800C38"/>
    <w:rsid w:val="0080117F"/>
    <w:rsid w:val="00801801"/>
    <w:rsid w:val="00801C8E"/>
    <w:rsid w:val="00807543"/>
    <w:rsid w:val="008075AD"/>
    <w:rsid w:val="00807B82"/>
    <w:rsid w:val="00807CEE"/>
    <w:rsid w:val="00810D85"/>
    <w:rsid w:val="00811C36"/>
    <w:rsid w:val="00811F62"/>
    <w:rsid w:val="0081520D"/>
    <w:rsid w:val="008205FF"/>
    <w:rsid w:val="00820AA6"/>
    <w:rsid w:val="0082337B"/>
    <w:rsid w:val="00833B0F"/>
    <w:rsid w:val="00837EEC"/>
    <w:rsid w:val="008402C1"/>
    <w:rsid w:val="008406A6"/>
    <w:rsid w:val="00840D60"/>
    <w:rsid w:val="0084749E"/>
    <w:rsid w:val="008479E0"/>
    <w:rsid w:val="00847F7F"/>
    <w:rsid w:val="00853461"/>
    <w:rsid w:val="00854088"/>
    <w:rsid w:val="008543F6"/>
    <w:rsid w:val="00855DDB"/>
    <w:rsid w:val="00856902"/>
    <w:rsid w:val="00860354"/>
    <w:rsid w:val="00860A5F"/>
    <w:rsid w:val="00865515"/>
    <w:rsid w:val="00866428"/>
    <w:rsid w:val="0087013B"/>
    <w:rsid w:val="0087106A"/>
    <w:rsid w:val="00872748"/>
    <w:rsid w:val="00873653"/>
    <w:rsid w:val="00873EF1"/>
    <w:rsid w:val="0087561F"/>
    <w:rsid w:val="0087594E"/>
    <w:rsid w:val="00876D8D"/>
    <w:rsid w:val="0087772C"/>
    <w:rsid w:val="00885840"/>
    <w:rsid w:val="00886439"/>
    <w:rsid w:val="00887B29"/>
    <w:rsid w:val="008912E5"/>
    <w:rsid w:val="0089452A"/>
    <w:rsid w:val="008957B7"/>
    <w:rsid w:val="008968C7"/>
    <w:rsid w:val="008A03FB"/>
    <w:rsid w:val="008A5FEA"/>
    <w:rsid w:val="008A66F8"/>
    <w:rsid w:val="008A7D6E"/>
    <w:rsid w:val="008B0BFF"/>
    <w:rsid w:val="008B40F7"/>
    <w:rsid w:val="008B561D"/>
    <w:rsid w:val="008B5FB2"/>
    <w:rsid w:val="008B771B"/>
    <w:rsid w:val="008C07F6"/>
    <w:rsid w:val="008C159D"/>
    <w:rsid w:val="008C1F11"/>
    <w:rsid w:val="008D5D23"/>
    <w:rsid w:val="008D74F6"/>
    <w:rsid w:val="008E1264"/>
    <w:rsid w:val="008E1449"/>
    <w:rsid w:val="008E3221"/>
    <w:rsid w:val="008E6156"/>
    <w:rsid w:val="008E75B7"/>
    <w:rsid w:val="008E7D83"/>
    <w:rsid w:val="008E7D8E"/>
    <w:rsid w:val="008F1560"/>
    <w:rsid w:val="008F2E93"/>
    <w:rsid w:val="008F42CF"/>
    <w:rsid w:val="008F657F"/>
    <w:rsid w:val="00903AF4"/>
    <w:rsid w:val="009046A2"/>
    <w:rsid w:val="00905CF0"/>
    <w:rsid w:val="00914001"/>
    <w:rsid w:val="00915FF5"/>
    <w:rsid w:val="009210A8"/>
    <w:rsid w:val="00924EB6"/>
    <w:rsid w:val="00925432"/>
    <w:rsid w:val="00925790"/>
    <w:rsid w:val="0093097D"/>
    <w:rsid w:val="0093413C"/>
    <w:rsid w:val="00935F6E"/>
    <w:rsid w:val="0093616B"/>
    <w:rsid w:val="009408E4"/>
    <w:rsid w:val="00943945"/>
    <w:rsid w:val="00947EF6"/>
    <w:rsid w:val="00950B44"/>
    <w:rsid w:val="00953CB1"/>
    <w:rsid w:val="00960D9B"/>
    <w:rsid w:val="009647A6"/>
    <w:rsid w:val="00973CF8"/>
    <w:rsid w:val="00974155"/>
    <w:rsid w:val="0097629F"/>
    <w:rsid w:val="00980605"/>
    <w:rsid w:val="0098671D"/>
    <w:rsid w:val="009907A2"/>
    <w:rsid w:val="00992441"/>
    <w:rsid w:val="00996E2D"/>
    <w:rsid w:val="00997250"/>
    <w:rsid w:val="009A2A67"/>
    <w:rsid w:val="009A7ECE"/>
    <w:rsid w:val="009B02FF"/>
    <w:rsid w:val="009B0DB1"/>
    <w:rsid w:val="009B2489"/>
    <w:rsid w:val="009B5AA1"/>
    <w:rsid w:val="009B5C88"/>
    <w:rsid w:val="009B6B27"/>
    <w:rsid w:val="009B79D9"/>
    <w:rsid w:val="009C153C"/>
    <w:rsid w:val="009C19BC"/>
    <w:rsid w:val="009D0DC4"/>
    <w:rsid w:val="009D3C6D"/>
    <w:rsid w:val="009D4610"/>
    <w:rsid w:val="009D64B4"/>
    <w:rsid w:val="009D790D"/>
    <w:rsid w:val="009E0BA5"/>
    <w:rsid w:val="009E6855"/>
    <w:rsid w:val="009F1A79"/>
    <w:rsid w:val="009F5B79"/>
    <w:rsid w:val="00A01BC7"/>
    <w:rsid w:val="00A0251A"/>
    <w:rsid w:val="00A052A9"/>
    <w:rsid w:val="00A063F1"/>
    <w:rsid w:val="00A1188E"/>
    <w:rsid w:val="00A11F6B"/>
    <w:rsid w:val="00A13463"/>
    <w:rsid w:val="00A24372"/>
    <w:rsid w:val="00A2514F"/>
    <w:rsid w:val="00A267C4"/>
    <w:rsid w:val="00A30465"/>
    <w:rsid w:val="00A30D67"/>
    <w:rsid w:val="00A31560"/>
    <w:rsid w:val="00A334BB"/>
    <w:rsid w:val="00A33BA9"/>
    <w:rsid w:val="00A33FEB"/>
    <w:rsid w:val="00A400B9"/>
    <w:rsid w:val="00A41D24"/>
    <w:rsid w:val="00A45CCC"/>
    <w:rsid w:val="00A46118"/>
    <w:rsid w:val="00A5001C"/>
    <w:rsid w:val="00A5282D"/>
    <w:rsid w:val="00A54B0D"/>
    <w:rsid w:val="00A571D0"/>
    <w:rsid w:val="00A603E1"/>
    <w:rsid w:val="00A61186"/>
    <w:rsid w:val="00A613BA"/>
    <w:rsid w:val="00A64443"/>
    <w:rsid w:val="00A6745F"/>
    <w:rsid w:val="00A70D49"/>
    <w:rsid w:val="00A832FA"/>
    <w:rsid w:val="00A83525"/>
    <w:rsid w:val="00A91A80"/>
    <w:rsid w:val="00A93138"/>
    <w:rsid w:val="00A93B07"/>
    <w:rsid w:val="00A947A6"/>
    <w:rsid w:val="00A977F3"/>
    <w:rsid w:val="00AA13E6"/>
    <w:rsid w:val="00AA36D7"/>
    <w:rsid w:val="00AA5BD4"/>
    <w:rsid w:val="00AA6288"/>
    <w:rsid w:val="00AB0076"/>
    <w:rsid w:val="00AB1A73"/>
    <w:rsid w:val="00AB4020"/>
    <w:rsid w:val="00AB6FD4"/>
    <w:rsid w:val="00AC1A7F"/>
    <w:rsid w:val="00AC1DD2"/>
    <w:rsid w:val="00AC25D2"/>
    <w:rsid w:val="00AC6229"/>
    <w:rsid w:val="00AD0D3B"/>
    <w:rsid w:val="00AD166C"/>
    <w:rsid w:val="00AD3523"/>
    <w:rsid w:val="00AD40C7"/>
    <w:rsid w:val="00AD5493"/>
    <w:rsid w:val="00AD589A"/>
    <w:rsid w:val="00AE06D2"/>
    <w:rsid w:val="00AE225E"/>
    <w:rsid w:val="00AE3205"/>
    <w:rsid w:val="00AE6B77"/>
    <w:rsid w:val="00AF6B1C"/>
    <w:rsid w:val="00B05685"/>
    <w:rsid w:val="00B066C3"/>
    <w:rsid w:val="00B0779D"/>
    <w:rsid w:val="00B107CF"/>
    <w:rsid w:val="00B11CB8"/>
    <w:rsid w:val="00B13ECF"/>
    <w:rsid w:val="00B14AA4"/>
    <w:rsid w:val="00B172DB"/>
    <w:rsid w:val="00B20FA7"/>
    <w:rsid w:val="00B2104D"/>
    <w:rsid w:val="00B21A3D"/>
    <w:rsid w:val="00B2722A"/>
    <w:rsid w:val="00B27F36"/>
    <w:rsid w:val="00B31101"/>
    <w:rsid w:val="00B3226C"/>
    <w:rsid w:val="00B349E2"/>
    <w:rsid w:val="00B40A44"/>
    <w:rsid w:val="00B41095"/>
    <w:rsid w:val="00B5307F"/>
    <w:rsid w:val="00B539EF"/>
    <w:rsid w:val="00B60027"/>
    <w:rsid w:val="00B608C2"/>
    <w:rsid w:val="00B656BD"/>
    <w:rsid w:val="00B6593F"/>
    <w:rsid w:val="00B666E4"/>
    <w:rsid w:val="00B67086"/>
    <w:rsid w:val="00B70105"/>
    <w:rsid w:val="00B70243"/>
    <w:rsid w:val="00B71C49"/>
    <w:rsid w:val="00B7481E"/>
    <w:rsid w:val="00B76E65"/>
    <w:rsid w:val="00B81597"/>
    <w:rsid w:val="00B82215"/>
    <w:rsid w:val="00B942F5"/>
    <w:rsid w:val="00B94903"/>
    <w:rsid w:val="00B94A92"/>
    <w:rsid w:val="00B96292"/>
    <w:rsid w:val="00BA7C10"/>
    <w:rsid w:val="00BB1318"/>
    <w:rsid w:val="00BB49FA"/>
    <w:rsid w:val="00BB5A0B"/>
    <w:rsid w:val="00BB6093"/>
    <w:rsid w:val="00BB6AD3"/>
    <w:rsid w:val="00BC072B"/>
    <w:rsid w:val="00BC7973"/>
    <w:rsid w:val="00BD1A62"/>
    <w:rsid w:val="00BD1C9F"/>
    <w:rsid w:val="00BD279E"/>
    <w:rsid w:val="00BD4FD2"/>
    <w:rsid w:val="00BD6370"/>
    <w:rsid w:val="00BE0A27"/>
    <w:rsid w:val="00BE3E31"/>
    <w:rsid w:val="00BE3EEF"/>
    <w:rsid w:val="00BE5BD6"/>
    <w:rsid w:val="00BE7400"/>
    <w:rsid w:val="00BF07A6"/>
    <w:rsid w:val="00BF2BB2"/>
    <w:rsid w:val="00BF309A"/>
    <w:rsid w:val="00BF5ED3"/>
    <w:rsid w:val="00BF75A8"/>
    <w:rsid w:val="00C0097F"/>
    <w:rsid w:val="00C00E05"/>
    <w:rsid w:val="00C04BA8"/>
    <w:rsid w:val="00C06CDE"/>
    <w:rsid w:val="00C070FE"/>
    <w:rsid w:val="00C17B41"/>
    <w:rsid w:val="00C21125"/>
    <w:rsid w:val="00C21507"/>
    <w:rsid w:val="00C216E5"/>
    <w:rsid w:val="00C225B1"/>
    <w:rsid w:val="00C24B72"/>
    <w:rsid w:val="00C26C9F"/>
    <w:rsid w:val="00C37ABC"/>
    <w:rsid w:val="00C41CE0"/>
    <w:rsid w:val="00C457BC"/>
    <w:rsid w:val="00C463C3"/>
    <w:rsid w:val="00C56C31"/>
    <w:rsid w:val="00C57D62"/>
    <w:rsid w:val="00C6082C"/>
    <w:rsid w:val="00C63134"/>
    <w:rsid w:val="00C64781"/>
    <w:rsid w:val="00C64FD7"/>
    <w:rsid w:val="00C66A94"/>
    <w:rsid w:val="00C67302"/>
    <w:rsid w:val="00C711EB"/>
    <w:rsid w:val="00C77B72"/>
    <w:rsid w:val="00C80656"/>
    <w:rsid w:val="00C808E9"/>
    <w:rsid w:val="00C8154D"/>
    <w:rsid w:val="00C86365"/>
    <w:rsid w:val="00C9080E"/>
    <w:rsid w:val="00C9455F"/>
    <w:rsid w:val="00C96E61"/>
    <w:rsid w:val="00C9707E"/>
    <w:rsid w:val="00CA13D1"/>
    <w:rsid w:val="00CA18F3"/>
    <w:rsid w:val="00CA5914"/>
    <w:rsid w:val="00CB082D"/>
    <w:rsid w:val="00CB5BA6"/>
    <w:rsid w:val="00CB6632"/>
    <w:rsid w:val="00CC00B2"/>
    <w:rsid w:val="00CC1AE2"/>
    <w:rsid w:val="00CC339D"/>
    <w:rsid w:val="00CC5E83"/>
    <w:rsid w:val="00CD2533"/>
    <w:rsid w:val="00CD4A7F"/>
    <w:rsid w:val="00CE01BE"/>
    <w:rsid w:val="00CE10BA"/>
    <w:rsid w:val="00CE2BB7"/>
    <w:rsid w:val="00CF1C6F"/>
    <w:rsid w:val="00CF347F"/>
    <w:rsid w:val="00CF5ACA"/>
    <w:rsid w:val="00CF7510"/>
    <w:rsid w:val="00D0000C"/>
    <w:rsid w:val="00D011B1"/>
    <w:rsid w:val="00D01E0B"/>
    <w:rsid w:val="00D07AA7"/>
    <w:rsid w:val="00D11A43"/>
    <w:rsid w:val="00D11BB2"/>
    <w:rsid w:val="00D20390"/>
    <w:rsid w:val="00D2215F"/>
    <w:rsid w:val="00D25F91"/>
    <w:rsid w:val="00D314C9"/>
    <w:rsid w:val="00D31EC5"/>
    <w:rsid w:val="00D34976"/>
    <w:rsid w:val="00D37527"/>
    <w:rsid w:val="00D420F4"/>
    <w:rsid w:val="00D42143"/>
    <w:rsid w:val="00D44470"/>
    <w:rsid w:val="00D453EF"/>
    <w:rsid w:val="00D50B59"/>
    <w:rsid w:val="00D524E5"/>
    <w:rsid w:val="00D544AE"/>
    <w:rsid w:val="00D55D60"/>
    <w:rsid w:val="00D571C8"/>
    <w:rsid w:val="00D64213"/>
    <w:rsid w:val="00D66460"/>
    <w:rsid w:val="00D74076"/>
    <w:rsid w:val="00D75624"/>
    <w:rsid w:val="00D7757F"/>
    <w:rsid w:val="00D77760"/>
    <w:rsid w:val="00D80EBE"/>
    <w:rsid w:val="00D81989"/>
    <w:rsid w:val="00D87FC9"/>
    <w:rsid w:val="00D9026F"/>
    <w:rsid w:val="00D933CA"/>
    <w:rsid w:val="00D9394F"/>
    <w:rsid w:val="00D95270"/>
    <w:rsid w:val="00D96E86"/>
    <w:rsid w:val="00DA1304"/>
    <w:rsid w:val="00DA348E"/>
    <w:rsid w:val="00DA7B37"/>
    <w:rsid w:val="00DB15D0"/>
    <w:rsid w:val="00DB1672"/>
    <w:rsid w:val="00DB1F30"/>
    <w:rsid w:val="00DB24F0"/>
    <w:rsid w:val="00DB5643"/>
    <w:rsid w:val="00DB5F7C"/>
    <w:rsid w:val="00DB6336"/>
    <w:rsid w:val="00DC13CF"/>
    <w:rsid w:val="00DC28EF"/>
    <w:rsid w:val="00DC606A"/>
    <w:rsid w:val="00DC6955"/>
    <w:rsid w:val="00DD012B"/>
    <w:rsid w:val="00DD1000"/>
    <w:rsid w:val="00DD1CB7"/>
    <w:rsid w:val="00DD38B3"/>
    <w:rsid w:val="00DE7968"/>
    <w:rsid w:val="00DF0B75"/>
    <w:rsid w:val="00DF1EDA"/>
    <w:rsid w:val="00DF330A"/>
    <w:rsid w:val="00DF3895"/>
    <w:rsid w:val="00DF4E45"/>
    <w:rsid w:val="00DF52F4"/>
    <w:rsid w:val="00DF6CA0"/>
    <w:rsid w:val="00E00282"/>
    <w:rsid w:val="00E0431F"/>
    <w:rsid w:val="00E14760"/>
    <w:rsid w:val="00E25DB3"/>
    <w:rsid w:val="00E26F97"/>
    <w:rsid w:val="00E320A9"/>
    <w:rsid w:val="00E34013"/>
    <w:rsid w:val="00E35FE1"/>
    <w:rsid w:val="00E44F1E"/>
    <w:rsid w:val="00E45971"/>
    <w:rsid w:val="00E46BFC"/>
    <w:rsid w:val="00E47590"/>
    <w:rsid w:val="00E47E4C"/>
    <w:rsid w:val="00E502C9"/>
    <w:rsid w:val="00E52072"/>
    <w:rsid w:val="00E55F09"/>
    <w:rsid w:val="00E56503"/>
    <w:rsid w:val="00E56505"/>
    <w:rsid w:val="00E567B9"/>
    <w:rsid w:val="00E603AC"/>
    <w:rsid w:val="00E62ACC"/>
    <w:rsid w:val="00E6380F"/>
    <w:rsid w:val="00E64C3B"/>
    <w:rsid w:val="00E6725F"/>
    <w:rsid w:val="00E7079A"/>
    <w:rsid w:val="00E75B95"/>
    <w:rsid w:val="00E76965"/>
    <w:rsid w:val="00E82BD6"/>
    <w:rsid w:val="00E87E02"/>
    <w:rsid w:val="00E91E9E"/>
    <w:rsid w:val="00E91EF2"/>
    <w:rsid w:val="00E923C1"/>
    <w:rsid w:val="00E93351"/>
    <w:rsid w:val="00E94721"/>
    <w:rsid w:val="00E96EB5"/>
    <w:rsid w:val="00E972AC"/>
    <w:rsid w:val="00E97CC7"/>
    <w:rsid w:val="00EA1341"/>
    <w:rsid w:val="00EA24E0"/>
    <w:rsid w:val="00EA52E4"/>
    <w:rsid w:val="00EC12F1"/>
    <w:rsid w:val="00EC1F34"/>
    <w:rsid w:val="00EC2DD9"/>
    <w:rsid w:val="00EC4C0B"/>
    <w:rsid w:val="00EC6D32"/>
    <w:rsid w:val="00ED3809"/>
    <w:rsid w:val="00ED58F5"/>
    <w:rsid w:val="00ED6175"/>
    <w:rsid w:val="00EE674F"/>
    <w:rsid w:val="00EF2EB3"/>
    <w:rsid w:val="00EF37D9"/>
    <w:rsid w:val="00EF3A56"/>
    <w:rsid w:val="00EF3DB9"/>
    <w:rsid w:val="00EF47B7"/>
    <w:rsid w:val="00EF7845"/>
    <w:rsid w:val="00F00C27"/>
    <w:rsid w:val="00F053F6"/>
    <w:rsid w:val="00F06A8A"/>
    <w:rsid w:val="00F110DD"/>
    <w:rsid w:val="00F12522"/>
    <w:rsid w:val="00F16A3F"/>
    <w:rsid w:val="00F17C9C"/>
    <w:rsid w:val="00F2022A"/>
    <w:rsid w:val="00F22DA2"/>
    <w:rsid w:val="00F24A74"/>
    <w:rsid w:val="00F2518C"/>
    <w:rsid w:val="00F3233D"/>
    <w:rsid w:val="00F33207"/>
    <w:rsid w:val="00F40F06"/>
    <w:rsid w:val="00F4586A"/>
    <w:rsid w:val="00F45D53"/>
    <w:rsid w:val="00F469D6"/>
    <w:rsid w:val="00F51BDC"/>
    <w:rsid w:val="00F53AC6"/>
    <w:rsid w:val="00F56AD0"/>
    <w:rsid w:val="00F56D47"/>
    <w:rsid w:val="00F605B7"/>
    <w:rsid w:val="00F61FDF"/>
    <w:rsid w:val="00F63596"/>
    <w:rsid w:val="00F63873"/>
    <w:rsid w:val="00F72725"/>
    <w:rsid w:val="00F7387B"/>
    <w:rsid w:val="00F81079"/>
    <w:rsid w:val="00F81F3B"/>
    <w:rsid w:val="00F835D8"/>
    <w:rsid w:val="00F84694"/>
    <w:rsid w:val="00F850B0"/>
    <w:rsid w:val="00F8788B"/>
    <w:rsid w:val="00F91E0F"/>
    <w:rsid w:val="00F954DD"/>
    <w:rsid w:val="00F96F4E"/>
    <w:rsid w:val="00FA5A74"/>
    <w:rsid w:val="00FB18BF"/>
    <w:rsid w:val="00FB2391"/>
    <w:rsid w:val="00FB3EAC"/>
    <w:rsid w:val="00FB4330"/>
    <w:rsid w:val="00FB7260"/>
    <w:rsid w:val="00FB7541"/>
    <w:rsid w:val="00FC0077"/>
    <w:rsid w:val="00FC6144"/>
    <w:rsid w:val="00FD3D55"/>
    <w:rsid w:val="00FD5D92"/>
    <w:rsid w:val="00FD64E0"/>
    <w:rsid w:val="00FD689E"/>
    <w:rsid w:val="00FE3478"/>
    <w:rsid w:val="00FE367D"/>
    <w:rsid w:val="00FE3DFA"/>
    <w:rsid w:val="00FE50A0"/>
    <w:rsid w:val="00FF1C76"/>
    <w:rsid w:val="00FF48CA"/>
    <w:rsid w:val="00FF51EA"/>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2E3B5"/>
  <w15:docId w15:val="{99001A4C-355F-4DDE-89BA-4AA26E7C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706"/>
  </w:style>
  <w:style w:type="paragraph" w:styleId="Heading1">
    <w:name w:val="heading 1"/>
    <w:basedOn w:val="Normal"/>
    <w:next w:val="Normal"/>
    <w:link w:val="Heading1Char"/>
    <w:uiPriority w:val="9"/>
    <w:qFormat/>
    <w:rsid w:val="00553143"/>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5314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314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0634BB"/>
    <w:pPr>
      <w:keepNext/>
      <w:keepLines/>
      <w:snapToGrid w:val="0"/>
      <w:spacing w:before="480" w:after="240" w:line="300" w:lineRule="exact"/>
      <w:outlineLvl w:val="3"/>
    </w:pPr>
    <w:rPr>
      <w:rFonts w:ascii="Arial" w:eastAsia="Times New Roman" w:hAnsi="Arial" w:cs="Arial"/>
      <w:b/>
      <w:bCs/>
      <w:caps/>
      <w:sz w:val="20"/>
      <w:lang w:val="fr-FR" w:eastAsia="en-US"/>
    </w:rPr>
  </w:style>
  <w:style w:type="paragraph" w:styleId="Heading5">
    <w:name w:val="heading 5"/>
    <w:basedOn w:val="Normal"/>
    <w:next w:val="Normal"/>
    <w:link w:val="Heading5Char"/>
    <w:uiPriority w:val="9"/>
    <w:semiHidden/>
    <w:unhideWhenUsed/>
    <w:qFormat/>
    <w:rsid w:val="0055314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314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1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1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1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7C"/>
    <w:pPr>
      <w:ind w:left="720"/>
      <w:contextualSpacing/>
    </w:pPr>
  </w:style>
  <w:style w:type="paragraph" w:customStyle="1" w:styleId="Niveauducommentaire11">
    <w:name w:val="Niveau du commentaire : 11"/>
    <w:basedOn w:val="Normal"/>
    <w:uiPriority w:val="99"/>
    <w:unhideWhenUsed/>
    <w:rsid w:val="00553143"/>
    <w:pPr>
      <w:keepNext/>
      <w:numPr>
        <w:numId w:val="1"/>
      </w:numPr>
      <w:contextualSpacing/>
      <w:outlineLvl w:val="0"/>
    </w:pPr>
    <w:rPr>
      <w:rFonts w:ascii="Verdana" w:hAnsi="Verdana"/>
    </w:rPr>
  </w:style>
  <w:style w:type="paragraph" w:customStyle="1" w:styleId="Niveauducommentaire21">
    <w:name w:val="Niveau du commentaire : 21"/>
    <w:basedOn w:val="Normal"/>
    <w:uiPriority w:val="99"/>
    <w:unhideWhenUsed/>
    <w:rsid w:val="00553143"/>
    <w:pPr>
      <w:keepNext/>
      <w:numPr>
        <w:ilvl w:val="1"/>
        <w:numId w:val="1"/>
      </w:numPr>
      <w:contextualSpacing/>
      <w:outlineLvl w:val="1"/>
    </w:pPr>
    <w:rPr>
      <w:rFonts w:ascii="Verdana" w:hAnsi="Verdana"/>
    </w:rPr>
  </w:style>
  <w:style w:type="paragraph" w:customStyle="1" w:styleId="Niveauducommentaire31">
    <w:name w:val="Niveau du commentaire : 31"/>
    <w:basedOn w:val="Normal"/>
    <w:uiPriority w:val="99"/>
    <w:unhideWhenUsed/>
    <w:rsid w:val="00553143"/>
    <w:pPr>
      <w:keepNext/>
      <w:numPr>
        <w:ilvl w:val="2"/>
        <w:numId w:val="1"/>
      </w:numPr>
      <w:contextualSpacing/>
      <w:outlineLvl w:val="2"/>
    </w:pPr>
    <w:rPr>
      <w:rFonts w:ascii="Verdana" w:hAnsi="Verdana"/>
    </w:rPr>
  </w:style>
  <w:style w:type="paragraph" w:customStyle="1" w:styleId="Niveauducommentaire41">
    <w:name w:val="Niveau du commentaire : 41"/>
    <w:basedOn w:val="Normal"/>
    <w:uiPriority w:val="99"/>
    <w:unhideWhenUsed/>
    <w:rsid w:val="00553143"/>
    <w:pPr>
      <w:keepNext/>
      <w:numPr>
        <w:ilvl w:val="3"/>
        <w:numId w:val="1"/>
      </w:numPr>
      <w:contextualSpacing/>
      <w:outlineLvl w:val="3"/>
    </w:pPr>
    <w:rPr>
      <w:rFonts w:ascii="Verdana" w:hAnsi="Verdana"/>
    </w:rPr>
  </w:style>
  <w:style w:type="paragraph" w:customStyle="1" w:styleId="Niveauducommentaire51">
    <w:name w:val="Niveau du commentaire : 51"/>
    <w:basedOn w:val="Normal"/>
    <w:uiPriority w:val="99"/>
    <w:semiHidden/>
    <w:unhideWhenUsed/>
    <w:rsid w:val="00553143"/>
    <w:pPr>
      <w:keepNext/>
      <w:numPr>
        <w:ilvl w:val="4"/>
        <w:numId w:val="1"/>
      </w:numPr>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1"/>
      </w:numPr>
      <w:contextualSpacing/>
      <w:outlineLvl w:val="5"/>
    </w:pPr>
    <w:rPr>
      <w:rFonts w:ascii="Verdana" w:hAnsi="Verdana"/>
    </w:rPr>
  </w:style>
  <w:style w:type="paragraph" w:customStyle="1" w:styleId="Niveauducommentaire71">
    <w:name w:val="Niveau du commentaire : 71"/>
    <w:basedOn w:val="Normal"/>
    <w:uiPriority w:val="99"/>
    <w:semiHidden/>
    <w:unhideWhenUsed/>
    <w:rsid w:val="00553143"/>
    <w:pPr>
      <w:keepNext/>
      <w:numPr>
        <w:ilvl w:val="6"/>
        <w:numId w:val="1"/>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1"/>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1"/>
      </w:numPr>
      <w:contextualSpacing/>
      <w:outlineLvl w:val="8"/>
    </w:pPr>
    <w:rPr>
      <w:rFonts w:ascii="Verdana" w:hAnsi="Verdana"/>
    </w:rPr>
  </w:style>
  <w:style w:type="character" w:customStyle="1" w:styleId="Heading1Char">
    <w:name w:val="Heading 1 Char"/>
    <w:basedOn w:val="DefaultParagraphFont"/>
    <w:link w:val="Heading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53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143"/>
    <w:rPr>
      <w:rFonts w:asciiTheme="majorHAnsi" w:eastAsiaTheme="majorEastAsia" w:hAnsiTheme="majorHAnsi" w:cstheme="majorBidi"/>
      <w:b/>
      <w:bCs/>
      <w:color w:val="4F81BD" w:themeColor="accent1"/>
    </w:rPr>
  </w:style>
  <w:style w:type="character" w:customStyle="1" w:styleId="Heading4Char">
    <w:name w:val="Heading 4 Char"/>
    <w:link w:val="Heading4"/>
    <w:rsid w:val="000634BB"/>
    <w:rPr>
      <w:rFonts w:ascii="Arial" w:eastAsia="Times New Roman" w:hAnsi="Arial" w:cs="Arial"/>
      <w:b/>
      <w:bCs/>
      <w:caps/>
      <w:sz w:val="20"/>
      <w:lang w:val="fr-FR" w:eastAsia="en-US"/>
    </w:rPr>
  </w:style>
  <w:style w:type="character" w:customStyle="1" w:styleId="Heading5Char">
    <w:name w:val="Heading 5 Char"/>
    <w:basedOn w:val="DefaultParagraphFont"/>
    <w:link w:val="Heading5"/>
    <w:uiPriority w:val="9"/>
    <w:semiHidden/>
    <w:rsid w:val="00553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314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31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531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314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F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895"/>
    <w:rPr>
      <w:rFonts w:ascii="Lucida Grande" w:hAnsi="Lucida Grande" w:cs="Lucida Grande"/>
      <w:sz w:val="18"/>
      <w:szCs w:val="18"/>
    </w:rPr>
  </w:style>
  <w:style w:type="paragraph" w:styleId="FootnoteText">
    <w:name w:val="footnote text"/>
    <w:basedOn w:val="Normal"/>
    <w:link w:val="FootnoteTextChar"/>
    <w:uiPriority w:val="99"/>
    <w:unhideWhenUsed/>
    <w:rsid w:val="00E76965"/>
    <w:rPr>
      <w:rFonts w:ascii="Arial" w:hAnsi="Arial"/>
      <w:sz w:val="16"/>
    </w:rPr>
  </w:style>
  <w:style w:type="character" w:customStyle="1" w:styleId="FootnoteTextChar">
    <w:name w:val="Footnote Text Char"/>
    <w:basedOn w:val="DefaultParagraphFont"/>
    <w:link w:val="FootnoteText"/>
    <w:uiPriority w:val="99"/>
    <w:rsid w:val="00E76965"/>
    <w:rPr>
      <w:rFonts w:ascii="Arial" w:hAnsi="Arial"/>
      <w:sz w:val="16"/>
    </w:rPr>
  </w:style>
  <w:style w:type="character" w:styleId="FootnoteReference">
    <w:name w:val="footnote reference"/>
    <w:basedOn w:val="DefaultParagraphFont"/>
    <w:uiPriority w:val="99"/>
    <w:unhideWhenUsed/>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DF3895"/>
    <w:rPr>
      <w:sz w:val="18"/>
      <w:szCs w:val="18"/>
    </w:rPr>
  </w:style>
  <w:style w:type="paragraph" w:styleId="CommentText">
    <w:name w:val="annotation text"/>
    <w:basedOn w:val="Normal"/>
    <w:link w:val="CommentTextChar"/>
    <w:unhideWhenUsed/>
    <w:rsid w:val="00DF3895"/>
  </w:style>
  <w:style w:type="character" w:customStyle="1" w:styleId="CommentTextChar">
    <w:name w:val="Comment Text Char"/>
    <w:basedOn w:val="DefaultParagraphFont"/>
    <w:link w:val="CommentText"/>
    <w:rsid w:val="00DF3895"/>
  </w:style>
  <w:style w:type="character" w:customStyle="1" w:styleId="st1">
    <w:name w:val="st1"/>
    <w:rsid w:val="00DF3895"/>
  </w:style>
  <w:style w:type="character" w:styleId="IntenseEmphasis">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Hyperlink">
    <w:name w:val="Hyperlink"/>
    <w:basedOn w:val="DefaultParagraphFon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3"/>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TableGrid">
    <w:name w:val="Table Grid"/>
    <w:basedOn w:val="TableNormal"/>
    <w:uiPriority w:val="5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4BB"/>
    <w:pPr>
      <w:tabs>
        <w:tab w:val="center" w:pos="4536"/>
        <w:tab w:val="right" w:pos="9072"/>
      </w:tabs>
    </w:pPr>
  </w:style>
  <w:style w:type="character" w:customStyle="1" w:styleId="HeaderChar">
    <w:name w:val="Header Char"/>
    <w:basedOn w:val="DefaultParagraphFont"/>
    <w:link w:val="Header"/>
    <w:uiPriority w:val="99"/>
    <w:rsid w:val="000634BB"/>
  </w:style>
  <w:style w:type="paragraph" w:styleId="Footer">
    <w:name w:val="footer"/>
    <w:basedOn w:val="Normal"/>
    <w:link w:val="FooterChar"/>
    <w:uiPriority w:val="99"/>
    <w:unhideWhenUsed/>
    <w:rsid w:val="000634BB"/>
    <w:pPr>
      <w:tabs>
        <w:tab w:val="center" w:pos="4536"/>
        <w:tab w:val="right" w:pos="9072"/>
      </w:tabs>
    </w:pPr>
  </w:style>
  <w:style w:type="character" w:customStyle="1" w:styleId="FooterChar">
    <w:name w:val="Footer Char"/>
    <w:basedOn w:val="DefaultParagraphFont"/>
    <w:link w:val="Footer"/>
    <w:uiPriority w:val="99"/>
    <w:rsid w:val="000634BB"/>
  </w:style>
  <w:style w:type="paragraph" w:customStyle="1" w:styleId="Chapitre">
    <w:name w:val="Chapitre"/>
    <w:basedOn w:val="Heading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eastAsia="Times New Roman"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l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le">
    <w:name w:val="Title"/>
    <w:basedOn w:val="Normal"/>
    <w:next w:val="Normal"/>
    <w:link w:val="TitleChar"/>
    <w:uiPriority w:val="10"/>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34B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1C08EA"/>
    <w:pPr>
      <w:keepNext/>
      <w:widowControl w:val="0"/>
      <w:snapToGrid w:val="0"/>
      <w:spacing w:before="1200" w:after="480" w:line="300" w:lineRule="exact"/>
      <w:jc w:val="both"/>
    </w:pPr>
    <w:rPr>
      <w:rFonts w:ascii="Arial" w:eastAsia="SimSun" w:hAnsi="Arial" w:cs="Arial"/>
      <w:b/>
      <w:bCs/>
      <w:lang w:eastAsia="zh-CN"/>
    </w:rPr>
  </w:style>
  <w:style w:type="character" w:customStyle="1" w:styleId="TxtchapCar">
    <w:name w:val="Txtchap Car"/>
    <w:basedOn w:val="DefaultParagraphFont"/>
    <w:link w:val="Txtchap"/>
    <w:rsid w:val="00ED58F5"/>
    <w:rPr>
      <w:rFonts w:ascii="Arial" w:eastAsia="SimSun" w:hAnsi="Arial" w:cs="Arial"/>
      <w:szCs w:val="20"/>
      <w:lang w:val="fr-FR" w:eastAsia="zh-CN"/>
    </w:rPr>
  </w:style>
  <w:style w:type="paragraph" w:styleId="CommentSubject">
    <w:name w:val="annotation subject"/>
    <w:basedOn w:val="CommentText"/>
    <w:next w:val="CommentText"/>
    <w:link w:val="CommentSubjectChar"/>
    <w:uiPriority w:val="99"/>
    <w:semiHidden/>
    <w:unhideWhenUsed/>
    <w:rsid w:val="00837EEC"/>
    <w:rPr>
      <w:b/>
      <w:bCs/>
      <w:sz w:val="20"/>
      <w:szCs w:val="20"/>
    </w:rPr>
  </w:style>
  <w:style w:type="character" w:customStyle="1" w:styleId="CommentSubjectChar">
    <w:name w:val="Comment Subject Char"/>
    <w:basedOn w:val="CommentTextChar"/>
    <w:link w:val="CommentSubject"/>
    <w:uiPriority w:val="99"/>
    <w:semiHidden/>
    <w:rsid w:val="00837EEC"/>
    <w:rPr>
      <w:b/>
      <w:bCs/>
      <w:sz w:val="20"/>
      <w:szCs w:val="20"/>
    </w:rPr>
  </w:style>
  <w:style w:type="paragraph" w:styleId="Revision">
    <w:name w:val="Revision"/>
    <w:hidden/>
    <w:uiPriority w:val="99"/>
    <w:semiHidden/>
    <w:rsid w:val="003B057F"/>
  </w:style>
  <w:style w:type="character" w:styleId="FollowedHyperlink">
    <w:name w:val="FollowedHyperlink"/>
    <w:basedOn w:val="DefaultParagraphFont"/>
    <w:uiPriority w:val="99"/>
    <w:semiHidden/>
    <w:unhideWhenUsed/>
    <w:rsid w:val="000E5D36"/>
    <w:rPr>
      <w:color w:val="800080" w:themeColor="followedHyperlink"/>
      <w:u w:val="single"/>
    </w:rPr>
  </w:style>
  <w:style w:type="paragraph" w:customStyle="1" w:styleId="footnote1">
    <w:name w:val="@footnote 1"/>
    <w:basedOn w:val="FootnoteText"/>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DefaultParagraphFont"/>
    <w:rsid w:val="0058733D"/>
  </w:style>
  <w:style w:type="character" w:styleId="Strong">
    <w:name w:val="Strong"/>
    <w:basedOn w:val="DefaultParagraphFon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4"/>
      </w:numPr>
      <w:tabs>
        <w:tab w:val="left" w:pos="567"/>
      </w:tabs>
      <w:snapToGrid w:val="0"/>
      <w:spacing w:after="120"/>
      <w:ind w:left="567" w:hanging="567"/>
      <w:jc w:val="both"/>
    </w:pPr>
    <w:rPr>
      <w:rFonts w:ascii="Arial" w:eastAsia="Times New Roman"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eastAsia="Times New Roman" w:hAnsi="Arial" w:cs="Times New Roman"/>
      <w:sz w:val="22"/>
      <w:lang w:val="fr-FR" w:eastAsia="fr-FR"/>
    </w:rPr>
  </w:style>
  <w:style w:type="paragraph" w:styleId="EndnoteText">
    <w:name w:val="endnote text"/>
    <w:basedOn w:val="Normal"/>
    <w:link w:val="EndnoteTextChar"/>
    <w:uiPriority w:val="99"/>
    <w:semiHidden/>
    <w:unhideWhenUsed/>
    <w:rsid w:val="00AE6B77"/>
    <w:rPr>
      <w:sz w:val="20"/>
      <w:szCs w:val="20"/>
    </w:rPr>
  </w:style>
  <w:style w:type="character" w:customStyle="1" w:styleId="EndnoteTextChar">
    <w:name w:val="Endnote Text Char"/>
    <w:basedOn w:val="DefaultParagraphFont"/>
    <w:link w:val="EndnoteText"/>
    <w:uiPriority w:val="99"/>
    <w:semiHidden/>
    <w:rsid w:val="00AE6B77"/>
    <w:rPr>
      <w:sz w:val="20"/>
      <w:szCs w:val="20"/>
    </w:rPr>
  </w:style>
  <w:style w:type="character" w:styleId="EndnoteReference">
    <w:name w:val="endnote reference"/>
    <w:basedOn w:val="DefaultParagraphFon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 w:type="paragraph" w:styleId="BodyText">
    <w:name w:val="Body Text"/>
    <w:basedOn w:val="Normal"/>
    <w:link w:val="BodyTextChar"/>
    <w:rsid w:val="00854088"/>
    <w:pPr>
      <w:jc w:val="both"/>
    </w:pPr>
    <w:rPr>
      <w:rFonts w:ascii="Times New Roman" w:eastAsia="Times New Roman" w:hAnsi="Times New Roman" w:cs="Times New Roman"/>
      <w:szCs w:val="20"/>
      <w:lang w:val="pt-BR" w:eastAsia="pt-BR"/>
    </w:rPr>
  </w:style>
  <w:style w:type="character" w:customStyle="1" w:styleId="BodyTextChar">
    <w:name w:val="Body Text Char"/>
    <w:basedOn w:val="DefaultParagraphFont"/>
    <w:link w:val="BodyText"/>
    <w:rsid w:val="00854088"/>
    <w:rPr>
      <w:rFonts w:ascii="Times New Roman" w:eastAsia="Times New Roman" w:hAnsi="Times New Roman" w:cs="Times New Roman"/>
      <w:szCs w:val="20"/>
      <w:lang w:val="pt-BR" w:eastAsia="pt-BR"/>
    </w:rPr>
  </w:style>
  <w:style w:type="character" w:styleId="UnresolvedMention">
    <w:name w:val="Unresolved Mention"/>
    <w:basedOn w:val="DefaultParagraphFont"/>
    <w:uiPriority w:val="99"/>
    <w:semiHidden/>
    <w:unhideWhenUsed/>
    <w:rsid w:val="009A7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ra.gov.sg/Corporate/Planning/Master-Plan/Master-Plan-201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8BC3-AF5C-4B22-8EA1-36FE938FA3A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124</TotalTime>
  <Pages>11</Pages>
  <Words>4026</Words>
  <Characters>22954</Characters>
  <Application>Microsoft Office Word</Application>
  <DocSecurity>0</DocSecurity>
  <Lines>191</Lines>
  <Paragraphs>53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noteparticipant-fr</vt:lpstr>
      <vt:lpstr>noteparticipant-fr</vt:lpstr>
      <vt:lpstr>noteparticipant-fr</vt:lpstr>
    </vt:vector>
  </TitlesOfParts>
  <Company>Hewlett-Packard</Company>
  <LinksUpToDate>false</LinksUpToDate>
  <CharactersWithSpaces>26927</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noteparticipant-fr</dc:title>
  <dc:creator>A. Cunningham</dc:creator>
  <cp:lastModifiedBy>LHE-CAP</cp:lastModifiedBy>
  <cp:revision>42</cp:revision>
  <dcterms:created xsi:type="dcterms:W3CDTF">2024-08-17T15:11:00Z</dcterms:created>
  <dcterms:modified xsi:type="dcterms:W3CDTF">2025-04-02T13:36:00Z</dcterms:modified>
</cp:coreProperties>
</file>