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CA00" w14:textId="77777777" w:rsidR="00FB5F83" w:rsidRDefault="00FB5F83" w:rsidP="00FB5F83">
      <w:pPr>
        <w:rPr>
          <w:rFonts w:ascii="Arial" w:hAnsi="Arial" w:cs="Arial"/>
          <w:b/>
          <w:sz w:val="22"/>
          <w:szCs w:val="22"/>
        </w:rPr>
      </w:pPr>
    </w:p>
    <w:p w14:paraId="29CBB67D" w14:textId="77777777" w:rsidR="0056292C" w:rsidRDefault="0056292C" w:rsidP="0056292C">
      <w:pPr>
        <w:tabs>
          <w:tab w:val="left" w:pos="2610"/>
        </w:tabs>
        <w:spacing w:before="840"/>
        <w:ind w:left="3510" w:hanging="3600"/>
        <w:rPr>
          <w:rFonts w:ascii="Arial" w:hAnsi="Arial" w:cs="Arial"/>
          <w:b/>
          <w:sz w:val="22"/>
          <w:szCs w:val="22"/>
        </w:rPr>
      </w:pPr>
    </w:p>
    <w:p w14:paraId="76D8763B" w14:textId="77777777" w:rsidR="002749EA" w:rsidRDefault="002749EA" w:rsidP="002749EA">
      <w:pPr>
        <w:tabs>
          <w:tab w:val="left" w:pos="2610"/>
        </w:tabs>
        <w:spacing w:before="840"/>
        <w:jc w:val="center"/>
        <w:rPr>
          <w:rFonts w:ascii="Arial" w:hAnsi="Arial" w:cs="Arial"/>
          <w:b/>
          <w:sz w:val="22"/>
          <w:szCs w:val="22"/>
        </w:rPr>
      </w:pPr>
      <w:bookmarkStart w:id="0" w:name="_Hlk70514086"/>
      <w:r>
        <w:rPr>
          <w:rFonts w:ascii="Arial" w:hAnsi="Arial" w:cs="Arial"/>
          <w:b/>
          <w:bCs/>
          <w:sz w:val="22"/>
          <w:szCs w:val="22"/>
          <w:lang w:val="fr"/>
        </w:rPr>
        <w:t>CONVENTION POUR LA SAUVEGARDE DU</w:t>
      </w:r>
      <w:r>
        <w:rPr>
          <w:rFonts w:ascii="Arial" w:hAnsi="Arial" w:cs="Arial"/>
          <w:sz w:val="22"/>
          <w:szCs w:val="22"/>
          <w:lang w:val="fr"/>
        </w:rPr>
        <w:br/>
      </w:r>
      <w:r>
        <w:rPr>
          <w:rFonts w:ascii="Arial" w:hAnsi="Arial" w:cs="Arial"/>
          <w:b/>
          <w:bCs/>
          <w:sz w:val="22"/>
          <w:szCs w:val="22"/>
          <w:lang w:val="fr"/>
        </w:rPr>
        <w:t>PATRIMOINE CULTUREL IMMATÉRIEL</w:t>
      </w:r>
    </w:p>
    <w:p w14:paraId="693CBB07" w14:textId="4845770C" w:rsidR="002749EA" w:rsidRDefault="002749EA" w:rsidP="002749EA">
      <w:pPr>
        <w:spacing w:before="1200"/>
        <w:jc w:val="center"/>
        <w:rPr>
          <w:rFonts w:ascii="Arial" w:eastAsia="Calibri" w:hAnsi="Arial" w:cs="Arial"/>
          <w:b/>
          <w:bCs/>
          <w:sz w:val="22"/>
          <w:szCs w:val="22"/>
        </w:rPr>
      </w:pPr>
      <w:r>
        <w:rPr>
          <w:rFonts w:ascii="Arial" w:eastAsia="Calibri" w:hAnsi="Arial" w:cs="Arial"/>
          <w:b/>
          <w:bCs/>
          <w:sz w:val="22"/>
          <w:szCs w:val="22"/>
          <w:lang w:val="fr"/>
        </w:rPr>
        <w:t>Réunion d</w:t>
      </w:r>
      <w:r w:rsidR="002255D2">
        <w:rPr>
          <w:rFonts w:ascii="Arial" w:eastAsia="Calibri" w:hAnsi="Arial" w:cs="Arial"/>
          <w:b/>
          <w:bCs/>
          <w:sz w:val="22"/>
          <w:szCs w:val="22"/>
          <w:lang w:val="fr"/>
        </w:rPr>
        <w:t>’</w:t>
      </w:r>
      <w:r>
        <w:rPr>
          <w:rFonts w:ascii="Arial" w:eastAsia="Calibri" w:hAnsi="Arial" w:cs="Arial"/>
          <w:b/>
          <w:bCs/>
          <w:sz w:val="22"/>
          <w:szCs w:val="22"/>
          <w:lang w:val="fr"/>
        </w:rPr>
        <w:t>experts dans le cadre de la réflexion sur une</w:t>
      </w:r>
    </w:p>
    <w:p w14:paraId="59DFF6A6" w14:textId="2BF4E41F" w:rsidR="002749EA" w:rsidRDefault="002749EA" w:rsidP="002749EA">
      <w:pPr>
        <w:jc w:val="center"/>
        <w:rPr>
          <w:rFonts w:ascii="Arial" w:eastAsia="Calibri" w:hAnsi="Arial" w:cs="Arial"/>
          <w:b/>
          <w:bCs/>
          <w:sz w:val="22"/>
          <w:szCs w:val="22"/>
        </w:rPr>
      </w:pPr>
      <w:r>
        <w:rPr>
          <w:rFonts w:ascii="Arial" w:eastAsia="Calibri" w:hAnsi="Arial" w:cs="Arial"/>
          <w:b/>
          <w:bCs/>
          <w:sz w:val="22"/>
          <w:szCs w:val="22"/>
          <w:lang w:val="fr"/>
        </w:rPr>
        <w:t xml:space="preserve"> </w:t>
      </w:r>
      <w:proofErr w:type="gramStart"/>
      <w:r>
        <w:rPr>
          <w:rFonts w:ascii="Arial" w:eastAsia="Calibri" w:hAnsi="Arial" w:cs="Arial"/>
          <w:b/>
          <w:bCs/>
          <w:sz w:val="22"/>
          <w:szCs w:val="22"/>
          <w:lang w:val="fr"/>
        </w:rPr>
        <w:t>mise</w:t>
      </w:r>
      <w:proofErr w:type="gramEnd"/>
      <w:r>
        <w:rPr>
          <w:rFonts w:ascii="Arial" w:eastAsia="Calibri" w:hAnsi="Arial" w:cs="Arial"/>
          <w:b/>
          <w:bCs/>
          <w:sz w:val="22"/>
          <w:szCs w:val="22"/>
          <w:lang w:val="fr"/>
        </w:rPr>
        <w:t xml:space="preserve"> en œuvre plus large de l</w:t>
      </w:r>
      <w:r w:rsidR="002255D2">
        <w:rPr>
          <w:rFonts w:ascii="Arial" w:eastAsia="Calibri" w:hAnsi="Arial" w:cs="Arial"/>
          <w:b/>
          <w:bCs/>
          <w:sz w:val="22"/>
          <w:szCs w:val="22"/>
          <w:lang w:val="fr"/>
        </w:rPr>
        <w:t>’</w:t>
      </w:r>
      <w:r>
        <w:rPr>
          <w:rFonts w:ascii="Arial" w:eastAsia="Calibri" w:hAnsi="Arial" w:cs="Arial"/>
          <w:b/>
          <w:bCs/>
          <w:sz w:val="22"/>
          <w:szCs w:val="22"/>
          <w:lang w:val="fr"/>
        </w:rPr>
        <w:t>article 18 de la Convention de 2003</w:t>
      </w:r>
    </w:p>
    <w:p w14:paraId="000628DB" w14:textId="77777777" w:rsidR="002749EA" w:rsidRPr="00091385" w:rsidRDefault="002749EA" w:rsidP="002749EA">
      <w:pPr>
        <w:jc w:val="center"/>
        <w:rPr>
          <w:rFonts w:ascii="Arial" w:eastAsia="Calibri" w:hAnsi="Arial" w:cs="Arial"/>
          <w:b/>
          <w:bCs/>
          <w:sz w:val="22"/>
          <w:szCs w:val="22"/>
        </w:rPr>
      </w:pPr>
      <w:r>
        <w:rPr>
          <w:rFonts w:ascii="Arial" w:eastAsia="Calibri" w:hAnsi="Arial" w:cs="Arial"/>
          <w:b/>
          <w:bCs/>
          <w:sz w:val="22"/>
          <w:szCs w:val="22"/>
          <w:lang w:val="fr"/>
        </w:rPr>
        <w:t xml:space="preserve"> </w:t>
      </w:r>
      <w:proofErr w:type="gramStart"/>
      <w:r>
        <w:rPr>
          <w:rFonts w:ascii="Arial" w:eastAsia="Calibri" w:hAnsi="Arial" w:cs="Arial"/>
          <w:b/>
          <w:bCs/>
          <w:sz w:val="22"/>
          <w:szCs w:val="22"/>
          <w:lang w:val="fr"/>
        </w:rPr>
        <w:t>pour</w:t>
      </w:r>
      <w:proofErr w:type="gramEnd"/>
      <w:r>
        <w:rPr>
          <w:rFonts w:ascii="Arial" w:eastAsia="Calibri" w:hAnsi="Arial" w:cs="Arial"/>
          <w:b/>
          <w:bCs/>
          <w:sz w:val="22"/>
          <w:szCs w:val="22"/>
          <w:lang w:val="fr"/>
        </w:rPr>
        <w:t xml:space="preserve"> la sauvegarde du patrimoine culturel immatériel</w:t>
      </w:r>
    </w:p>
    <w:p w14:paraId="075A1847" w14:textId="3F81998B" w:rsidR="002749EA" w:rsidRDefault="002749EA" w:rsidP="002749EA">
      <w:pPr>
        <w:spacing w:before="840"/>
        <w:jc w:val="center"/>
        <w:rPr>
          <w:rFonts w:ascii="Arial" w:eastAsia="Calibri" w:hAnsi="Arial" w:cs="Arial"/>
          <w:b/>
          <w:bCs/>
          <w:sz w:val="22"/>
          <w:szCs w:val="22"/>
        </w:rPr>
      </w:pPr>
      <w:r>
        <w:rPr>
          <w:rFonts w:ascii="Arial" w:eastAsia="Calibri" w:hAnsi="Arial" w:cs="Arial"/>
          <w:b/>
          <w:bCs/>
          <w:sz w:val="22"/>
          <w:szCs w:val="22"/>
          <w:lang w:val="fr"/>
        </w:rPr>
        <w:t>RAPPORT D</w:t>
      </w:r>
      <w:r w:rsidR="0008009E">
        <w:rPr>
          <w:rFonts w:ascii="Arial" w:eastAsia="Calibri" w:hAnsi="Arial" w:cs="Arial"/>
          <w:b/>
          <w:bCs/>
          <w:sz w:val="22"/>
          <w:szCs w:val="22"/>
          <w:lang w:val="fr"/>
        </w:rPr>
        <w:t>U</w:t>
      </w:r>
      <w:r>
        <w:rPr>
          <w:rFonts w:ascii="Arial" w:eastAsia="Calibri" w:hAnsi="Arial" w:cs="Arial"/>
          <w:b/>
          <w:bCs/>
          <w:sz w:val="22"/>
          <w:szCs w:val="22"/>
          <w:lang w:val="fr"/>
        </w:rPr>
        <w:t xml:space="preserve"> GROUPE DE </w:t>
      </w:r>
      <w:r w:rsidR="0008009E">
        <w:rPr>
          <w:rFonts w:ascii="Arial" w:eastAsia="Calibri" w:hAnsi="Arial" w:cs="Arial"/>
          <w:b/>
          <w:bCs/>
          <w:sz w:val="22"/>
          <w:szCs w:val="22"/>
          <w:lang w:val="fr"/>
        </w:rPr>
        <w:t>TRAVAIL</w:t>
      </w:r>
    </w:p>
    <w:p w14:paraId="7C801828" w14:textId="6CE04E27" w:rsidR="00DF49D7" w:rsidRDefault="00DF49D7" w:rsidP="00190389">
      <w:pPr>
        <w:jc w:val="center"/>
        <w:rPr>
          <w:rFonts w:ascii="Arial" w:eastAsia="Calibri" w:hAnsi="Arial" w:cs="Arial"/>
          <w:b/>
          <w:bCs/>
          <w:sz w:val="22"/>
          <w:szCs w:val="22"/>
        </w:rPr>
      </w:pPr>
      <w:bookmarkStart w:id="1" w:name="_Hlk134035254"/>
      <w:r>
        <w:rPr>
          <w:rFonts w:ascii="Arial" w:eastAsia="Calibri" w:hAnsi="Arial" w:cs="Arial"/>
          <w:b/>
          <w:bCs/>
          <w:sz w:val="22"/>
          <w:szCs w:val="22"/>
          <w:lang w:val="fr"/>
        </w:rPr>
        <w:t xml:space="preserve">(Version </w:t>
      </w:r>
      <w:r w:rsidR="002255D2">
        <w:rPr>
          <w:rFonts w:ascii="Arial" w:eastAsia="Calibri" w:hAnsi="Arial" w:cs="Arial"/>
          <w:b/>
          <w:bCs/>
          <w:sz w:val="22"/>
          <w:szCs w:val="22"/>
          <w:lang w:val="fr"/>
        </w:rPr>
        <w:t>6 juin</w:t>
      </w:r>
      <w:r>
        <w:rPr>
          <w:rFonts w:ascii="Arial" w:eastAsia="Calibri" w:hAnsi="Arial" w:cs="Arial"/>
          <w:b/>
          <w:bCs/>
          <w:sz w:val="22"/>
          <w:szCs w:val="22"/>
          <w:lang w:val="fr"/>
        </w:rPr>
        <w:t xml:space="preserve"> 2023)</w:t>
      </w:r>
    </w:p>
    <w:bookmarkEnd w:id="1"/>
    <w:p w14:paraId="46DB0FBB" w14:textId="7AEAA762" w:rsidR="0089490D" w:rsidRPr="00091385" w:rsidRDefault="000748FF" w:rsidP="002749EA">
      <w:pPr>
        <w:spacing w:before="480"/>
        <w:ind w:right="-1"/>
        <w:jc w:val="center"/>
        <w:rPr>
          <w:rFonts w:ascii="Arial" w:eastAsia="Calibri" w:hAnsi="Arial" w:cs="Arial"/>
          <w:b/>
          <w:bCs/>
          <w:sz w:val="22"/>
          <w:szCs w:val="22"/>
        </w:rPr>
      </w:pPr>
      <w:r>
        <w:rPr>
          <w:rFonts w:ascii="Arial" w:eastAsia="Calibri" w:hAnsi="Arial" w:cs="Arial"/>
          <w:b/>
          <w:bCs/>
          <w:sz w:val="22"/>
          <w:szCs w:val="22"/>
          <w:lang w:val="fr"/>
        </w:rPr>
        <w:t>Sujet</w:t>
      </w:r>
      <w:r w:rsidR="00AF125C">
        <w:rPr>
          <w:rFonts w:ascii="Arial" w:eastAsia="Calibri" w:hAnsi="Arial" w:cs="Arial"/>
          <w:b/>
          <w:bCs/>
          <w:sz w:val="22"/>
          <w:szCs w:val="22"/>
          <w:lang w:val="fr"/>
        </w:rPr>
        <w:t xml:space="preserve"> 1 </w:t>
      </w:r>
      <w:r w:rsidR="002255D2">
        <w:rPr>
          <w:rFonts w:ascii="Arial" w:eastAsia="Calibri" w:hAnsi="Arial" w:cs="Arial"/>
          <w:b/>
          <w:bCs/>
          <w:sz w:val="22"/>
          <w:szCs w:val="22"/>
          <w:lang w:val="fr"/>
        </w:rPr>
        <w:t>–</w:t>
      </w:r>
      <w:r w:rsidR="00AF125C">
        <w:rPr>
          <w:rFonts w:ascii="Arial" w:eastAsia="Calibri" w:hAnsi="Arial" w:cs="Arial"/>
          <w:b/>
          <w:bCs/>
          <w:sz w:val="22"/>
          <w:szCs w:val="22"/>
          <w:lang w:val="fr"/>
        </w:rPr>
        <w:t xml:space="preserve"> Groupe</w:t>
      </w:r>
      <w:r w:rsidR="002255D2">
        <w:rPr>
          <w:rFonts w:ascii="Arial" w:eastAsia="Calibri" w:hAnsi="Arial" w:cs="Arial"/>
          <w:b/>
          <w:bCs/>
          <w:sz w:val="22"/>
          <w:szCs w:val="22"/>
          <w:lang w:val="fr"/>
        </w:rPr>
        <w:t xml:space="preserve"> </w:t>
      </w:r>
      <w:r w:rsidR="00AF125C">
        <w:rPr>
          <w:rFonts w:ascii="Arial" w:eastAsia="Calibri" w:hAnsi="Arial" w:cs="Arial"/>
          <w:b/>
          <w:bCs/>
          <w:sz w:val="22"/>
          <w:szCs w:val="22"/>
          <w:lang w:val="fr"/>
        </w:rPr>
        <w:t xml:space="preserve">B </w:t>
      </w:r>
    </w:p>
    <w:bookmarkEnd w:id="0"/>
    <w:p w14:paraId="1FD89575" w14:textId="7209C81A" w:rsidR="00B2172B" w:rsidRPr="00B2172B" w:rsidRDefault="00B9146E" w:rsidP="002749EA">
      <w:pPr>
        <w:spacing w:before="480"/>
        <w:ind w:right="-1"/>
        <w:jc w:val="center"/>
        <w:rPr>
          <w:rFonts w:ascii="Arial" w:hAnsi="Arial" w:cs="Arial"/>
          <w:b/>
          <w:sz w:val="22"/>
          <w:szCs w:val="22"/>
        </w:rPr>
      </w:pPr>
      <w:r>
        <w:rPr>
          <w:rFonts w:ascii="Arial" w:hAnsi="Arial" w:cs="Arial"/>
          <w:b/>
          <w:bCs/>
          <w:sz w:val="22"/>
          <w:szCs w:val="22"/>
          <w:lang w:val="fr"/>
        </w:rPr>
        <w:t>Stockholm, Suède</w:t>
      </w:r>
    </w:p>
    <w:p w14:paraId="45E52760" w14:textId="3C0D112F" w:rsidR="001F4E62" w:rsidRPr="0031456C" w:rsidRDefault="00B9146E" w:rsidP="002749EA">
      <w:pPr>
        <w:spacing w:after="1200"/>
        <w:ind w:right="-1"/>
        <w:jc w:val="center"/>
        <w:rPr>
          <w:rFonts w:ascii="Arial" w:hAnsi="Arial" w:cs="Arial"/>
          <w:b/>
          <w:sz w:val="22"/>
          <w:szCs w:val="22"/>
        </w:rPr>
      </w:pPr>
      <w:r>
        <w:rPr>
          <w:rFonts w:ascii="Arial" w:hAnsi="Arial" w:cs="Arial"/>
          <w:b/>
          <w:bCs/>
          <w:sz w:val="22"/>
          <w:szCs w:val="22"/>
          <w:lang w:val="fr"/>
        </w:rPr>
        <w:t>19 au 21 avril 2023</w:t>
      </w:r>
    </w:p>
    <w:p w14:paraId="028253B0" w14:textId="77777777" w:rsidR="00673D2E" w:rsidRPr="00F85A71" w:rsidRDefault="00673D2E" w:rsidP="00FB5F83">
      <w:pPr>
        <w:tabs>
          <w:tab w:val="left" w:pos="1320"/>
        </w:tabs>
        <w:spacing w:before="120" w:after="120"/>
        <w:jc w:val="center"/>
        <w:rPr>
          <w:rFonts w:ascii="Arial" w:hAnsi="Arial" w:cs="Arial"/>
          <w:b/>
          <w:bCs/>
          <w:sz w:val="22"/>
          <w:szCs w:val="22"/>
        </w:rPr>
      </w:pPr>
      <w:r>
        <w:rPr>
          <w:rFonts w:ascii="Arial" w:hAnsi="Arial" w:cs="Arial"/>
          <w:b/>
          <w:bCs/>
          <w:sz w:val="22"/>
          <w:szCs w:val="22"/>
          <w:lang w:val="fr"/>
        </w:rPr>
        <w:t>Membres</w:t>
      </w:r>
    </w:p>
    <w:tbl>
      <w:tblPr>
        <w:tblStyle w:val="TableGrid"/>
        <w:tblW w:w="0" w:type="auto"/>
        <w:tblLook w:val="04A0" w:firstRow="1" w:lastRow="0" w:firstColumn="1" w:lastColumn="0" w:noHBand="0" w:noVBand="1"/>
      </w:tblPr>
      <w:tblGrid>
        <w:gridCol w:w="4814"/>
        <w:gridCol w:w="4814"/>
      </w:tblGrid>
      <w:tr w:rsidR="00C814F4" w:rsidRPr="002749EA" w14:paraId="04EFCEDD" w14:textId="77777777" w:rsidTr="002749EA">
        <w:trPr>
          <w:trHeight w:val="219"/>
        </w:trPr>
        <w:tc>
          <w:tcPr>
            <w:tcW w:w="4814" w:type="dxa"/>
          </w:tcPr>
          <w:p w14:paraId="7E799B83" w14:textId="614178B3" w:rsidR="00C814F4" w:rsidRPr="002749EA" w:rsidRDefault="00C814F4" w:rsidP="002749EA">
            <w:pPr>
              <w:tabs>
                <w:tab w:val="left" w:pos="1320"/>
              </w:tabs>
              <w:spacing w:after="120"/>
              <w:rPr>
                <w:sz w:val="22"/>
                <w:szCs w:val="22"/>
              </w:rPr>
            </w:pPr>
            <w:r>
              <w:rPr>
                <w:rFonts w:ascii="Arial" w:hAnsi="Arial" w:cs="Arial"/>
                <w:sz w:val="22"/>
                <w:szCs w:val="22"/>
                <w:lang w:val="fr"/>
              </w:rPr>
              <w:t xml:space="preserve">Mme AMESCUA, Cristina </w:t>
            </w:r>
          </w:p>
        </w:tc>
        <w:tc>
          <w:tcPr>
            <w:tcW w:w="4814" w:type="dxa"/>
          </w:tcPr>
          <w:p w14:paraId="1A4FDD77" w14:textId="5F9BF242" w:rsidR="00C814F4" w:rsidRPr="002749EA" w:rsidRDefault="002749EA" w:rsidP="002749EA">
            <w:pPr>
              <w:tabs>
                <w:tab w:val="left" w:pos="1320"/>
              </w:tabs>
              <w:spacing w:after="120"/>
              <w:rPr>
                <w:strike/>
                <w:sz w:val="22"/>
                <w:szCs w:val="22"/>
              </w:rPr>
            </w:pPr>
            <w:r>
              <w:rPr>
                <w:rFonts w:ascii="Arial" w:hAnsi="Arial" w:cs="Arial"/>
                <w:sz w:val="22"/>
                <w:szCs w:val="22"/>
                <w:lang w:val="fr"/>
              </w:rPr>
              <w:t>Mme NYSTRÖM, Maria</w:t>
            </w:r>
          </w:p>
        </w:tc>
      </w:tr>
      <w:tr w:rsidR="00C814F4" w:rsidRPr="002749EA" w14:paraId="218CD482" w14:textId="77777777" w:rsidTr="002749EA">
        <w:trPr>
          <w:trHeight w:val="237"/>
        </w:trPr>
        <w:tc>
          <w:tcPr>
            <w:tcW w:w="4814" w:type="dxa"/>
          </w:tcPr>
          <w:p w14:paraId="7EDFA356" w14:textId="0656B445" w:rsidR="00C814F4" w:rsidRPr="002749EA" w:rsidRDefault="008F5FDA" w:rsidP="002749EA">
            <w:pPr>
              <w:tabs>
                <w:tab w:val="left" w:pos="1320"/>
              </w:tabs>
              <w:spacing w:after="120"/>
              <w:rPr>
                <w:sz w:val="22"/>
                <w:szCs w:val="22"/>
              </w:rPr>
            </w:pPr>
            <w:r>
              <w:rPr>
                <w:rFonts w:ascii="Arial" w:hAnsi="Arial" w:cs="Arial"/>
                <w:sz w:val="22"/>
                <w:szCs w:val="22"/>
                <w:lang w:val="fr"/>
              </w:rPr>
              <w:t xml:space="preserve">Mme DEACON, Harriet </w:t>
            </w:r>
          </w:p>
        </w:tc>
        <w:tc>
          <w:tcPr>
            <w:tcW w:w="4814" w:type="dxa"/>
          </w:tcPr>
          <w:p w14:paraId="648A1D24" w14:textId="05E26A82" w:rsidR="00C814F4" w:rsidRPr="002749EA" w:rsidRDefault="00C814F4" w:rsidP="002749EA">
            <w:pPr>
              <w:tabs>
                <w:tab w:val="left" w:pos="1320"/>
              </w:tabs>
              <w:spacing w:after="120"/>
              <w:rPr>
                <w:sz w:val="22"/>
                <w:szCs w:val="22"/>
              </w:rPr>
            </w:pPr>
            <w:r>
              <w:rPr>
                <w:rFonts w:ascii="Arial" w:hAnsi="Arial" w:cs="Arial"/>
                <w:sz w:val="22"/>
                <w:szCs w:val="22"/>
                <w:lang w:val="fr"/>
              </w:rPr>
              <w:t>M. RWAGWERI, Stephen</w:t>
            </w:r>
          </w:p>
        </w:tc>
      </w:tr>
      <w:tr w:rsidR="00C814F4" w:rsidRPr="002749EA" w14:paraId="6EE25D41" w14:textId="77777777" w:rsidTr="002749EA">
        <w:trPr>
          <w:trHeight w:val="141"/>
        </w:trPr>
        <w:tc>
          <w:tcPr>
            <w:tcW w:w="4814" w:type="dxa"/>
          </w:tcPr>
          <w:p w14:paraId="32C13E51" w14:textId="0BBCA317" w:rsidR="00C814F4" w:rsidRPr="002749EA" w:rsidRDefault="008F5FDA" w:rsidP="002749EA">
            <w:pPr>
              <w:tabs>
                <w:tab w:val="left" w:pos="1320"/>
              </w:tabs>
              <w:spacing w:after="120"/>
              <w:rPr>
                <w:sz w:val="22"/>
                <w:szCs w:val="22"/>
              </w:rPr>
            </w:pPr>
            <w:r>
              <w:rPr>
                <w:rFonts w:ascii="Arial" w:hAnsi="Arial" w:cs="Arial"/>
                <w:sz w:val="22"/>
                <w:szCs w:val="22"/>
                <w:lang w:val="fr"/>
              </w:rPr>
              <w:t>M. JACOBS, Marc (Facilitateur)</w:t>
            </w:r>
          </w:p>
        </w:tc>
        <w:tc>
          <w:tcPr>
            <w:tcW w:w="4814" w:type="dxa"/>
          </w:tcPr>
          <w:p w14:paraId="3A808105" w14:textId="1ADEAD9D" w:rsidR="00C814F4" w:rsidRPr="002749EA" w:rsidRDefault="00C814F4" w:rsidP="002749EA">
            <w:pPr>
              <w:tabs>
                <w:tab w:val="left" w:pos="1320"/>
              </w:tabs>
              <w:spacing w:after="120"/>
              <w:rPr>
                <w:sz w:val="22"/>
                <w:szCs w:val="22"/>
              </w:rPr>
            </w:pPr>
            <w:r>
              <w:rPr>
                <w:rFonts w:asciiTheme="minorBidi" w:hAnsiTheme="minorBidi"/>
                <w:sz w:val="22"/>
                <w:szCs w:val="22"/>
                <w:lang w:val="fr"/>
              </w:rPr>
              <w:t>Mme</w:t>
            </w:r>
            <w:r>
              <w:rPr>
                <w:rFonts w:ascii="Arial" w:hAnsi="Arial"/>
                <w:sz w:val="22"/>
                <w:szCs w:val="22"/>
                <w:lang w:val="fr"/>
              </w:rPr>
              <w:t xml:space="preserve"> </w:t>
            </w:r>
            <w:r>
              <w:rPr>
                <w:rFonts w:asciiTheme="minorBidi" w:hAnsiTheme="minorBidi"/>
                <w:sz w:val="22"/>
                <w:szCs w:val="22"/>
                <w:lang w:val="fr"/>
              </w:rPr>
              <w:t>VAIVADE, Anita</w:t>
            </w:r>
          </w:p>
        </w:tc>
      </w:tr>
      <w:tr w:rsidR="00C814F4" w:rsidRPr="002749EA" w14:paraId="3BB97817" w14:textId="77777777" w:rsidTr="002749EA">
        <w:trPr>
          <w:trHeight w:val="187"/>
        </w:trPr>
        <w:tc>
          <w:tcPr>
            <w:tcW w:w="4814" w:type="dxa"/>
          </w:tcPr>
          <w:p w14:paraId="7D20688B" w14:textId="52767496" w:rsidR="00C814F4" w:rsidRPr="002749EA" w:rsidRDefault="008F5FDA" w:rsidP="002749EA">
            <w:pPr>
              <w:tabs>
                <w:tab w:val="left" w:pos="1320"/>
              </w:tabs>
              <w:spacing w:after="120"/>
              <w:rPr>
                <w:sz w:val="22"/>
                <w:szCs w:val="22"/>
              </w:rPr>
            </w:pPr>
            <w:r>
              <w:rPr>
                <w:rFonts w:ascii="Arial" w:hAnsi="Arial" w:cs="Arial"/>
                <w:sz w:val="22"/>
                <w:szCs w:val="22"/>
                <w:lang w:val="fr"/>
              </w:rPr>
              <w:t>Mme KUMINKOVÁ, Eva</w:t>
            </w:r>
          </w:p>
        </w:tc>
        <w:tc>
          <w:tcPr>
            <w:tcW w:w="4814" w:type="dxa"/>
          </w:tcPr>
          <w:p w14:paraId="5F5785EB" w14:textId="64B340C9" w:rsidR="00C814F4" w:rsidRPr="002749EA" w:rsidRDefault="00C814F4" w:rsidP="002749EA">
            <w:pPr>
              <w:tabs>
                <w:tab w:val="left" w:pos="1320"/>
              </w:tabs>
              <w:spacing w:after="120"/>
              <w:rPr>
                <w:sz w:val="22"/>
                <w:szCs w:val="22"/>
              </w:rPr>
            </w:pPr>
            <w:r>
              <w:rPr>
                <w:rFonts w:ascii="Arial" w:hAnsi="Arial" w:cs="Arial"/>
                <w:sz w:val="22"/>
                <w:szCs w:val="22"/>
                <w:lang w:val="fr"/>
              </w:rPr>
              <w:t>Mme YEW, Bernadette (Rapporteur)</w:t>
            </w:r>
          </w:p>
        </w:tc>
      </w:tr>
      <w:tr w:rsidR="00C814F4" w:rsidRPr="000C3B54" w14:paraId="1313D1DE" w14:textId="77777777" w:rsidTr="002749EA">
        <w:trPr>
          <w:trHeight w:val="220"/>
        </w:trPr>
        <w:tc>
          <w:tcPr>
            <w:tcW w:w="4814" w:type="dxa"/>
          </w:tcPr>
          <w:p w14:paraId="5540DD86" w14:textId="2702A0BD" w:rsidR="00C814F4" w:rsidRPr="00481FB1" w:rsidRDefault="008F5FDA" w:rsidP="002749EA">
            <w:pPr>
              <w:tabs>
                <w:tab w:val="left" w:pos="1320"/>
              </w:tabs>
              <w:spacing w:after="120"/>
              <w:rPr>
                <w:sz w:val="22"/>
                <w:szCs w:val="22"/>
                <w:lang w:val="es-ES"/>
              </w:rPr>
            </w:pPr>
            <w:r w:rsidRPr="00481FB1">
              <w:rPr>
                <w:rFonts w:ascii="Arial" w:hAnsi="Arial" w:cs="Arial"/>
                <w:sz w:val="22"/>
                <w:szCs w:val="22"/>
                <w:lang w:val="es-ES"/>
              </w:rPr>
              <w:t>M. MARTINEZ SANMARTÍN, Luis Pablo</w:t>
            </w:r>
          </w:p>
        </w:tc>
        <w:tc>
          <w:tcPr>
            <w:tcW w:w="4814" w:type="dxa"/>
          </w:tcPr>
          <w:p w14:paraId="347F4F59" w14:textId="4BC94299" w:rsidR="00C814F4" w:rsidRPr="00481FB1" w:rsidRDefault="00C814F4" w:rsidP="002749EA">
            <w:pPr>
              <w:tabs>
                <w:tab w:val="left" w:pos="1320"/>
              </w:tabs>
              <w:spacing w:after="120"/>
              <w:rPr>
                <w:strike/>
                <w:sz w:val="22"/>
                <w:szCs w:val="22"/>
                <w:lang w:val="es-ES"/>
              </w:rPr>
            </w:pPr>
          </w:p>
        </w:tc>
      </w:tr>
    </w:tbl>
    <w:p w14:paraId="11A8D4D6" w14:textId="6C6D2334" w:rsidR="00F85A71" w:rsidRPr="00481FB1" w:rsidRDefault="00F85A71" w:rsidP="00673D2E">
      <w:pPr>
        <w:tabs>
          <w:tab w:val="left" w:pos="1320"/>
        </w:tabs>
        <w:jc w:val="center"/>
        <w:rPr>
          <w:lang w:val="es-ES"/>
        </w:rPr>
      </w:pPr>
    </w:p>
    <w:p w14:paraId="31EC859E" w14:textId="77777777" w:rsidR="00F85A71" w:rsidRPr="00481FB1" w:rsidRDefault="00F85A71">
      <w:pPr>
        <w:rPr>
          <w:lang w:val="es-ES"/>
        </w:rPr>
      </w:pPr>
      <w:r w:rsidRPr="00481FB1">
        <w:rPr>
          <w:lang w:val="es-ES"/>
        </w:rPr>
        <w:br w:type="page"/>
      </w:r>
    </w:p>
    <w:tbl>
      <w:tblPr>
        <w:tblStyle w:val="TableGrid"/>
        <w:tblW w:w="0" w:type="auto"/>
        <w:tblInd w:w="-5" w:type="dxa"/>
        <w:tblLook w:val="04A0" w:firstRow="1" w:lastRow="0" w:firstColumn="1" w:lastColumn="0" w:noHBand="0" w:noVBand="1"/>
      </w:tblPr>
      <w:tblGrid>
        <w:gridCol w:w="9633"/>
      </w:tblGrid>
      <w:tr w:rsidR="00F85A71" w:rsidRPr="00190389" w14:paraId="1E1B9FDF" w14:textId="77777777" w:rsidTr="00CA6BEF">
        <w:trPr>
          <w:trHeight w:hRule="exact" w:val="905"/>
        </w:trPr>
        <w:tc>
          <w:tcPr>
            <w:tcW w:w="9633" w:type="dxa"/>
            <w:shd w:val="clear" w:color="auto" w:fill="F2F2F2" w:themeFill="background1" w:themeFillShade="F2"/>
            <w:vAlign w:val="center"/>
          </w:tcPr>
          <w:p w14:paraId="3E27F62B" w14:textId="7097D5F2" w:rsidR="00F85A71" w:rsidRPr="00F93F7F" w:rsidRDefault="00175021" w:rsidP="00605EA7">
            <w:pPr>
              <w:jc w:val="center"/>
              <w:rPr>
                <w:rFonts w:asciiTheme="minorBidi" w:eastAsiaTheme="minorHAnsi" w:hAnsiTheme="minorBidi" w:cstheme="minorBidi"/>
                <w:b/>
                <w:bCs/>
                <w:sz w:val="32"/>
                <w:szCs w:val="32"/>
              </w:rPr>
            </w:pPr>
            <w:r>
              <w:rPr>
                <w:rFonts w:asciiTheme="minorBidi" w:hAnsiTheme="minorBidi" w:cstheme="minorBidi"/>
                <w:b/>
                <w:bCs/>
                <w:sz w:val="32"/>
                <w:szCs w:val="32"/>
                <w:lang w:val="fr"/>
              </w:rPr>
              <w:lastRenderedPageBreak/>
              <w:t>Sujet 1 : Améliorer l</w:t>
            </w:r>
            <w:r w:rsidR="002255D2">
              <w:rPr>
                <w:rFonts w:asciiTheme="minorBidi" w:hAnsiTheme="minorBidi" w:cstheme="minorBidi"/>
                <w:b/>
                <w:bCs/>
                <w:sz w:val="32"/>
                <w:szCs w:val="32"/>
                <w:lang w:val="fr"/>
              </w:rPr>
              <w:t>’</w:t>
            </w:r>
            <w:r>
              <w:rPr>
                <w:rFonts w:asciiTheme="minorBidi" w:hAnsiTheme="minorBidi" w:cstheme="minorBidi"/>
                <w:b/>
                <w:bCs/>
                <w:sz w:val="32"/>
                <w:szCs w:val="32"/>
                <w:lang w:val="fr"/>
              </w:rPr>
              <w:t>accès et la visibilité du Registre de bonnes pratiques de sauvegarde</w:t>
            </w:r>
          </w:p>
        </w:tc>
      </w:tr>
      <w:tr w:rsidR="00F85A71" w:rsidRPr="00190389" w14:paraId="7193E99C" w14:textId="77777777" w:rsidTr="007914C8">
        <w:trPr>
          <w:trHeight w:val="3534"/>
        </w:trPr>
        <w:tc>
          <w:tcPr>
            <w:tcW w:w="9633" w:type="dxa"/>
          </w:tcPr>
          <w:p w14:paraId="007ED23B" w14:textId="5497DD49" w:rsidR="00B4175E" w:rsidRPr="00B4175E" w:rsidRDefault="00B4175E" w:rsidP="00190389">
            <w:pPr>
              <w:rPr>
                <w:snapToGrid w:val="0"/>
              </w:rPr>
            </w:pPr>
          </w:p>
          <w:p w14:paraId="2CEB98E7" w14:textId="34B1B6A7" w:rsidR="00B04ABF" w:rsidRPr="00D5412F" w:rsidRDefault="00B04ABF" w:rsidP="00B04ABF">
            <w:pPr>
              <w:rPr>
                <w:rFonts w:ascii="Arial" w:hAnsi="Arial" w:cs="Arial"/>
                <w:snapToGrid w:val="0"/>
                <w:color w:val="000000" w:themeColor="text1"/>
                <w:sz w:val="22"/>
                <w:szCs w:val="22"/>
              </w:rPr>
            </w:pPr>
            <w:r w:rsidRPr="00D5412F">
              <w:rPr>
                <w:rFonts w:ascii="Arial" w:hAnsi="Arial" w:cs="Arial"/>
                <w:snapToGrid w:val="0"/>
                <w:color w:val="000000" w:themeColor="text1"/>
                <w:sz w:val="22"/>
                <w:szCs w:val="22"/>
                <w:lang w:val="fr"/>
              </w:rPr>
              <w:t>Les points clés suivants ont été soumis à discussion afin d</w:t>
            </w:r>
            <w:r w:rsidR="002255D2" w:rsidRPr="00D5412F">
              <w:rPr>
                <w:rFonts w:ascii="Arial" w:hAnsi="Arial" w:cs="Arial"/>
                <w:snapToGrid w:val="0"/>
                <w:color w:val="000000" w:themeColor="text1"/>
                <w:sz w:val="22"/>
                <w:szCs w:val="22"/>
                <w:lang w:val="fr"/>
              </w:rPr>
              <w:t>’</w:t>
            </w:r>
            <w:r w:rsidRPr="00D5412F">
              <w:rPr>
                <w:rFonts w:ascii="Arial" w:hAnsi="Arial" w:cs="Arial"/>
                <w:snapToGrid w:val="0"/>
                <w:color w:val="000000" w:themeColor="text1"/>
                <w:sz w:val="22"/>
                <w:szCs w:val="22"/>
                <w:lang w:val="fr"/>
              </w:rPr>
              <w:t>orienter et de proposer des solutions pour l</w:t>
            </w:r>
            <w:r w:rsidR="002255D2" w:rsidRPr="00D5412F">
              <w:rPr>
                <w:rFonts w:ascii="Arial" w:hAnsi="Arial" w:cs="Arial"/>
                <w:snapToGrid w:val="0"/>
                <w:color w:val="000000" w:themeColor="text1"/>
                <w:sz w:val="22"/>
                <w:szCs w:val="22"/>
                <w:lang w:val="fr"/>
              </w:rPr>
              <w:t>’</w:t>
            </w:r>
            <w:r w:rsidRPr="00D5412F">
              <w:rPr>
                <w:rFonts w:ascii="Arial" w:hAnsi="Arial" w:cs="Arial"/>
                <w:snapToGrid w:val="0"/>
                <w:color w:val="000000" w:themeColor="text1"/>
                <w:sz w:val="22"/>
                <w:szCs w:val="22"/>
                <w:lang w:val="fr"/>
              </w:rPr>
              <w:t xml:space="preserve">accessibilité, y compris des modifications du formulaire de candidature : </w:t>
            </w:r>
          </w:p>
          <w:p w14:paraId="17A88E5C" w14:textId="7125D422" w:rsidR="00B04ABF" w:rsidRPr="00D5412F" w:rsidRDefault="00B04ABF" w:rsidP="0083092F">
            <w:pPr>
              <w:pStyle w:val="ListParagraph"/>
              <w:numPr>
                <w:ilvl w:val="0"/>
                <w:numId w:val="5"/>
              </w:numPr>
              <w:rPr>
                <w:rFonts w:ascii="Arial" w:hAnsi="Arial" w:cs="Arial"/>
                <w:snapToGrid w:val="0"/>
                <w:color w:val="000000" w:themeColor="text1"/>
                <w:sz w:val="22"/>
                <w:szCs w:val="22"/>
              </w:rPr>
            </w:pPr>
            <w:r w:rsidRPr="00D5412F">
              <w:rPr>
                <w:rFonts w:ascii="Arial" w:hAnsi="Arial" w:cs="Arial"/>
                <w:snapToGrid w:val="0"/>
                <w:color w:val="000000" w:themeColor="text1"/>
                <w:sz w:val="22"/>
                <w:szCs w:val="22"/>
                <w:lang w:val="fr"/>
              </w:rPr>
              <w:t>Quels sont les gains et solutions rapides, les mesures d</w:t>
            </w:r>
            <w:r w:rsidR="002255D2" w:rsidRPr="00D5412F">
              <w:rPr>
                <w:rFonts w:ascii="Arial" w:hAnsi="Arial" w:cs="Arial"/>
                <w:snapToGrid w:val="0"/>
                <w:color w:val="000000" w:themeColor="text1"/>
                <w:sz w:val="22"/>
                <w:szCs w:val="22"/>
                <w:lang w:val="fr"/>
              </w:rPr>
              <w:t>’</w:t>
            </w:r>
            <w:r w:rsidRPr="00D5412F">
              <w:rPr>
                <w:rFonts w:ascii="Arial" w:hAnsi="Arial" w:cs="Arial"/>
                <w:snapToGrid w:val="0"/>
                <w:color w:val="000000" w:themeColor="text1"/>
                <w:sz w:val="22"/>
                <w:szCs w:val="22"/>
                <w:lang w:val="fr"/>
              </w:rPr>
              <w:t>accompagnement ou les outils supplémentaires ? Quelle est l</w:t>
            </w:r>
            <w:r w:rsidR="002255D2" w:rsidRPr="00D5412F">
              <w:rPr>
                <w:rFonts w:ascii="Arial" w:hAnsi="Arial" w:cs="Arial"/>
                <w:snapToGrid w:val="0"/>
                <w:color w:val="000000" w:themeColor="text1"/>
                <w:sz w:val="22"/>
                <w:szCs w:val="22"/>
                <w:lang w:val="fr"/>
              </w:rPr>
              <w:t>’</w:t>
            </w:r>
            <w:r w:rsidRPr="00D5412F">
              <w:rPr>
                <w:rFonts w:ascii="Arial" w:hAnsi="Arial" w:cs="Arial"/>
                <w:snapToGrid w:val="0"/>
                <w:color w:val="000000" w:themeColor="text1"/>
                <w:sz w:val="22"/>
                <w:szCs w:val="22"/>
                <w:lang w:val="fr"/>
              </w:rPr>
              <w:t xml:space="preserve">importance de la représentation équitable dans le Registre ? </w:t>
            </w:r>
          </w:p>
          <w:p w14:paraId="7107F870" w14:textId="0368E8CB" w:rsidR="00B04ABF" w:rsidRPr="00D5412F" w:rsidRDefault="00B04ABF" w:rsidP="0083092F">
            <w:pPr>
              <w:pStyle w:val="ListParagraph"/>
              <w:numPr>
                <w:ilvl w:val="0"/>
                <w:numId w:val="5"/>
              </w:numPr>
              <w:rPr>
                <w:rFonts w:ascii="Arial" w:hAnsi="Arial" w:cs="Arial"/>
                <w:snapToGrid w:val="0"/>
                <w:color w:val="000000" w:themeColor="text1"/>
                <w:sz w:val="22"/>
                <w:szCs w:val="22"/>
              </w:rPr>
            </w:pPr>
            <w:r w:rsidRPr="00D5412F">
              <w:rPr>
                <w:rFonts w:ascii="Arial" w:hAnsi="Arial" w:cs="Arial"/>
                <w:snapToGrid w:val="0"/>
                <w:color w:val="000000" w:themeColor="text1"/>
                <w:sz w:val="22"/>
                <w:szCs w:val="22"/>
                <w:lang w:val="fr"/>
              </w:rPr>
              <w:t xml:space="preserve">Comment mettre en place des mécanismes de suivi et de sélection des bonnes pratiques ? </w:t>
            </w:r>
          </w:p>
          <w:p w14:paraId="18EA3B53" w14:textId="77777777" w:rsidR="00B04ABF" w:rsidRPr="00D5412F" w:rsidRDefault="00B04ABF" w:rsidP="0083092F">
            <w:pPr>
              <w:pStyle w:val="ListParagraph"/>
              <w:numPr>
                <w:ilvl w:val="0"/>
                <w:numId w:val="5"/>
              </w:numPr>
              <w:rPr>
                <w:rFonts w:ascii="Arial" w:hAnsi="Arial" w:cs="Arial"/>
                <w:snapToGrid w:val="0"/>
                <w:color w:val="000000" w:themeColor="text1"/>
                <w:sz w:val="22"/>
                <w:szCs w:val="22"/>
              </w:rPr>
            </w:pPr>
            <w:r w:rsidRPr="00D5412F">
              <w:rPr>
                <w:rFonts w:ascii="Arial" w:hAnsi="Arial" w:cs="Arial"/>
                <w:snapToGrid w:val="0"/>
                <w:color w:val="000000" w:themeColor="text1"/>
                <w:sz w:val="22"/>
                <w:szCs w:val="22"/>
                <w:lang w:val="fr"/>
              </w:rPr>
              <w:t xml:space="preserve">Ajustements possibles du formulaire </w:t>
            </w:r>
          </w:p>
          <w:p w14:paraId="79882F05" w14:textId="53480D0B" w:rsidR="00844D18" w:rsidRPr="00D5412F" w:rsidRDefault="00B04ABF" w:rsidP="0083092F">
            <w:pPr>
              <w:pStyle w:val="ListParagraph"/>
              <w:numPr>
                <w:ilvl w:val="0"/>
                <w:numId w:val="5"/>
              </w:numPr>
              <w:rPr>
                <w:rFonts w:ascii="Arial" w:hAnsi="Arial" w:cs="Arial"/>
                <w:snapToGrid w:val="0"/>
                <w:color w:val="000000" w:themeColor="text1"/>
                <w:sz w:val="22"/>
                <w:szCs w:val="22"/>
              </w:rPr>
            </w:pPr>
            <w:r w:rsidRPr="00D5412F">
              <w:rPr>
                <w:rFonts w:ascii="Arial" w:hAnsi="Arial" w:cs="Arial"/>
                <w:snapToGrid w:val="0"/>
                <w:color w:val="000000" w:themeColor="text1"/>
                <w:sz w:val="22"/>
                <w:szCs w:val="22"/>
                <w:lang w:val="fr"/>
              </w:rPr>
              <w:t>Mesures visant à améliorer l</w:t>
            </w:r>
            <w:r w:rsidR="002255D2" w:rsidRPr="00D5412F">
              <w:rPr>
                <w:rFonts w:ascii="Arial" w:hAnsi="Arial" w:cs="Arial"/>
                <w:snapToGrid w:val="0"/>
                <w:color w:val="000000" w:themeColor="text1"/>
                <w:sz w:val="22"/>
                <w:szCs w:val="22"/>
                <w:lang w:val="fr"/>
              </w:rPr>
              <w:t>’</w:t>
            </w:r>
            <w:r w:rsidRPr="00D5412F">
              <w:rPr>
                <w:rFonts w:ascii="Arial" w:hAnsi="Arial" w:cs="Arial"/>
                <w:snapToGrid w:val="0"/>
                <w:color w:val="000000" w:themeColor="text1"/>
                <w:sz w:val="22"/>
                <w:szCs w:val="22"/>
                <w:lang w:val="fr"/>
              </w:rPr>
              <w:t xml:space="preserve">accès au Registre </w:t>
            </w:r>
          </w:p>
          <w:p w14:paraId="318E150C" w14:textId="77777777" w:rsidR="00B04ABF" w:rsidRPr="00B04ABF" w:rsidRDefault="00B04ABF" w:rsidP="00B04ABF">
            <w:pPr>
              <w:pStyle w:val="ListParagraph"/>
              <w:rPr>
                <w:rFonts w:ascii="Arial" w:hAnsi="Arial" w:cs="Arial"/>
                <w:snapToGrid w:val="0"/>
                <w:sz w:val="22"/>
                <w:szCs w:val="22"/>
              </w:rPr>
            </w:pPr>
          </w:p>
          <w:p w14:paraId="0A4ECDF1" w14:textId="0E294008" w:rsidR="00B04ABF" w:rsidRPr="000C3B54" w:rsidRDefault="00F80E7A" w:rsidP="000C3B54">
            <w:pPr>
              <w:pStyle w:val="ListParagraph"/>
              <w:numPr>
                <w:ilvl w:val="0"/>
                <w:numId w:val="6"/>
              </w:numPr>
              <w:rPr>
                <w:rFonts w:ascii="Arial" w:hAnsi="Arial" w:cs="Arial"/>
                <w:b/>
                <w:bCs/>
                <w:snapToGrid w:val="0"/>
                <w:sz w:val="22"/>
                <w:szCs w:val="22"/>
                <w:lang w:val="fr"/>
              </w:rPr>
            </w:pPr>
            <w:r w:rsidRPr="000C3B54">
              <w:rPr>
                <w:rFonts w:ascii="Arial" w:hAnsi="Arial" w:cs="Arial"/>
                <w:b/>
                <w:bCs/>
                <w:snapToGrid w:val="0"/>
                <w:sz w:val="22"/>
                <w:szCs w:val="22"/>
                <w:lang w:val="fr"/>
              </w:rPr>
              <w:t>Quelles sont les solutions rapides, les mesures d</w:t>
            </w:r>
            <w:r w:rsidR="002255D2" w:rsidRPr="000C3B54">
              <w:rPr>
                <w:rFonts w:ascii="Arial" w:hAnsi="Arial" w:cs="Arial"/>
                <w:b/>
                <w:bCs/>
                <w:snapToGrid w:val="0"/>
                <w:sz w:val="22"/>
                <w:szCs w:val="22"/>
                <w:lang w:val="fr"/>
              </w:rPr>
              <w:t>’</w:t>
            </w:r>
            <w:r w:rsidRPr="000C3B54">
              <w:rPr>
                <w:rFonts w:ascii="Arial" w:hAnsi="Arial" w:cs="Arial"/>
                <w:b/>
                <w:bCs/>
                <w:snapToGrid w:val="0"/>
                <w:sz w:val="22"/>
                <w:szCs w:val="22"/>
                <w:lang w:val="fr"/>
              </w:rPr>
              <w:t xml:space="preserve">accompagnement ou les outils supplémentaires pour accroître la visibilité du Registre ? </w:t>
            </w:r>
          </w:p>
          <w:p w14:paraId="5E5D34D1" w14:textId="5D0FD237" w:rsidR="00074096" w:rsidRPr="00074096" w:rsidRDefault="00074096" w:rsidP="0083092F">
            <w:pPr>
              <w:pStyle w:val="ListParagraph"/>
              <w:numPr>
                <w:ilvl w:val="0"/>
                <w:numId w:val="5"/>
              </w:numPr>
              <w:rPr>
                <w:rFonts w:ascii="Arial" w:hAnsi="Arial" w:cs="Arial"/>
                <w:b/>
                <w:bCs/>
                <w:snapToGrid w:val="0"/>
                <w:sz w:val="22"/>
                <w:szCs w:val="22"/>
              </w:rPr>
            </w:pPr>
            <w:r>
              <w:rPr>
                <w:rFonts w:ascii="Arial" w:hAnsi="Arial" w:cs="Arial"/>
                <w:snapToGrid w:val="0"/>
                <w:sz w:val="22"/>
                <w:szCs w:val="22"/>
                <w:lang w:val="fr"/>
              </w:rPr>
              <w:t>L</w:t>
            </w:r>
            <w:r w:rsidR="002255D2">
              <w:rPr>
                <w:rFonts w:ascii="Arial" w:hAnsi="Arial" w:cs="Arial"/>
                <w:snapToGrid w:val="0"/>
                <w:sz w:val="22"/>
                <w:szCs w:val="22"/>
                <w:lang w:val="fr"/>
              </w:rPr>
              <w:t>’</w:t>
            </w:r>
            <w:r>
              <w:rPr>
                <w:rFonts w:ascii="Arial" w:hAnsi="Arial" w:cs="Arial"/>
                <w:snapToGrid w:val="0"/>
                <w:sz w:val="22"/>
                <w:szCs w:val="22"/>
                <w:lang w:val="fr"/>
              </w:rPr>
              <w:t>UNESCO devrait mener une campagne spécifique, en collaboration avec les États parties, afin d</w:t>
            </w:r>
            <w:r w:rsidR="002255D2">
              <w:rPr>
                <w:rFonts w:ascii="Arial" w:hAnsi="Arial" w:cs="Arial"/>
                <w:snapToGrid w:val="0"/>
                <w:sz w:val="22"/>
                <w:szCs w:val="22"/>
                <w:lang w:val="fr"/>
              </w:rPr>
              <w:t>’</w:t>
            </w:r>
            <w:r>
              <w:rPr>
                <w:rFonts w:ascii="Arial" w:hAnsi="Arial" w:cs="Arial"/>
                <w:snapToGrid w:val="0"/>
                <w:sz w:val="22"/>
                <w:szCs w:val="22"/>
                <w:lang w:val="fr"/>
              </w:rPr>
              <w:t>accroître l</w:t>
            </w:r>
            <w:r w:rsidR="002255D2">
              <w:rPr>
                <w:rFonts w:ascii="Arial" w:hAnsi="Arial" w:cs="Arial"/>
                <w:snapToGrid w:val="0"/>
                <w:sz w:val="22"/>
                <w:szCs w:val="22"/>
                <w:lang w:val="fr"/>
              </w:rPr>
              <w:t>’</w:t>
            </w:r>
            <w:r>
              <w:rPr>
                <w:rFonts w:ascii="Arial" w:hAnsi="Arial" w:cs="Arial"/>
                <w:snapToGrid w:val="0"/>
                <w:sz w:val="22"/>
                <w:szCs w:val="22"/>
                <w:lang w:val="fr"/>
              </w:rPr>
              <w:t>importance du Registre ou de le promouvoir, en organisant par exemple une année dédiée au Registre. Cette campagne devrait également encourager les États parties et les organisations et communautés</w:t>
            </w:r>
            <w:r w:rsidR="002255D2">
              <w:rPr>
                <w:rFonts w:ascii="Arial" w:hAnsi="Arial" w:cs="Arial"/>
                <w:snapToGrid w:val="0"/>
                <w:sz w:val="22"/>
                <w:szCs w:val="22"/>
                <w:lang w:val="fr"/>
              </w:rPr>
              <w:t xml:space="preserve"> c</w:t>
            </w:r>
            <w:r>
              <w:rPr>
                <w:rFonts w:ascii="Arial" w:hAnsi="Arial" w:cs="Arial"/>
                <w:snapToGrid w:val="0"/>
                <w:sz w:val="22"/>
                <w:szCs w:val="22"/>
                <w:lang w:val="fr"/>
              </w:rPr>
              <w:t xml:space="preserve">oncernées à partager leurs expériences et à apprendre les uns </w:t>
            </w:r>
            <w:proofErr w:type="gramStart"/>
            <w:r>
              <w:rPr>
                <w:rFonts w:ascii="Arial" w:hAnsi="Arial" w:cs="Arial"/>
                <w:snapToGrid w:val="0"/>
                <w:sz w:val="22"/>
                <w:szCs w:val="22"/>
                <w:lang w:val="fr"/>
              </w:rPr>
              <w:t>des autres</w:t>
            </w:r>
            <w:proofErr w:type="gramEnd"/>
            <w:r>
              <w:rPr>
                <w:rFonts w:ascii="Arial" w:hAnsi="Arial" w:cs="Arial"/>
                <w:snapToGrid w:val="0"/>
                <w:sz w:val="22"/>
                <w:szCs w:val="22"/>
                <w:lang w:val="fr"/>
              </w:rPr>
              <w:t>.</w:t>
            </w:r>
          </w:p>
          <w:p w14:paraId="46F9CA1D" w14:textId="00B8A705" w:rsidR="007914C8" w:rsidRPr="007914C8" w:rsidRDefault="00074096" w:rsidP="0083092F">
            <w:pPr>
              <w:pStyle w:val="ListParagraph"/>
              <w:numPr>
                <w:ilvl w:val="0"/>
                <w:numId w:val="5"/>
              </w:numPr>
              <w:rPr>
                <w:rFonts w:ascii="Arial" w:hAnsi="Arial" w:cs="Arial"/>
                <w:b/>
                <w:bCs/>
                <w:snapToGrid w:val="0"/>
                <w:sz w:val="22"/>
                <w:szCs w:val="22"/>
              </w:rPr>
            </w:pPr>
            <w:r>
              <w:rPr>
                <w:rFonts w:ascii="Arial" w:hAnsi="Arial" w:cs="Arial"/>
                <w:snapToGrid w:val="0"/>
                <w:sz w:val="22"/>
                <w:szCs w:val="22"/>
                <w:lang w:val="fr"/>
              </w:rPr>
              <w:t>Une campagne d</w:t>
            </w:r>
            <w:r w:rsidR="002255D2">
              <w:rPr>
                <w:rFonts w:ascii="Arial" w:hAnsi="Arial" w:cs="Arial"/>
                <w:snapToGrid w:val="0"/>
                <w:sz w:val="22"/>
                <w:szCs w:val="22"/>
                <w:lang w:val="fr"/>
              </w:rPr>
              <w:t>’</w:t>
            </w:r>
            <w:r>
              <w:rPr>
                <w:rFonts w:ascii="Arial" w:hAnsi="Arial" w:cs="Arial"/>
                <w:snapToGrid w:val="0"/>
                <w:sz w:val="22"/>
                <w:szCs w:val="22"/>
                <w:lang w:val="fr"/>
              </w:rPr>
              <w:t>information ou similaire devrait être menée pour sensibiliser les États parties aux ressources financières pour préparer des propositions pour le Registre ; actuellement, il semble qu</w:t>
            </w:r>
            <w:r w:rsidR="002255D2">
              <w:rPr>
                <w:rFonts w:ascii="Arial" w:hAnsi="Arial" w:cs="Arial"/>
                <w:snapToGrid w:val="0"/>
                <w:sz w:val="22"/>
                <w:szCs w:val="22"/>
                <w:lang w:val="fr"/>
              </w:rPr>
              <w:t>’</w:t>
            </w:r>
            <w:r>
              <w:rPr>
                <w:rFonts w:ascii="Arial" w:hAnsi="Arial" w:cs="Arial"/>
                <w:snapToGrid w:val="0"/>
                <w:sz w:val="22"/>
                <w:szCs w:val="22"/>
                <w:lang w:val="fr"/>
              </w:rPr>
              <w:t xml:space="preserve">il y ait peu de sensibilisation à ce sujet, bien que celui-ci soit abordé dans les Directives opérationnelles 42 </w:t>
            </w:r>
            <w:r w:rsidR="002255D2" w:rsidRPr="00481FB1">
              <w:rPr>
                <w:rFonts w:ascii="Arial" w:hAnsi="Arial" w:cs="Arial"/>
                <w:snapToGrid w:val="0"/>
                <w:sz w:val="22"/>
                <w:szCs w:val="22"/>
                <w:lang w:eastAsia="zh-CN"/>
              </w:rPr>
              <w:t>–</w:t>
            </w:r>
            <w:r>
              <w:rPr>
                <w:rFonts w:ascii="Arial" w:hAnsi="Arial" w:cs="Arial"/>
                <w:snapToGrid w:val="0"/>
                <w:sz w:val="22"/>
                <w:szCs w:val="22"/>
                <w:lang w:val="fr"/>
              </w:rPr>
              <w:t xml:space="preserve"> 46. Il s</w:t>
            </w:r>
            <w:r w:rsidR="002255D2">
              <w:rPr>
                <w:rFonts w:ascii="Arial" w:hAnsi="Arial" w:cs="Arial"/>
                <w:snapToGrid w:val="0"/>
                <w:sz w:val="22"/>
                <w:szCs w:val="22"/>
                <w:lang w:val="fr"/>
              </w:rPr>
              <w:t>’</w:t>
            </w:r>
            <w:r>
              <w:rPr>
                <w:rFonts w:ascii="Arial" w:hAnsi="Arial" w:cs="Arial"/>
                <w:snapToGrid w:val="0"/>
                <w:sz w:val="22"/>
                <w:szCs w:val="22"/>
                <w:lang w:val="fr"/>
              </w:rPr>
              <w:t>agit de répondre à l</w:t>
            </w:r>
            <w:r w:rsidR="002255D2">
              <w:rPr>
                <w:rFonts w:ascii="Arial" w:hAnsi="Arial" w:cs="Arial"/>
                <w:snapToGrid w:val="0"/>
                <w:sz w:val="22"/>
                <w:szCs w:val="22"/>
                <w:lang w:val="fr"/>
              </w:rPr>
              <w:t>’</w:t>
            </w:r>
            <w:r>
              <w:rPr>
                <w:rFonts w:ascii="Arial" w:hAnsi="Arial" w:cs="Arial"/>
                <w:snapToGrid w:val="0"/>
                <w:sz w:val="22"/>
                <w:szCs w:val="22"/>
                <w:lang w:val="fr"/>
              </w:rPr>
              <w:t>une des principales considérations quant au montant des ressources nécessaires à la préparation d</w:t>
            </w:r>
            <w:r w:rsidR="002255D2">
              <w:rPr>
                <w:rFonts w:ascii="Arial" w:hAnsi="Arial" w:cs="Arial"/>
                <w:snapToGrid w:val="0"/>
                <w:sz w:val="22"/>
                <w:szCs w:val="22"/>
                <w:lang w:val="fr"/>
              </w:rPr>
              <w:t>’</w:t>
            </w:r>
            <w:r>
              <w:rPr>
                <w:rFonts w:ascii="Arial" w:hAnsi="Arial" w:cs="Arial"/>
                <w:snapToGrid w:val="0"/>
                <w:sz w:val="22"/>
                <w:szCs w:val="22"/>
                <w:lang w:val="fr"/>
              </w:rPr>
              <w:t>un dossier ou d</w:t>
            </w:r>
            <w:r w:rsidR="002255D2">
              <w:rPr>
                <w:rFonts w:ascii="Arial" w:hAnsi="Arial" w:cs="Arial"/>
                <w:snapToGrid w:val="0"/>
                <w:sz w:val="22"/>
                <w:szCs w:val="22"/>
                <w:lang w:val="fr"/>
              </w:rPr>
              <w:t>’</w:t>
            </w:r>
            <w:r>
              <w:rPr>
                <w:rFonts w:ascii="Arial" w:hAnsi="Arial" w:cs="Arial"/>
                <w:snapToGrid w:val="0"/>
                <w:sz w:val="22"/>
                <w:szCs w:val="22"/>
                <w:lang w:val="fr"/>
              </w:rPr>
              <w:t>une proposition et au maintien d</w:t>
            </w:r>
            <w:r w:rsidR="002255D2">
              <w:rPr>
                <w:rFonts w:ascii="Arial" w:hAnsi="Arial" w:cs="Arial"/>
                <w:snapToGrid w:val="0"/>
                <w:sz w:val="22"/>
                <w:szCs w:val="22"/>
                <w:lang w:val="fr"/>
              </w:rPr>
              <w:t>’</w:t>
            </w:r>
            <w:r>
              <w:rPr>
                <w:rFonts w:ascii="Arial" w:hAnsi="Arial" w:cs="Arial"/>
                <w:snapToGrid w:val="0"/>
                <w:sz w:val="22"/>
                <w:szCs w:val="22"/>
                <w:lang w:val="fr"/>
              </w:rPr>
              <w:t>une telle proposition. La promotion intentionnelle de la sensibilisation au financement pourrait également contribuer à remédier au manque de représentation géographique, dans la mesure où le Comité pourr</w:t>
            </w:r>
            <w:r w:rsidRPr="00E2760B">
              <w:rPr>
                <w:rFonts w:ascii="Arial" w:hAnsi="Arial" w:cs="Arial"/>
                <w:snapToGrid w:val="0"/>
                <w:sz w:val="22"/>
                <w:szCs w:val="22"/>
                <w:lang w:val="fr"/>
              </w:rPr>
              <w:t xml:space="preserve">ait encourager la réalisation de programmes </w:t>
            </w:r>
            <w:r w:rsidR="00E2760B" w:rsidRPr="00481FB1">
              <w:rPr>
                <w:rFonts w:ascii="Arial" w:hAnsi="Arial" w:cs="Arial"/>
                <w:snapToGrid w:val="0"/>
                <w:sz w:val="22"/>
                <w:szCs w:val="22"/>
                <w:lang w:val="fr"/>
              </w:rPr>
              <w:t>sollicitant</w:t>
            </w:r>
            <w:r w:rsidRPr="00E2760B">
              <w:rPr>
                <w:rFonts w:ascii="Arial" w:hAnsi="Arial" w:cs="Arial"/>
                <w:snapToGrid w:val="0"/>
                <w:sz w:val="22"/>
                <w:szCs w:val="22"/>
                <w:lang w:val="fr"/>
              </w:rPr>
              <w:t xml:space="preserve"> </w:t>
            </w:r>
            <w:r w:rsidR="00E2760B" w:rsidRPr="00481FB1">
              <w:rPr>
                <w:rFonts w:ascii="Arial" w:hAnsi="Arial" w:cs="Arial"/>
                <w:snapToGrid w:val="0"/>
                <w:sz w:val="22"/>
                <w:szCs w:val="22"/>
                <w:lang w:val="fr"/>
              </w:rPr>
              <w:t>d</w:t>
            </w:r>
            <w:r w:rsidRPr="00E2760B">
              <w:rPr>
                <w:rFonts w:ascii="Arial" w:hAnsi="Arial" w:cs="Arial"/>
                <w:snapToGrid w:val="0"/>
                <w:sz w:val="22"/>
                <w:szCs w:val="22"/>
                <w:lang w:val="fr"/>
              </w:rPr>
              <w:t>es collaborations Sud-Sud.</w:t>
            </w:r>
            <w:r>
              <w:rPr>
                <w:rFonts w:ascii="Arial" w:hAnsi="Arial" w:cs="Arial"/>
                <w:snapToGrid w:val="0"/>
                <w:sz w:val="22"/>
                <w:szCs w:val="22"/>
                <w:lang w:val="fr"/>
              </w:rPr>
              <w:t xml:space="preserve"> </w:t>
            </w:r>
          </w:p>
          <w:p w14:paraId="546002B6" w14:textId="6CD9E354" w:rsidR="007914C8" w:rsidRPr="007914C8" w:rsidRDefault="007914C8" w:rsidP="0083092F">
            <w:pPr>
              <w:pStyle w:val="ListParagraph"/>
              <w:numPr>
                <w:ilvl w:val="0"/>
                <w:numId w:val="5"/>
              </w:numPr>
              <w:rPr>
                <w:rFonts w:ascii="Arial" w:hAnsi="Arial" w:cs="Arial"/>
                <w:b/>
                <w:bCs/>
                <w:snapToGrid w:val="0"/>
                <w:sz w:val="22"/>
                <w:szCs w:val="22"/>
              </w:rPr>
            </w:pPr>
            <w:r>
              <w:rPr>
                <w:rFonts w:ascii="Arial" w:hAnsi="Arial" w:cs="Arial"/>
                <w:snapToGrid w:val="0"/>
                <w:sz w:val="22"/>
                <w:szCs w:val="22"/>
                <w:lang w:val="fr"/>
              </w:rPr>
              <w:t>Afin de renforcer davantage la crédibilité du Registre, il serait utile de recueillir des informations auprès des États parties quant à l</w:t>
            </w:r>
            <w:r w:rsidR="002255D2">
              <w:rPr>
                <w:rFonts w:ascii="Arial" w:hAnsi="Arial" w:cs="Arial"/>
                <w:snapToGrid w:val="0"/>
                <w:sz w:val="22"/>
                <w:szCs w:val="22"/>
                <w:lang w:val="fr"/>
              </w:rPr>
              <w:t>’</w:t>
            </w:r>
            <w:r>
              <w:rPr>
                <w:rFonts w:ascii="Arial" w:hAnsi="Arial" w:cs="Arial"/>
                <w:snapToGrid w:val="0"/>
                <w:sz w:val="22"/>
                <w:szCs w:val="22"/>
                <w:lang w:val="fr"/>
              </w:rPr>
              <w:t>utilité du Registre, de façon à communiquer sur son impact. Cette enquête devrait revêtir un caractère plus qualitatif, en recueillant par exemple des témoignages ou des perceptions du Registre de la part d</w:t>
            </w:r>
            <w:r w:rsidR="002255D2">
              <w:rPr>
                <w:rFonts w:ascii="Arial" w:hAnsi="Arial" w:cs="Arial"/>
                <w:snapToGrid w:val="0"/>
                <w:sz w:val="22"/>
                <w:szCs w:val="22"/>
                <w:lang w:val="fr"/>
              </w:rPr>
              <w:t>’</w:t>
            </w:r>
            <w:r>
              <w:rPr>
                <w:rFonts w:ascii="Arial" w:hAnsi="Arial" w:cs="Arial"/>
                <w:snapToGrid w:val="0"/>
                <w:sz w:val="22"/>
                <w:szCs w:val="22"/>
                <w:lang w:val="fr"/>
              </w:rPr>
              <w:t>utilisateurs généraux du site Web.</w:t>
            </w:r>
          </w:p>
          <w:p w14:paraId="211C07C0" w14:textId="5570F17D" w:rsidR="007914C8" w:rsidRPr="00E07783" w:rsidRDefault="00C13E91" w:rsidP="0083092F">
            <w:pPr>
              <w:pStyle w:val="ListParagraph"/>
              <w:numPr>
                <w:ilvl w:val="0"/>
                <w:numId w:val="5"/>
              </w:numPr>
              <w:rPr>
                <w:rFonts w:ascii="Arial" w:hAnsi="Arial" w:cs="Arial"/>
                <w:b/>
                <w:bCs/>
                <w:snapToGrid w:val="0"/>
                <w:sz w:val="22"/>
                <w:szCs w:val="22"/>
              </w:rPr>
            </w:pPr>
            <w:r>
              <w:rPr>
                <w:rFonts w:ascii="Arial" w:hAnsi="Arial" w:cs="Arial"/>
                <w:snapToGrid w:val="0"/>
                <w:sz w:val="22"/>
                <w:szCs w:val="22"/>
                <w:lang w:val="fr"/>
              </w:rPr>
              <w:t>Un autre moyen consisterait à encourager les États parties à partager leurs registres et mesures visant à promouvoir de bonnes mesures de sauvegarde. La création d</w:t>
            </w:r>
            <w:r w:rsidR="002255D2">
              <w:rPr>
                <w:rFonts w:ascii="Arial" w:hAnsi="Arial" w:cs="Arial"/>
                <w:snapToGrid w:val="0"/>
                <w:sz w:val="22"/>
                <w:szCs w:val="22"/>
                <w:lang w:val="fr"/>
              </w:rPr>
              <w:t>’</w:t>
            </w:r>
            <w:r>
              <w:rPr>
                <w:rFonts w:ascii="Arial" w:hAnsi="Arial" w:cs="Arial"/>
                <w:snapToGrid w:val="0"/>
                <w:sz w:val="22"/>
                <w:szCs w:val="22"/>
                <w:lang w:val="fr"/>
              </w:rPr>
              <w:t>un lien avec ces systèmes, informations et données, ou leur exploitation, pourrait renforcer l</w:t>
            </w:r>
            <w:r w:rsidR="002255D2">
              <w:rPr>
                <w:rFonts w:ascii="Arial" w:hAnsi="Arial" w:cs="Arial"/>
                <w:snapToGrid w:val="0"/>
                <w:sz w:val="22"/>
                <w:szCs w:val="22"/>
                <w:lang w:val="fr"/>
              </w:rPr>
              <w:t>’</w:t>
            </w:r>
            <w:r>
              <w:rPr>
                <w:rFonts w:ascii="Arial" w:hAnsi="Arial" w:cs="Arial"/>
                <w:snapToGrid w:val="0"/>
                <w:sz w:val="22"/>
                <w:szCs w:val="22"/>
                <w:lang w:val="fr"/>
              </w:rPr>
              <w:t>utilisation du Registre. Ces Registres n</w:t>
            </w:r>
            <w:r w:rsidR="002255D2">
              <w:rPr>
                <w:rFonts w:ascii="Arial" w:hAnsi="Arial" w:cs="Arial"/>
                <w:snapToGrid w:val="0"/>
                <w:sz w:val="22"/>
                <w:szCs w:val="22"/>
                <w:lang w:val="fr"/>
              </w:rPr>
              <w:t>’</w:t>
            </w:r>
            <w:r>
              <w:rPr>
                <w:rFonts w:ascii="Arial" w:hAnsi="Arial" w:cs="Arial"/>
                <w:snapToGrid w:val="0"/>
                <w:sz w:val="22"/>
                <w:szCs w:val="22"/>
                <w:lang w:val="fr"/>
              </w:rPr>
              <w:t>ont pas besoin d</w:t>
            </w:r>
            <w:r w:rsidR="002255D2">
              <w:rPr>
                <w:rFonts w:ascii="Arial" w:hAnsi="Arial" w:cs="Arial"/>
                <w:snapToGrid w:val="0"/>
                <w:sz w:val="22"/>
                <w:szCs w:val="22"/>
                <w:lang w:val="fr"/>
              </w:rPr>
              <w:t>’</w:t>
            </w:r>
            <w:r>
              <w:rPr>
                <w:rFonts w:ascii="Arial" w:hAnsi="Arial" w:cs="Arial"/>
                <w:snapToGrid w:val="0"/>
                <w:sz w:val="22"/>
                <w:szCs w:val="22"/>
                <w:lang w:val="fr"/>
              </w:rPr>
              <w:t>être complexes. Les programmes ou mesures figurant sur ces listes dans chaque État partie démontrent que les pratiques peuvent être trouvées dans la vie quotidienne et qu</w:t>
            </w:r>
            <w:r w:rsidR="002255D2">
              <w:rPr>
                <w:rFonts w:ascii="Arial" w:hAnsi="Arial" w:cs="Arial"/>
                <w:snapToGrid w:val="0"/>
                <w:sz w:val="22"/>
                <w:szCs w:val="22"/>
                <w:lang w:val="fr"/>
              </w:rPr>
              <w:t>’</w:t>
            </w:r>
            <w:r>
              <w:rPr>
                <w:rFonts w:ascii="Arial" w:hAnsi="Arial" w:cs="Arial"/>
                <w:snapToGrid w:val="0"/>
                <w:sz w:val="22"/>
                <w:szCs w:val="22"/>
                <w:lang w:val="fr"/>
              </w:rPr>
              <w:t>elles laissent la place à une diversité de pratiques permettant aux communautés d</w:t>
            </w:r>
            <w:r w:rsidR="002255D2">
              <w:rPr>
                <w:rFonts w:ascii="Arial" w:hAnsi="Arial" w:cs="Arial"/>
                <w:snapToGrid w:val="0"/>
                <w:sz w:val="22"/>
                <w:szCs w:val="22"/>
                <w:lang w:val="fr"/>
              </w:rPr>
              <w:t>’</w:t>
            </w:r>
            <w:r>
              <w:rPr>
                <w:rFonts w:ascii="Arial" w:hAnsi="Arial" w:cs="Arial"/>
                <w:snapToGrid w:val="0"/>
                <w:sz w:val="22"/>
                <w:szCs w:val="22"/>
                <w:lang w:val="fr"/>
              </w:rPr>
              <w:t xml:space="preserve">apprendre les unes </w:t>
            </w:r>
            <w:proofErr w:type="gramStart"/>
            <w:r>
              <w:rPr>
                <w:rFonts w:ascii="Arial" w:hAnsi="Arial" w:cs="Arial"/>
                <w:snapToGrid w:val="0"/>
                <w:sz w:val="22"/>
                <w:szCs w:val="22"/>
                <w:lang w:val="fr"/>
              </w:rPr>
              <w:t>des autres</w:t>
            </w:r>
            <w:proofErr w:type="gramEnd"/>
            <w:r>
              <w:rPr>
                <w:rFonts w:ascii="Arial" w:hAnsi="Arial" w:cs="Arial"/>
                <w:snapToGrid w:val="0"/>
                <w:sz w:val="22"/>
                <w:szCs w:val="22"/>
                <w:lang w:val="fr"/>
              </w:rPr>
              <w:t xml:space="preserve"> (comme dans le cas du Registre national des pratiques de sauvegarde de la Suède)</w:t>
            </w:r>
          </w:p>
          <w:p w14:paraId="2DA358EB" w14:textId="513FE34E" w:rsidR="00803D3F" w:rsidRPr="00803D3F" w:rsidRDefault="00C13E91"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Pour répondre à l</w:t>
            </w:r>
            <w:r w:rsidR="002255D2">
              <w:rPr>
                <w:rFonts w:ascii="Arial" w:hAnsi="Arial" w:cs="Arial"/>
                <w:snapToGrid w:val="0"/>
                <w:sz w:val="22"/>
                <w:szCs w:val="22"/>
                <w:lang w:val="fr"/>
              </w:rPr>
              <w:t>’</w:t>
            </w:r>
            <w:r>
              <w:rPr>
                <w:rFonts w:ascii="Arial" w:hAnsi="Arial" w:cs="Arial"/>
                <w:snapToGrid w:val="0"/>
                <w:sz w:val="22"/>
                <w:szCs w:val="22"/>
                <w:lang w:val="fr"/>
              </w:rPr>
              <w:t>éternel problème de la surcharge de travail de l</w:t>
            </w:r>
            <w:r w:rsidR="002255D2">
              <w:rPr>
                <w:rFonts w:ascii="Arial" w:hAnsi="Arial" w:cs="Arial"/>
                <w:snapToGrid w:val="0"/>
                <w:sz w:val="22"/>
                <w:szCs w:val="22"/>
                <w:lang w:val="fr"/>
              </w:rPr>
              <w:t>’</w:t>
            </w:r>
            <w:r>
              <w:rPr>
                <w:rFonts w:ascii="Arial" w:hAnsi="Arial" w:cs="Arial"/>
                <w:snapToGrid w:val="0"/>
                <w:sz w:val="22"/>
                <w:szCs w:val="22"/>
                <w:lang w:val="fr"/>
              </w:rPr>
              <w:t>Organe d</w:t>
            </w:r>
            <w:r w:rsidR="002255D2">
              <w:rPr>
                <w:rFonts w:ascii="Arial" w:hAnsi="Arial" w:cs="Arial"/>
                <w:snapToGrid w:val="0"/>
                <w:sz w:val="22"/>
                <w:szCs w:val="22"/>
                <w:lang w:val="fr"/>
              </w:rPr>
              <w:t>’</w:t>
            </w:r>
            <w:r>
              <w:rPr>
                <w:rFonts w:ascii="Arial" w:hAnsi="Arial" w:cs="Arial"/>
                <w:snapToGrid w:val="0"/>
                <w:sz w:val="22"/>
                <w:szCs w:val="22"/>
                <w:lang w:val="fr"/>
              </w:rPr>
              <w:t xml:space="preserve">évaluation, deux options peuvent être envisagées : premièrement, la création de deux organes distincts </w:t>
            </w:r>
            <w:r w:rsidR="002255D2" w:rsidRPr="00481FB1">
              <w:rPr>
                <w:rFonts w:ascii="Arial" w:hAnsi="Arial" w:cs="Arial"/>
                <w:snapToGrid w:val="0"/>
                <w:sz w:val="22"/>
                <w:szCs w:val="22"/>
                <w:lang w:eastAsia="zh-CN"/>
              </w:rPr>
              <w:t>–</w:t>
            </w:r>
            <w:r>
              <w:rPr>
                <w:rFonts w:ascii="Arial" w:hAnsi="Arial" w:cs="Arial"/>
                <w:snapToGrid w:val="0"/>
                <w:sz w:val="22"/>
                <w:szCs w:val="22"/>
                <w:lang w:val="fr"/>
              </w:rPr>
              <w:t xml:space="preserve"> l</w:t>
            </w:r>
            <w:r w:rsidR="002255D2">
              <w:rPr>
                <w:rFonts w:ascii="Arial" w:hAnsi="Arial" w:cs="Arial"/>
                <w:snapToGrid w:val="0"/>
                <w:sz w:val="22"/>
                <w:szCs w:val="22"/>
                <w:lang w:val="fr"/>
              </w:rPr>
              <w:t>’</w:t>
            </w:r>
            <w:r>
              <w:rPr>
                <w:rFonts w:ascii="Arial" w:hAnsi="Arial" w:cs="Arial"/>
                <w:snapToGrid w:val="0"/>
                <w:sz w:val="22"/>
                <w:szCs w:val="22"/>
                <w:lang w:val="fr"/>
              </w:rPr>
              <w:t>actuel</w:t>
            </w:r>
            <w:r w:rsidR="002255D2">
              <w:rPr>
                <w:rFonts w:ascii="Arial" w:hAnsi="Arial" w:cs="Arial"/>
                <w:snapToGrid w:val="0"/>
                <w:sz w:val="22"/>
                <w:szCs w:val="22"/>
                <w:lang w:val="fr"/>
              </w:rPr>
              <w:t xml:space="preserve"> Organe d’évaluation</w:t>
            </w:r>
            <w:r>
              <w:rPr>
                <w:rFonts w:ascii="Arial" w:hAnsi="Arial" w:cs="Arial"/>
                <w:snapToGrid w:val="0"/>
                <w:sz w:val="22"/>
                <w:szCs w:val="22"/>
                <w:lang w:val="fr"/>
              </w:rPr>
              <w:t xml:space="preserve"> pour continuer à évaluer les dossiers soumis à la LR et à la LSU, et un autre pour évaluer le Registre et les propositions de demande d</w:t>
            </w:r>
            <w:r w:rsidR="002255D2">
              <w:rPr>
                <w:rFonts w:ascii="Arial" w:hAnsi="Arial" w:cs="Arial"/>
                <w:snapToGrid w:val="0"/>
                <w:sz w:val="22"/>
                <w:szCs w:val="22"/>
                <w:lang w:val="fr"/>
              </w:rPr>
              <w:t>’</w:t>
            </w:r>
            <w:r>
              <w:rPr>
                <w:rFonts w:ascii="Arial" w:hAnsi="Arial" w:cs="Arial"/>
                <w:snapToGrid w:val="0"/>
                <w:sz w:val="22"/>
                <w:szCs w:val="22"/>
                <w:lang w:val="fr"/>
              </w:rPr>
              <w:t>assistance internationale ; deuxièmement, la mise en place d</w:t>
            </w:r>
            <w:r w:rsidR="002255D2">
              <w:rPr>
                <w:rFonts w:ascii="Arial" w:hAnsi="Arial" w:cs="Arial"/>
                <w:snapToGrid w:val="0"/>
                <w:sz w:val="22"/>
                <w:szCs w:val="22"/>
                <w:lang w:val="fr"/>
              </w:rPr>
              <w:t>’</w:t>
            </w:r>
            <w:r>
              <w:rPr>
                <w:rFonts w:ascii="Arial" w:hAnsi="Arial" w:cs="Arial"/>
                <w:snapToGrid w:val="0"/>
                <w:sz w:val="22"/>
                <w:szCs w:val="22"/>
                <w:lang w:val="fr"/>
              </w:rPr>
              <w:t xml:space="preserve">un mécanisme plus léger, avec un observatoire tel que le Wiki, pour accueillir les bonnes pratiques de sauvegarde </w:t>
            </w:r>
          </w:p>
          <w:p w14:paraId="0885A06B" w14:textId="69E970A3" w:rsidR="002F5D07" w:rsidRPr="00803D3F" w:rsidRDefault="002F5D07" w:rsidP="0083092F">
            <w:pPr>
              <w:pStyle w:val="ListParagraph"/>
              <w:numPr>
                <w:ilvl w:val="0"/>
                <w:numId w:val="5"/>
              </w:numPr>
              <w:rPr>
                <w:rFonts w:ascii="Arial" w:hAnsi="Arial" w:cs="Arial"/>
                <w:b/>
                <w:bCs/>
                <w:snapToGrid w:val="0"/>
                <w:sz w:val="22"/>
                <w:szCs w:val="22"/>
              </w:rPr>
            </w:pPr>
            <w:r>
              <w:rPr>
                <w:rFonts w:ascii="Arial" w:hAnsi="Arial" w:cs="Arial"/>
                <w:snapToGrid w:val="0"/>
                <w:sz w:val="22"/>
                <w:szCs w:val="22"/>
                <w:lang w:val="fr"/>
              </w:rPr>
              <w:t>Il conviendrait d</w:t>
            </w:r>
            <w:r w:rsidR="002255D2">
              <w:rPr>
                <w:rFonts w:ascii="Arial" w:hAnsi="Arial" w:cs="Arial"/>
                <w:snapToGrid w:val="0"/>
                <w:sz w:val="22"/>
                <w:szCs w:val="22"/>
                <w:lang w:val="fr"/>
              </w:rPr>
              <w:t>’</w:t>
            </w:r>
            <w:r>
              <w:rPr>
                <w:rFonts w:ascii="Arial" w:hAnsi="Arial" w:cs="Arial"/>
                <w:snapToGrid w:val="0"/>
                <w:sz w:val="22"/>
                <w:szCs w:val="22"/>
                <w:lang w:val="fr"/>
              </w:rPr>
              <w:t xml:space="preserve">envisager des programmes de financement/renforcement des capacités sur mesure pour les pays afin de créer, de soutenir et de diffuser les programmes. </w:t>
            </w:r>
          </w:p>
          <w:p w14:paraId="0967E5B7" w14:textId="3B931D45" w:rsidR="002F5D07" w:rsidRPr="00803D3F" w:rsidRDefault="002F5D07" w:rsidP="0083092F">
            <w:pPr>
              <w:pStyle w:val="ListParagraph"/>
              <w:numPr>
                <w:ilvl w:val="0"/>
                <w:numId w:val="5"/>
              </w:numPr>
              <w:rPr>
                <w:rFonts w:ascii="Arial" w:hAnsi="Arial" w:cs="Arial"/>
                <w:b/>
                <w:bCs/>
                <w:snapToGrid w:val="0"/>
                <w:sz w:val="22"/>
                <w:szCs w:val="22"/>
              </w:rPr>
            </w:pPr>
            <w:r>
              <w:rPr>
                <w:rFonts w:ascii="Arial" w:hAnsi="Arial" w:cs="Arial"/>
                <w:snapToGrid w:val="0"/>
                <w:sz w:val="22"/>
                <w:szCs w:val="22"/>
                <w:lang w:val="fr"/>
              </w:rPr>
              <w:lastRenderedPageBreak/>
              <w:t>La mise à disposition, auprès des communautés, des groupes et, le cas échéant, des individus, de l</w:t>
            </w:r>
            <w:r w:rsidR="002255D2">
              <w:rPr>
                <w:rFonts w:ascii="Arial" w:hAnsi="Arial" w:cs="Arial"/>
                <w:snapToGrid w:val="0"/>
                <w:sz w:val="22"/>
                <w:szCs w:val="22"/>
                <w:lang w:val="fr"/>
              </w:rPr>
              <w:t>’</w:t>
            </w:r>
            <w:r>
              <w:rPr>
                <w:rFonts w:ascii="Arial" w:hAnsi="Arial" w:cs="Arial"/>
                <w:snapToGrid w:val="0"/>
                <w:sz w:val="22"/>
                <w:szCs w:val="22"/>
                <w:lang w:val="fr"/>
              </w:rPr>
              <w:t xml:space="preserve">espace nécessaire pour partager et apprendre en canalisant activement les ressources, y compris les fonds. </w:t>
            </w:r>
          </w:p>
          <w:p w14:paraId="3D07995B" w14:textId="77777777" w:rsidR="00E07783" w:rsidRPr="007914C8" w:rsidRDefault="00E07783" w:rsidP="002F5D07">
            <w:pPr>
              <w:pStyle w:val="ListParagraph"/>
              <w:ind w:left="1392"/>
              <w:rPr>
                <w:rFonts w:ascii="Arial" w:hAnsi="Arial" w:cs="Arial"/>
                <w:b/>
                <w:bCs/>
                <w:snapToGrid w:val="0"/>
                <w:sz w:val="22"/>
                <w:szCs w:val="22"/>
              </w:rPr>
            </w:pPr>
          </w:p>
          <w:p w14:paraId="6ACEFC6B" w14:textId="78129371" w:rsidR="00074096" w:rsidRPr="00C13E91" w:rsidRDefault="00074096" w:rsidP="0083092F">
            <w:pPr>
              <w:pStyle w:val="ListParagraph"/>
              <w:numPr>
                <w:ilvl w:val="0"/>
                <w:numId w:val="7"/>
              </w:numPr>
              <w:rPr>
                <w:rFonts w:ascii="Arial" w:hAnsi="Arial" w:cs="Arial"/>
                <w:b/>
                <w:bCs/>
                <w:snapToGrid w:val="0"/>
                <w:sz w:val="22"/>
                <w:szCs w:val="22"/>
              </w:rPr>
            </w:pPr>
            <w:r>
              <w:rPr>
                <w:rFonts w:ascii="Arial" w:hAnsi="Arial" w:cs="Arial"/>
                <w:b/>
                <w:bCs/>
                <w:snapToGrid w:val="0"/>
                <w:sz w:val="22"/>
                <w:szCs w:val="22"/>
                <w:lang w:val="fr"/>
              </w:rPr>
              <w:t xml:space="preserve">Que devons-nous communiquer exactement sur le Registre et quelles sont les considérations qui ont entravé ou limité le nombre de soumissions ? Comment pouvons-nous éventuellement y répondre ? </w:t>
            </w:r>
          </w:p>
          <w:p w14:paraId="75E957A2" w14:textId="2BA0C649" w:rsidR="00074096" w:rsidRPr="00074096" w:rsidRDefault="007B4303" w:rsidP="0083092F">
            <w:pPr>
              <w:pStyle w:val="ListParagraph"/>
              <w:numPr>
                <w:ilvl w:val="0"/>
                <w:numId w:val="5"/>
              </w:numPr>
              <w:rPr>
                <w:rFonts w:ascii="Arial" w:hAnsi="Arial" w:cs="Arial"/>
                <w:b/>
                <w:bCs/>
                <w:snapToGrid w:val="0"/>
                <w:sz w:val="22"/>
                <w:szCs w:val="22"/>
              </w:rPr>
            </w:pPr>
            <w:r>
              <w:rPr>
                <w:rFonts w:ascii="Arial" w:hAnsi="Arial" w:cs="Arial"/>
                <w:snapToGrid w:val="0"/>
                <w:sz w:val="22"/>
                <w:szCs w:val="22"/>
                <w:lang w:val="fr"/>
              </w:rPr>
              <w:t>Il convient de souligner que le concept ou l</w:t>
            </w:r>
            <w:r w:rsidR="002255D2">
              <w:rPr>
                <w:rFonts w:ascii="Arial" w:hAnsi="Arial" w:cs="Arial"/>
                <w:snapToGrid w:val="0"/>
                <w:sz w:val="22"/>
                <w:szCs w:val="22"/>
                <w:lang w:val="fr"/>
              </w:rPr>
              <w:t>’</w:t>
            </w:r>
            <w:r>
              <w:rPr>
                <w:rFonts w:ascii="Arial" w:hAnsi="Arial" w:cs="Arial"/>
                <w:snapToGrid w:val="0"/>
                <w:sz w:val="22"/>
                <w:szCs w:val="22"/>
                <w:lang w:val="fr"/>
              </w:rPr>
              <w:t>intention du Registre renforce la participation des communautés, des groupes et des autres acteurs, car les programmes de sauvegarde répertoriés reconnaissent et créent une source d</w:t>
            </w:r>
            <w:r w:rsidR="002255D2">
              <w:rPr>
                <w:rFonts w:ascii="Arial" w:hAnsi="Arial" w:cs="Arial"/>
                <w:snapToGrid w:val="0"/>
                <w:sz w:val="22"/>
                <w:szCs w:val="22"/>
                <w:lang w:val="fr"/>
              </w:rPr>
              <w:t>’</w:t>
            </w:r>
            <w:r>
              <w:rPr>
                <w:rFonts w:ascii="Arial" w:hAnsi="Arial" w:cs="Arial"/>
                <w:snapToGrid w:val="0"/>
                <w:sz w:val="22"/>
                <w:szCs w:val="22"/>
                <w:lang w:val="fr"/>
              </w:rPr>
              <w:t>inspiration et de fierté pour les communautés, étant donné qu</w:t>
            </w:r>
            <w:r w:rsidR="002255D2">
              <w:rPr>
                <w:rFonts w:ascii="Arial" w:hAnsi="Arial" w:cs="Arial"/>
                <w:snapToGrid w:val="0"/>
                <w:sz w:val="22"/>
                <w:szCs w:val="22"/>
                <w:lang w:val="fr"/>
              </w:rPr>
              <w:t>’</w:t>
            </w:r>
            <w:r>
              <w:rPr>
                <w:rFonts w:ascii="Arial" w:hAnsi="Arial" w:cs="Arial"/>
                <w:snapToGrid w:val="0"/>
                <w:sz w:val="22"/>
                <w:szCs w:val="22"/>
                <w:lang w:val="fr"/>
              </w:rPr>
              <w:t>elles ont transmis leur PCI par le biais de ces programmes qui ont fait leurs preuves au fil des générations.</w:t>
            </w:r>
          </w:p>
          <w:p w14:paraId="4AFE625F" w14:textId="51E3B151" w:rsidR="007914C8" w:rsidRPr="007914C8" w:rsidRDefault="002F5D07" w:rsidP="0083092F">
            <w:pPr>
              <w:pStyle w:val="ListParagraph"/>
              <w:numPr>
                <w:ilvl w:val="0"/>
                <w:numId w:val="5"/>
              </w:numPr>
              <w:rPr>
                <w:rFonts w:ascii="Arial" w:hAnsi="Arial" w:cs="Arial"/>
                <w:b/>
                <w:bCs/>
                <w:snapToGrid w:val="0"/>
                <w:sz w:val="22"/>
                <w:szCs w:val="22"/>
              </w:rPr>
            </w:pPr>
            <w:r>
              <w:rPr>
                <w:rFonts w:ascii="Arial" w:hAnsi="Arial" w:cs="Arial"/>
                <w:snapToGrid w:val="0"/>
                <w:sz w:val="22"/>
                <w:szCs w:val="22"/>
                <w:lang w:val="fr"/>
              </w:rPr>
              <w:t>Les communautés impliquées dans la préparation des propositions pour le Registre devraient être considérées comme des agents de renforcement des capacités, et pas seulement comme une forme de promotion des communautés et des groupes, mais également de reconnaissance de leur efficacité. Une telle mesure pourrait également aider d</w:t>
            </w:r>
            <w:r w:rsidR="002255D2">
              <w:rPr>
                <w:rFonts w:ascii="Arial" w:hAnsi="Arial" w:cs="Arial"/>
                <w:snapToGrid w:val="0"/>
                <w:sz w:val="22"/>
                <w:szCs w:val="22"/>
                <w:lang w:val="fr"/>
              </w:rPr>
              <w:t>’</w:t>
            </w:r>
            <w:r>
              <w:rPr>
                <w:rFonts w:ascii="Arial" w:hAnsi="Arial" w:cs="Arial"/>
                <w:snapToGrid w:val="0"/>
                <w:sz w:val="22"/>
                <w:szCs w:val="22"/>
                <w:lang w:val="fr"/>
              </w:rPr>
              <w:t>autres communautés à préparer des propositions pour le Registre.</w:t>
            </w:r>
          </w:p>
          <w:p w14:paraId="4DE53346" w14:textId="77777777" w:rsidR="00D5412F" w:rsidRPr="00D5412F" w:rsidRDefault="007914C8" w:rsidP="00D5412F">
            <w:pPr>
              <w:pStyle w:val="ListParagraph"/>
              <w:numPr>
                <w:ilvl w:val="0"/>
                <w:numId w:val="5"/>
              </w:numPr>
              <w:rPr>
                <w:rFonts w:ascii="Arial" w:hAnsi="Arial" w:cs="Arial"/>
                <w:b/>
                <w:bCs/>
                <w:snapToGrid w:val="0"/>
                <w:sz w:val="22"/>
                <w:szCs w:val="22"/>
              </w:rPr>
            </w:pPr>
            <w:r>
              <w:rPr>
                <w:rFonts w:ascii="Arial" w:hAnsi="Arial" w:cs="Arial"/>
                <w:snapToGrid w:val="0"/>
                <w:sz w:val="22"/>
                <w:szCs w:val="22"/>
                <w:lang w:val="fr"/>
              </w:rPr>
              <w:t>Du point de vue des pays en développement, la motivation innée serait de proposer des éléments sur la Liste de sauvegarde urgente en priorité, étant donné que la Convention a sensibilisé à leur PCI menacé d</w:t>
            </w:r>
            <w:r w:rsidR="002255D2">
              <w:rPr>
                <w:rFonts w:ascii="Arial" w:hAnsi="Arial" w:cs="Arial"/>
                <w:snapToGrid w:val="0"/>
                <w:sz w:val="22"/>
                <w:szCs w:val="22"/>
                <w:lang w:val="fr"/>
              </w:rPr>
              <w:t>’</w:t>
            </w:r>
            <w:r>
              <w:rPr>
                <w:rFonts w:ascii="Arial" w:hAnsi="Arial" w:cs="Arial"/>
                <w:snapToGrid w:val="0"/>
                <w:sz w:val="22"/>
                <w:szCs w:val="22"/>
                <w:lang w:val="fr"/>
              </w:rPr>
              <w:t xml:space="preserve">extinction. Dans ce contexte, le mécanisme consistait à réagir pour sauver ce qui était en train de disparaître. Une fois les éléments inscrits sur la LSU, les pays passeront ensuite à la LR, étant donné que la LR pourrait avoir des implications nationalistes ou de prestige. À ce titre, le Comité devrait trouver des moyens de renforcer le lien entre le Registre et la LSU. </w:t>
            </w:r>
          </w:p>
          <w:p w14:paraId="389FDAEB" w14:textId="2EAD6AC1" w:rsidR="00E83BF5" w:rsidRPr="00D5412F" w:rsidRDefault="002F5D07" w:rsidP="00D5412F">
            <w:pPr>
              <w:pStyle w:val="ListParagraph"/>
              <w:numPr>
                <w:ilvl w:val="0"/>
                <w:numId w:val="5"/>
              </w:numPr>
              <w:rPr>
                <w:rFonts w:ascii="Arial" w:hAnsi="Arial" w:cs="Arial"/>
                <w:b/>
                <w:bCs/>
                <w:snapToGrid w:val="0"/>
                <w:sz w:val="22"/>
                <w:szCs w:val="22"/>
              </w:rPr>
            </w:pPr>
            <w:r w:rsidRPr="00D5412F">
              <w:rPr>
                <w:rFonts w:ascii="Arial" w:hAnsi="Arial" w:cs="Arial"/>
                <w:snapToGrid w:val="0"/>
                <w:sz w:val="22"/>
                <w:szCs w:val="22"/>
                <w:lang w:val="fr"/>
              </w:rPr>
              <w:t>S</w:t>
            </w:r>
            <w:r w:rsidR="002255D2" w:rsidRPr="00D5412F">
              <w:rPr>
                <w:rFonts w:ascii="Arial" w:hAnsi="Arial" w:cs="Arial"/>
                <w:snapToGrid w:val="0"/>
                <w:sz w:val="22"/>
                <w:szCs w:val="22"/>
                <w:lang w:val="fr"/>
              </w:rPr>
              <w:t>’</w:t>
            </w:r>
            <w:r w:rsidRPr="00D5412F">
              <w:rPr>
                <w:rFonts w:ascii="Arial" w:hAnsi="Arial" w:cs="Arial"/>
                <w:snapToGrid w:val="0"/>
                <w:sz w:val="22"/>
                <w:szCs w:val="22"/>
                <w:lang w:val="fr"/>
              </w:rPr>
              <w:t>il existe une assistance non seulement pour la rédaction des propositions, mais aussi pour la coordination des programmes, les choses sont moins claires en ce qui concerne le maintien de ces propositions et la diffusion des informations</w:t>
            </w:r>
            <w:r w:rsidRPr="00D5412F">
              <w:rPr>
                <w:rFonts w:cs="Arial"/>
                <w:snapToGrid w:val="0"/>
                <w:sz w:val="22"/>
                <w:szCs w:val="22"/>
                <w:lang w:val="fr"/>
              </w:rPr>
              <w:t xml:space="preserve">. </w:t>
            </w:r>
            <w:r w:rsidRPr="00D5412F">
              <w:rPr>
                <w:rFonts w:ascii="Arial" w:hAnsi="Arial" w:cs="Arial"/>
                <w:snapToGrid w:val="0"/>
                <w:sz w:val="22"/>
                <w:szCs w:val="22"/>
                <w:lang w:val="fr"/>
              </w:rPr>
              <w:t xml:space="preserve">Le montant des ressources disponibles pour lancer et soutenir toute proposition envisagée ne doit pas être pris à la légère. </w:t>
            </w:r>
          </w:p>
          <w:p w14:paraId="0C1A0B01" w14:textId="741ADE32" w:rsidR="00803D3F" w:rsidRDefault="00C4473E"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É</w:t>
            </w:r>
            <w:r w:rsidR="00803D3F">
              <w:rPr>
                <w:rFonts w:ascii="Arial" w:hAnsi="Arial" w:cs="Arial"/>
                <w:snapToGrid w:val="0"/>
                <w:sz w:val="22"/>
                <w:szCs w:val="22"/>
                <w:lang w:val="fr"/>
              </w:rPr>
              <w:t>liminer le goulot d</w:t>
            </w:r>
            <w:r w:rsidR="002255D2">
              <w:rPr>
                <w:rFonts w:ascii="Arial" w:hAnsi="Arial" w:cs="Arial"/>
                <w:snapToGrid w:val="0"/>
                <w:sz w:val="22"/>
                <w:szCs w:val="22"/>
                <w:lang w:val="fr"/>
              </w:rPr>
              <w:t>’</w:t>
            </w:r>
            <w:r w:rsidR="00803D3F">
              <w:rPr>
                <w:rFonts w:ascii="Arial" w:hAnsi="Arial" w:cs="Arial"/>
                <w:snapToGrid w:val="0"/>
                <w:sz w:val="22"/>
                <w:szCs w:val="22"/>
                <w:lang w:val="fr"/>
              </w:rPr>
              <w:t>étranglement auquel l</w:t>
            </w:r>
            <w:r w:rsidR="002255D2">
              <w:rPr>
                <w:rFonts w:ascii="Arial" w:hAnsi="Arial" w:cs="Arial"/>
                <w:snapToGrid w:val="0"/>
                <w:sz w:val="22"/>
                <w:szCs w:val="22"/>
                <w:lang w:val="fr"/>
              </w:rPr>
              <w:t>’</w:t>
            </w:r>
            <w:r w:rsidR="00803D3F">
              <w:rPr>
                <w:rFonts w:ascii="Arial" w:hAnsi="Arial" w:cs="Arial"/>
                <w:snapToGrid w:val="0"/>
                <w:sz w:val="22"/>
                <w:szCs w:val="22"/>
                <w:lang w:val="fr"/>
              </w:rPr>
              <w:t>Organe d</w:t>
            </w:r>
            <w:r w:rsidR="002255D2">
              <w:rPr>
                <w:rFonts w:ascii="Arial" w:hAnsi="Arial" w:cs="Arial"/>
                <w:snapToGrid w:val="0"/>
                <w:sz w:val="22"/>
                <w:szCs w:val="22"/>
                <w:lang w:val="fr"/>
              </w:rPr>
              <w:t>’</w:t>
            </w:r>
            <w:r w:rsidR="00803D3F">
              <w:rPr>
                <w:rFonts w:ascii="Arial" w:hAnsi="Arial" w:cs="Arial"/>
                <w:snapToGrid w:val="0"/>
                <w:sz w:val="22"/>
                <w:szCs w:val="22"/>
                <w:lang w:val="fr"/>
              </w:rPr>
              <w:t>évaluation est confronté. Par exemple, en créant un organe distinct pour évaluer les dossiers soumis pour le Registre et les éléments renvoyés de la Liste de sauvegarde urgente.</w:t>
            </w:r>
          </w:p>
          <w:p w14:paraId="06E7AABC" w14:textId="45CB0831" w:rsidR="0087601F" w:rsidRPr="00803D3F" w:rsidRDefault="005F4406"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Bien qu</w:t>
            </w:r>
            <w:r w:rsidR="002255D2">
              <w:rPr>
                <w:rFonts w:ascii="Arial" w:hAnsi="Arial" w:cs="Arial"/>
                <w:snapToGrid w:val="0"/>
                <w:sz w:val="22"/>
                <w:szCs w:val="22"/>
                <w:lang w:val="fr"/>
              </w:rPr>
              <w:t>’</w:t>
            </w:r>
            <w:r>
              <w:rPr>
                <w:rFonts w:ascii="Arial" w:hAnsi="Arial" w:cs="Arial"/>
                <w:snapToGrid w:val="0"/>
                <w:sz w:val="22"/>
                <w:szCs w:val="22"/>
                <w:lang w:val="fr"/>
              </w:rPr>
              <w:t xml:space="preserve">il soit implicite que les groupes et les communautés restent ouverts à la consultation ou à la collaboration, la réalité de la capacité à faire face à de telles demandes peut ne pas être la même pour toutes les communautés ou tous les États parties. Il doit être clair que nous ne créons pas un scénario dans lequel seuls les projets à grande échelle ou destinés à la consommation internationale devraient être activement promus ; les programmes au niveau local sont tout aussi précieux, voire parfois plus. </w:t>
            </w:r>
          </w:p>
          <w:p w14:paraId="4E5E2ED9" w14:textId="77777777" w:rsidR="00D47FBA" w:rsidRPr="00D47FBA" w:rsidRDefault="00D47FBA" w:rsidP="00190389">
            <w:pPr>
              <w:ind w:left="720"/>
              <w:rPr>
                <w:rFonts w:ascii="Arial" w:hAnsi="Arial" w:cs="Arial"/>
                <w:snapToGrid w:val="0"/>
                <w:sz w:val="22"/>
                <w:szCs w:val="22"/>
              </w:rPr>
            </w:pPr>
          </w:p>
          <w:p w14:paraId="2D12A6FC" w14:textId="19062C86" w:rsidR="00803D3F" w:rsidRPr="00803D3F" w:rsidRDefault="00B65DC3" w:rsidP="0083092F">
            <w:pPr>
              <w:pStyle w:val="ListParagraph"/>
              <w:numPr>
                <w:ilvl w:val="0"/>
                <w:numId w:val="6"/>
              </w:numPr>
              <w:rPr>
                <w:rFonts w:ascii="Arial" w:hAnsi="Arial" w:cs="Arial"/>
                <w:b/>
                <w:bCs/>
                <w:snapToGrid w:val="0"/>
                <w:sz w:val="22"/>
                <w:szCs w:val="22"/>
              </w:rPr>
            </w:pPr>
            <w:r>
              <w:rPr>
                <w:rFonts w:ascii="Arial" w:hAnsi="Arial" w:cs="Arial"/>
                <w:b/>
                <w:bCs/>
                <w:snapToGrid w:val="0"/>
                <w:sz w:val="22"/>
                <w:szCs w:val="22"/>
                <w:lang w:val="fr"/>
              </w:rPr>
              <w:t xml:space="preserve">Revoir les mécanismes de </w:t>
            </w:r>
            <w:r w:rsidR="00C4473E">
              <w:rPr>
                <w:rFonts w:ascii="Arial" w:hAnsi="Arial" w:cs="Arial"/>
                <w:b/>
                <w:bCs/>
                <w:snapToGrid w:val="0"/>
                <w:sz w:val="22"/>
                <w:szCs w:val="22"/>
                <w:lang w:val="fr"/>
              </w:rPr>
              <w:t xml:space="preserve">suivi </w:t>
            </w:r>
            <w:r>
              <w:rPr>
                <w:rFonts w:ascii="Arial" w:hAnsi="Arial" w:cs="Arial"/>
                <w:b/>
                <w:bCs/>
                <w:snapToGrid w:val="0"/>
                <w:sz w:val="22"/>
                <w:szCs w:val="22"/>
                <w:lang w:val="fr"/>
              </w:rPr>
              <w:t xml:space="preserve">afin de renforcer le Registre : </w:t>
            </w:r>
          </w:p>
          <w:p w14:paraId="40E9962D" w14:textId="5E2B6F3F" w:rsidR="00A54509" w:rsidRPr="00426BE5" w:rsidRDefault="00A54509" w:rsidP="0083092F">
            <w:pPr>
              <w:pStyle w:val="ListParagraph"/>
              <w:numPr>
                <w:ilvl w:val="0"/>
                <w:numId w:val="5"/>
              </w:numPr>
              <w:rPr>
                <w:rFonts w:ascii="Arial" w:hAnsi="Arial" w:cs="Arial"/>
                <w:b/>
                <w:bCs/>
                <w:snapToGrid w:val="0"/>
                <w:sz w:val="22"/>
                <w:szCs w:val="22"/>
              </w:rPr>
            </w:pPr>
            <w:r>
              <w:rPr>
                <w:rFonts w:ascii="Arial" w:hAnsi="Arial" w:cs="Arial"/>
                <w:snapToGrid w:val="0"/>
                <w:sz w:val="22"/>
                <w:szCs w:val="22"/>
                <w:lang w:val="fr"/>
              </w:rPr>
              <w:t>Inclure dans les rapports périodiques une section indiquant si les acteurs et les réseaux ont été contactés, ainsi que des exemples, et inclure les points de vue des États parties sur leur</w:t>
            </w:r>
            <w:r w:rsidR="00C4473E">
              <w:rPr>
                <w:rFonts w:ascii="Arial" w:hAnsi="Arial" w:cs="Arial"/>
                <w:snapToGrid w:val="0"/>
                <w:sz w:val="22"/>
                <w:szCs w:val="22"/>
                <w:lang w:val="fr"/>
              </w:rPr>
              <w:t>s</w:t>
            </w:r>
            <w:r>
              <w:rPr>
                <w:rFonts w:ascii="Arial" w:hAnsi="Arial" w:cs="Arial"/>
                <w:snapToGrid w:val="0"/>
                <w:sz w:val="22"/>
                <w:szCs w:val="22"/>
                <w:lang w:val="fr"/>
              </w:rPr>
              <w:t xml:space="preserve"> expérience</w:t>
            </w:r>
            <w:r w:rsidR="00C4473E">
              <w:rPr>
                <w:rFonts w:ascii="Arial" w:hAnsi="Arial" w:cs="Arial"/>
                <w:snapToGrid w:val="0"/>
                <w:sz w:val="22"/>
                <w:szCs w:val="22"/>
                <w:lang w:val="fr"/>
              </w:rPr>
              <w:t>s</w:t>
            </w:r>
            <w:r>
              <w:rPr>
                <w:rFonts w:ascii="Arial" w:hAnsi="Arial" w:cs="Arial"/>
                <w:snapToGrid w:val="0"/>
                <w:sz w:val="22"/>
                <w:szCs w:val="22"/>
                <w:lang w:val="fr"/>
              </w:rPr>
              <w:t xml:space="preserve"> en matière de partage du Registre avec les personnes/États parties intéressés</w:t>
            </w:r>
          </w:p>
          <w:p w14:paraId="177E4CC7" w14:textId="5F38FF16" w:rsidR="00803D3F" w:rsidRPr="00426BE5" w:rsidRDefault="00803D3F"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Possibilité pour les communautés, les groupes et, le cas échéant, les individus, de mentionner la manière dont ils souhaitent que le programme progresse (à ce stade, le groupe n</w:t>
            </w:r>
            <w:r w:rsidR="002255D2">
              <w:rPr>
                <w:rFonts w:ascii="Arial" w:hAnsi="Arial" w:cs="Arial"/>
                <w:snapToGrid w:val="0"/>
                <w:sz w:val="22"/>
                <w:szCs w:val="22"/>
                <w:lang w:val="fr"/>
              </w:rPr>
              <w:t>’</w:t>
            </w:r>
            <w:r>
              <w:rPr>
                <w:rFonts w:ascii="Arial" w:hAnsi="Arial" w:cs="Arial"/>
                <w:snapToGrid w:val="0"/>
                <w:sz w:val="22"/>
                <w:szCs w:val="22"/>
                <w:lang w:val="fr"/>
              </w:rPr>
              <w:t>a pas décidé s</w:t>
            </w:r>
            <w:r w:rsidR="002255D2">
              <w:rPr>
                <w:rFonts w:ascii="Arial" w:hAnsi="Arial" w:cs="Arial"/>
                <w:snapToGrid w:val="0"/>
                <w:sz w:val="22"/>
                <w:szCs w:val="22"/>
                <w:lang w:val="fr"/>
              </w:rPr>
              <w:t>’</w:t>
            </w:r>
            <w:r>
              <w:rPr>
                <w:rFonts w:ascii="Arial" w:hAnsi="Arial" w:cs="Arial"/>
                <w:snapToGrid w:val="0"/>
                <w:sz w:val="22"/>
                <w:szCs w:val="22"/>
                <w:lang w:val="fr"/>
              </w:rPr>
              <w:t>il fallait inclure cette information dans le formulaire de candidature ou dans le rapport périodique)</w:t>
            </w:r>
          </w:p>
          <w:p w14:paraId="186E00B7" w14:textId="03A7C764" w:rsidR="00536860" w:rsidRPr="005F4406" w:rsidRDefault="00E90037"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 xml:space="preserve">Le cadre </w:t>
            </w:r>
            <w:r w:rsidR="00C4473E">
              <w:rPr>
                <w:rFonts w:ascii="Arial" w:hAnsi="Arial" w:cs="Arial"/>
                <w:snapToGrid w:val="0"/>
                <w:sz w:val="22"/>
                <w:szCs w:val="22"/>
                <w:lang w:val="fr"/>
              </w:rPr>
              <w:t xml:space="preserve">global </w:t>
            </w:r>
            <w:r>
              <w:rPr>
                <w:rFonts w:ascii="Arial" w:hAnsi="Arial" w:cs="Arial"/>
                <w:snapToGrid w:val="0"/>
                <w:sz w:val="22"/>
                <w:szCs w:val="22"/>
                <w:lang w:val="fr"/>
              </w:rPr>
              <w:t>de résultats peut être utilisé comme moyen de cartographier ce qui précède. En outre, ce cadre pourrait solliciter les contributions des États parties sur la manière dont leur programme a contribué ou contribuera (en fonction du statut du programme) à l</w:t>
            </w:r>
            <w:r w:rsidR="002255D2">
              <w:rPr>
                <w:rFonts w:ascii="Arial" w:hAnsi="Arial" w:cs="Arial"/>
                <w:snapToGrid w:val="0"/>
                <w:sz w:val="22"/>
                <w:szCs w:val="22"/>
                <w:lang w:val="fr"/>
              </w:rPr>
              <w:t>’</w:t>
            </w:r>
            <w:r>
              <w:rPr>
                <w:rFonts w:ascii="Arial" w:hAnsi="Arial" w:cs="Arial"/>
                <w:snapToGrid w:val="0"/>
                <w:sz w:val="22"/>
                <w:szCs w:val="22"/>
                <w:lang w:val="fr"/>
              </w:rPr>
              <w:t xml:space="preserve">agenda 2030 plus large pour le </w:t>
            </w:r>
            <w:r>
              <w:rPr>
                <w:rFonts w:ascii="Arial" w:hAnsi="Arial" w:cs="Arial"/>
                <w:snapToGrid w:val="0"/>
                <w:sz w:val="22"/>
                <w:szCs w:val="22"/>
                <w:lang w:val="fr"/>
              </w:rPr>
              <w:lastRenderedPageBreak/>
              <w:t>développement durable. Ce type de mécanisme basé sur le temps peut aider à aborder une perspective orientée vers l</w:t>
            </w:r>
            <w:r w:rsidR="002255D2">
              <w:rPr>
                <w:rFonts w:ascii="Arial" w:hAnsi="Arial" w:cs="Arial"/>
                <w:snapToGrid w:val="0"/>
                <w:sz w:val="22"/>
                <w:szCs w:val="22"/>
                <w:lang w:val="fr"/>
              </w:rPr>
              <w:t>’</w:t>
            </w:r>
            <w:r>
              <w:rPr>
                <w:rFonts w:ascii="Arial" w:hAnsi="Arial" w:cs="Arial"/>
                <w:snapToGrid w:val="0"/>
                <w:sz w:val="22"/>
                <w:szCs w:val="22"/>
                <w:lang w:val="fr"/>
              </w:rPr>
              <w:t>avenir, sans faire pression sur les États parties pour qu</w:t>
            </w:r>
            <w:r w:rsidR="002255D2">
              <w:rPr>
                <w:rFonts w:ascii="Arial" w:hAnsi="Arial" w:cs="Arial"/>
                <w:snapToGrid w:val="0"/>
                <w:sz w:val="22"/>
                <w:szCs w:val="22"/>
                <w:lang w:val="fr"/>
              </w:rPr>
              <w:t>’</w:t>
            </w:r>
            <w:r>
              <w:rPr>
                <w:rFonts w:ascii="Arial" w:hAnsi="Arial" w:cs="Arial"/>
                <w:snapToGrid w:val="0"/>
                <w:sz w:val="22"/>
                <w:szCs w:val="22"/>
                <w:lang w:val="fr"/>
              </w:rPr>
              <w:t>ils s</w:t>
            </w:r>
            <w:r w:rsidR="002255D2">
              <w:rPr>
                <w:rFonts w:ascii="Arial" w:hAnsi="Arial" w:cs="Arial"/>
                <w:snapToGrid w:val="0"/>
                <w:sz w:val="22"/>
                <w:szCs w:val="22"/>
                <w:lang w:val="fr"/>
              </w:rPr>
              <w:t>’</w:t>
            </w:r>
            <w:r>
              <w:rPr>
                <w:rFonts w:ascii="Arial" w:hAnsi="Arial" w:cs="Arial"/>
                <w:snapToGrid w:val="0"/>
                <w:sz w:val="22"/>
                <w:szCs w:val="22"/>
                <w:lang w:val="fr"/>
              </w:rPr>
              <w:t>engagent (s</w:t>
            </w:r>
            <w:r w:rsidR="002255D2">
              <w:rPr>
                <w:rFonts w:ascii="Arial" w:hAnsi="Arial" w:cs="Arial"/>
                <w:snapToGrid w:val="0"/>
                <w:sz w:val="22"/>
                <w:szCs w:val="22"/>
                <w:lang w:val="fr"/>
              </w:rPr>
              <w:t>’</w:t>
            </w:r>
            <w:r>
              <w:rPr>
                <w:rFonts w:ascii="Arial" w:hAnsi="Arial" w:cs="Arial"/>
                <w:snapToGrid w:val="0"/>
                <w:sz w:val="22"/>
                <w:szCs w:val="22"/>
                <w:lang w:val="fr"/>
              </w:rPr>
              <w:t>ils n</w:t>
            </w:r>
            <w:r w:rsidR="002255D2">
              <w:rPr>
                <w:rFonts w:ascii="Arial" w:hAnsi="Arial" w:cs="Arial"/>
                <w:snapToGrid w:val="0"/>
                <w:sz w:val="22"/>
                <w:szCs w:val="22"/>
                <w:lang w:val="fr"/>
              </w:rPr>
              <w:t>’</w:t>
            </w:r>
            <w:r>
              <w:rPr>
                <w:rFonts w:ascii="Arial" w:hAnsi="Arial" w:cs="Arial"/>
                <w:snapToGrid w:val="0"/>
                <w:sz w:val="22"/>
                <w:szCs w:val="22"/>
                <w:lang w:val="fr"/>
              </w:rPr>
              <w:t>ont pas les ressources pour le faire), ou à exclure les États parties du partage/de l</w:t>
            </w:r>
            <w:r w:rsidR="002255D2">
              <w:rPr>
                <w:rFonts w:ascii="Arial" w:hAnsi="Arial" w:cs="Arial"/>
                <w:snapToGrid w:val="0"/>
                <w:sz w:val="22"/>
                <w:szCs w:val="22"/>
                <w:lang w:val="fr"/>
              </w:rPr>
              <w:t>’</w:t>
            </w:r>
            <w:r>
              <w:rPr>
                <w:rFonts w:ascii="Arial" w:hAnsi="Arial" w:cs="Arial"/>
                <w:snapToGrid w:val="0"/>
                <w:sz w:val="22"/>
                <w:szCs w:val="22"/>
                <w:lang w:val="fr"/>
              </w:rPr>
              <w:t>inscription de programmes de valeur au Registre</w:t>
            </w:r>
          </w:p>
          <w:p w14:paraId="55F76FA8" w14:textId="569905D1" w:rsidR="008F1DC3" w:rsidRDefault="008F1DC3"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 xml:space="preserve">Il est nécessaire de se pencher sur les ressources requises pour atteindre et maintenir le résultat souhaité de partage/apprentissage actif du programme </w:t>
            </w:r>
            <w:r w:rsidR="0083092F">
              <w:rPr>
                <w:rFonts w:ascii="Arial" w:hAnsi="Arial" w:cs="Arial"/>
                <w:snapToGrid w:val="0"/>
                <w:sz w:val="22"/>
                <w:szCs w:val="22"/>
                <w:lang w:val="fr"/>
              </w:rPr>
              <w:t>sélectionné</w:t>
            </w:r>
            <w:r>
              <w:rPr>
                <w:rFonts w:ascii="Arial" w:hAnsi="Arial" w:cs="Arial"/>
                <w:snapToGrid w:val="0"/>
                <w:sz w:val="22"/>
                <w:szCs w:val="22"/>
                <w:lang w:val="fr"/>
              </w:rPr>
              <w:t>.</w:t>
            </w:r>
          </w:p>
          <w:p w14:paraId="50208417" w14:textId="47810F7F" w:rsidR="00EC40D4" w:rsidRDefault="00B043E7"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Inviter et encourager les États parties à s</w:t>
            </w:r>
            <w:r w:rsidR="002255D2">
              <w:rPr>
                <w:rFonts w:ascii="Arial" w:hAnsi="Arial" w:cs="Arial"/>
                <w:snapToGrid w:val="0"/>
                <w:sz w:val="22"/>
                <w:szCs w:val="22"/>
                <w:lang w:val="fr"/>
              </w:rPr>
              <w:t>’</w:t>
            </w:r>
            <w:r>
              <w:rPr>
                <w:rFonts w:ascii="Arial" w:hAnsi="Arial" w:cs="Arial"/>
                <w:snapToGrid w:val="0"/>
                <w:sz w:val="22"/>
                <w:szCs w:val="22"/>
                <w:lang w:val="fr"/>
              </w:rPr>
              <w:t xml:space="preserve">engager à </w:t>
            </w:r>
            <w:proofErr w:type="spellStart"/>
            <w:r>
              <w:rPr>
                <w:rFonts w:ascii="Arial" w:hAnsi="Arial" w:cs="Arial"/>
                <w:snapToGrid w:val="0"/>
                <w:sz w:val="22"/>
                <w:szCs w:val="22"/>
                <w:lang w:val="fr"/>
              </w:rPr>
              <w:t>co</w:t>
            </w:r>
            <w:proofErr w:type="spellEnd"/>
            <w:r>
              <w:rPr>
                <w:rFonts w:ascii="Arial" w:hAnsi="Arial" w:cs="Arial"/>
                <w:snapToGrid w:val="0"/>
                <w:sz w:val="22"/>
                <w:szCs w:val="22"/>
                <w:lang w:val="fr"/>
              </w:rPr>
              <w:t xml:space="preserve">-investir pour soutenir le programme. Cela pourrait être inscrit dans le formulaire de candidature. </w:t>
            </w:r>
          </w:p>
          <w:p w14:paraId="059688DF" w14:textId="1E421D6E" w:rsidR="00124175" w:rsidRDefault="00124175" w:rsidP="0071555E">
            <w:pPr>
              <w:rPr>
                <w:rFonts w:ascii="Arial" w:hAnsi="Arial" w:cs="Arial"/>
                <w:snapToGrid w:val="0"/>
                <w:sz w:val="22"/>
                <w:szCs w:val="22"/>
              </w:rPr>
            </w:pPr>
          </w:p>
          <w:p w14:paraId="792549DC" w14:textId="3D3C5C8B" w:rsidR="00E12665" w:rsidRPr="00803D3F" w:rsidRDefault="008D34FB" w:rsidP="0083092F">
            <w:pPr>
              <w:pStyle w:val="ListParagraph"/>
              <w:numPr>
                <w:ilvl w:val="0"/>
                <w:numId w:val="6"/>
              </w:numPr>
              <w:rPr>
                <w:rFonts w:ascii="Arial" w:hAnsi="Arial" w:cs="Arial"/>
                <w:b/>
                <w:bCs/>
                <w:snapToGrid w:val="0"/>
                <w:sz w:val="22"/>
                <w:szCs w:val="22"/>
              </w:rPr>
            </w:pPr>
            <w:r>
              <w:rPr>
                <w:rFonts w:ascii="Arial" w:hAnsi="Arial" w:cs="Arial"/>
                <w:b/>
                <w:bCs/>
                <w:snapToGrid w:val="0"/>
                <w:sz w:val="22"/>
                <w:szCs w:val="22"/>
                <w:lang w:val="fr"/>
              </w:rPr>
              <w:t>Ajustements recommandés pour les critères et le formulaire de candidature afin de mieux répondre à l</w:t>
            </w:r>
            <w:r w:rsidR="002255D2">
              <w:rPr>
                <w:rFonts w:ascii="Arial" w:hAnsi="Arial" w:cs="Arial"/>
                <w:b/>
                <w:bCs/>
                <w:snapToGrid w:val="0"/>
                <w:sz w:val="22"/>
                <w:szCs w:val="22"/>
                <w:lang w:val="fr"/>
              </w:rPr>
              <w:t>’</w:t>
            </w:r>
            <w:r>
              <w:rPr>
                <w:rFonts w:ascii="Arial" w:hAnsi="Arial" w:cs="Arial"/>
                <w:b/>
                <w:bCs/>
                <w:snapToGrid w:val="0"/>
                <w:sz w:val="22"/>
                <w:szCs w:val="22"/>
                <w:lang w:val="fr"/>
              </w:rPr>
              <w:t>article 18</w:t>
            </w:r>
          </w:p>
          <w:p w14:paraId="73306B97" w14:textId="3F3D9E1F" w:rsidR="00926FB3" w:rsidRPr="00926FB3" w:rsidRDefault="00926FB3" w:rsidP="00E12665">
            <w:pPr>
              <w:rPr>
                <w:rFonts w:ascii="Arial" w:hAnsi="Arial" w:cs="Arial"/>
                <w:snapToGrid w:val="0"/>
                <w:sz w:val="22"/>
                <w:szCs w:val="22"/>
              </w:rPr>
            </w:pPr>
            <w:r>
              <w:rPr>
                <w:rFonts w:ascii="Arial" w:hAnsi="Arial" w:cs="Arial"/>
                <w:b/>
                <w:bCs/>
                <w:snapToGrid w:val="0"/>
                <w:sz w:val="22"/>
                <w:szCs w:val="22"/>
                <w:lang w:val="fr"/>
              </w:rPr>
              <w:t xml:space="preserve">            </w:t>
            </w:r>
            <w:r>
              <w:rPr>
                <w:rFonts w:ascii="Arial" w:hAnsi="Arial" w:cs="Arial"/>
                <w:snapToGrid w:val="0"/>
                <w:sz w:val="22"/>
                <w:szCs w:val="22"/>
                <w:lang w:val="fr"/>
              </w:rPr>
              <w:t>Les discussions suivantes ont été menées afin de s</w:t>
            </w:r>
            <w:r w:rsidR="002255D2">
              <w:rPr>
                <w:rFonts w:ascii="Arial" w:hAnsi="Arial" w:cs="Arial"/>
                <w:snapToGrid w:val="0"/>
                <w:sz w:val="22"/>
                <w:szCs w:val="22"/>
                <w:lang w:val="fr"/>
              </w:rPr>
              <w:t>’</w:t>
            </w:r>
            <w:r>
              <w:rPr>
                <w:rFonts w:ascii="Arial" w:hAnsi="Arial" w:cs="Arial"/>
                <w:snapToGrid w:val="0"/>
                <w:sz w:val="22"/>
                <w:szCs w:val="22"/>
                <w:lang w:val="fr"/>
              </w:rPr>
              <w:t>aligner sur l</w:t>
            </w:r>
            <w:r w:rsidR="002255D2">
              <w:rPr>
                <w:rFonts w:ascii="Arial" w:hAnsi="Arial" w:cs="Arial"/>
                <w:snapToGrid w:val="0"/>
                <w:sz w:val="22"/>
                <w:szCs w:val="22"/>
                <w:lang w:val="fr"/>
              </w:rPr>
              <w:t>’</w:t>
            </w:r>
            <w:r>
              <w:rPr>
                <w:rFonts w:ascii="Arial" w:hAnsi="Arial" w:cs="Arial"/>
                <w:snapToGrid w:val="0"/>
                <w:sz w:val="22"/>
                <w:szCs w:val="22"/>
                <w:lang w:val="fr"/>
              </w:rPr>
              <w:t xml:space="preserve">objectif             </w:t>
            </w:r>
          </w:p>
          <w:p w14:paraId="5F0BEF85" w14:textId="77777777" w:rsidR="00926FB3" w:rsidRPr="00926FB3" w:rsidRDefault="00926FB3" w:rsidP="00E12665">
            <w:pPr>
              <w:rPr>
                <w:rFonts w:ascii="Arial" w:hAnsi="Arial" w:cs="Arial"/>
                <w:snapToGrid w:val="0"/>
                <w:sz w:val="22"/>
                <w:szCs w:val="22"/>
              </w:rPr>
            </w:pPr>
            <w:r>
              <w:rPr>
                <w:rFonts w:ascii="Arial" w:hAnsi="Arial" w:cs="Arial"/>
                <w:snapToGrid w:val="0"/>
                <w:sz w:val="22"/>
                <w:szCs w:val="22"/>
                <w:lang w:val="fr"/>
              </w:rPr>
              <w:t xml:space="preserve">            </w:t>
            </w:r>
            <w:proofErr w:type="gramStart"/>
            <w:r>
              <w:rPr>
                <w:rFonts w:ascii="Arial" w:hAnsi="Arial" w:cs="Arial"/>
                <w:snapToGrid w:val="0"/>
                <w:sz w:val="22"/>
                <w:szCs w:val="22"/>
                <w:lang w:val="fr"/>
              </w:rPr>
              <w:t>du</w:t>
            </w:r>
            <w:proofErr w:type="gramEnd"/>
            <w:r>
              <w:rPr>
                <w:rFonts w:ascii="Arial" w:hAnsi="Arial" w:cs="Arial"/>
                <w:snapToGrid w:val="0"/>
                <w:sz w:val="22"/>
                <w:szCs w:val="22"/>
                <w:lang w:val="fr"/>
              </w:rPr>
              <w:t xml:space="preserve"> Registre et les éventuels efforts en aval pour permettre un meilleur accès au  </w:t>
            </w:r>
          </w:p>
          <w:p w14:paraId="7E12F327" w14:textId="1D08ACC4" w:rsidR="00926FB3" w:rsidRPr="00926FB3" w:rsidRDefault="00926FB3" w:rsidP="00E12665">
            <w:pPr>
              <w:rPr>
                <w:rFonts w:ascii="Arial" w:hAnsi="Arial" w:cs="Arial"/>
                <w:snapToGrid w:val="0"/>
                <w:sz w:val="22"/>
                <w:szCs w:val="22"/>
              </w:rPr>
            </w:pPr>
            <w:r>
              <w:rPr>
                <w:rFonts w:ascii="Arial" w:hAnsi="Arial" w:cs="Arial"/>
                <w:snapToGrid w:val="0"/>
                <w:sz w:val="22"/>
                <w:szCs w:val="22"/>
                <w:lang w:val="fr"/>
              </w:rPr>
              <w:t xml:space="preserve">            Registre</w:t>
            </w:r>
            <w:r w:rsidR="0083092F">
              <w:rPr>
                <w:rFonts w:ascii="Arial" w:hAnsi="Arial" w:cs="Arial"/>
                <w:snapToGrid w:val="0"/>
                <w:sz w:val="22"/>
                <w:szCs w:val="22"/>
                <w:lang w:val="fr"/>
              </w:rPr>
              <w:t> :</w:t>
            </w:r>
          </w:p>
          <w:p w14:paraId="2C78FD84" w14:textId="18D44443" w:rsidR="00926FB3" w:rsidRDefault="0083092F"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Le formulaire</w:t>
            </w:r>
            <w:r w:rsidR="00B70EA0">
              <w:rPr>
                <w:rFonts w:ascii="Arial" w:hAnsi="Arial" w:cs="Arial"/>
                <w:snapToGrid w:val="0"/>
                <w:sz w:val="22"/>
                <w:szCs w:val="22"/>
                <w:lang w:val="fr"/>
              </w:rPr>
              <w:t xml:space="preserve"> actuel semble créer un certain détachement entre les mesures de sauvegarde et l</w:t>
            </w:r>
            <w:r w:rsidR="002255D2">
              <w:rPr>
                <w:rFonts w:ascii="Arial" w:hAnsi="Arial" w:cs="Arial"/>
                <w:snapToGrid w:val="0"/>
                <w:sz w:val="22"/>
                <w:szCs w:val="22"/>
                <w:lang w:val="fr"/>
              </w:rPr>
              <w:t>’</w:t>
            </w:r>
            <w:r w:rsidR="00B70EA0">
              <w:rPr>
                <w:rFonts w:ascii="Arial" w:hAnsi="Arial" w:cs="Arial"/>
                <w:snapToGrid w:val="0"/>
                <w:sz w:val="22"/>
                <w:szCs w:val="22"/>
                <w:lang w:val="fr"/>
              </w:rPr>
              <w:t>élément du PCI pour lequel elles sont proposées. Le fait de ne pas poser de questions sur cet élément pourrait empêcher le lecteur de comprendre pleinement le contexte, ce qui aurait une incidence sur la pertinence du programme pour les communautés</w:t>
            </w:r>
            <w:r>
              <w:rPr>
                <w:rFonts w:ascii="Arial" w:hAnsi="Arial" w:cs="Arial"/>
                <w:snapToGrid w:val="0"/>
                <w:sz w:val="22"/>
                <w:szCs w:val="22"/>
                <w:lang w:val="fr"/>
              </w:rPr>
              <w:t>, en le rendant</w:t>
            </w:r>
            <w:r w:rsidR="00B70EA0">
              <w:rPr>
                <w:rFonts w:ascii="Arial" w:hAnsi="Arial" w:cs="Arial"/>
                <w:snapToGrid w:val="0"/>
                <w:sz w:val="22"/>
                <w:szCs w:val="22"/>
                <w:lang w:val="fr"/>
              </w:rPr>
              <w:t xml:space="preserve"> abstrait.</w:t>
            </w:r>
          </w:p>
          <w:p w14:paraId="72747BB1" w14:textId="6249EB02" w:rsidR="00803D3F" w:rsidRPr="00803D3F" w:rsidRDefault="00803D3F"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Langage utilisé pour décrire le Registre, qui a un impact sur la compréhension du programme à proposer : le programme est-il limité dans le temps ? Est-il terminé ? Etc. Cela a un impact sur la compréhension du programme.</w:t>
            </w:r>
          </w:p>
          <w:p w14:paraId="33DCB57D" w14:textId="18FDEEC4" w:rsidR="00C66865" w:rsidRDefault="00926FB3"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Il a également été constaté que certains critères présentaient des similitudes et qu</w:t>
            </w:r>
            <w:r w:rsidR="002255D2">
              <w:rPr>
                <w:rFonts w:ascii="Arial" w:hAnsi="Arial" w:cs="Arial"/>
                <w:snapToGrid w:val="0"/>
                <w:sz w:val="22"/>
                <w:szCs w:val="22"/>
                <w:lang w:val="fr"/>
              </w:rPr>
              <w:t>’</w:t>
            </w:r>
            <w:r>
              <w:rPr>
                <w:rFonts w:ascii="Arial" w:hAnsi="Arial" w:cs="Arial"/>
                <w:snapToGrid w:val="0"/>
                <w:sz w:val="22"/>
                <w:szCs w:val="22"/>
                <w:lang w:val="fr"/>
              </w:rPr>
              <w:t>ils pourraient être fusionnés afin d</w:t>
            </w:r>
            <w:r w:rsidR="002255D2">
              <w:rPr>
                <w:rFonts w:ascii="Arial" w:hAnsi="Arial" w:cs="Arial"/>
                <w:snapToGrid w:val="0"/>
                <w:sz w:val="22"/>
                <w:szCs w:val="22"/>
                <w:lang w:val="fr"/>
              </w:rPr>
              <w:t>’</w:t>
            </w:r>
            <w:r>
              <w:rPr>
                <w:rFonts w:ascii="Arial" w:hAnsi="Arial" w:cs="Arial"/>
                <w:snapToGrid w:val="0"/>
                <w:sz w:val="22"/>
                <w:szCs w:val="22"/>
                <w:lang w:val="fr"/>
              </w:rPr>
              <w:t>alléger le processus apparemment onéreux d</w:t>
            </w:r>
            <w:r w:rsidR="0083092F">
              <w:rPr>
                <w:rFonts w:ascii="Arial" w:hAnsi="Arial" w:cs="Arial"/>
                <w:snapToGrid w:val="0"/>
                <w:sz w:val="22"/>
                <w:szCs w:val="22"/>
                <w:lang w:val="fr"/>
              </w:rPr>
              <w:t>’entrée des réponses dans le</w:t>
            </w:r>
            <w:r>
              <w:rPr>
                <w:rFonts w:ascii="Arial" w:hAnsi="Arial" w:cs="Arial"/>
                <w:snapToGrid w:val="0"/>
                <w:sz w:val="22"/>
                <w:szCs w:val="22"/>
                <w:lang w:val="fr"/>
              </w:rPr>
              <w:t xml:space="preserve"> formulaire de candidature. Les critères suivants du formulaire pourraient être combinés, compte tenu des similitudes entre les informations requises :</w:t>
            </w:r>
          </w:p>
          <w:p w14:paraId="6FBC66FC" w14:textId="0251F342" w:rsidR="00926FB3" w:rsidRDefault="00926FB3" w:rsidP="0083092F">
            <w:pPr>
              <w:pStyle w:val="ListParagraph"/>
              <w:numPr>
                <w:ilvl w:val="0"/>
                <w:numId w:val="5"/>
              </w:numPr>
              <w:rPr>
                <w:rFonts w:ascii="Arial" w:hAnsi="Arial" w:cs="Arial"/>
                <w:snapToGrid w:val="0"/>
                <w:sz w:val="22"/>
                <w:szCs w:val="22"/>
              </w:rPr>
            </w:pPr>
            <w:r>
              <w:rPr>
                <w:rFonts w:ascii="Arial" w:hAnsi="Arial" w:cs="Arial"/>
                <w:snapToGrid w:val="0"/>
                <w:sz w:val="22"/>
                <w:szCs w:val="22"/>
                <w:u w:val="single"/>
                <w:lang w:val="fr"/>
              </w:rPr>
              <w:t>P1 pourrait être fusionné avec P3</w:t>
            </w:r>
            <w:r>
              <w:rPr>
                <w:rFonts w:ascii="Arial" w:hAnsi="Arial" w:cs="Arial"/>
                <w:snapToGrid w:val="0"/>
                <w:sz w:val="22"/>
                <w:szCs w:val="22"/>
                <w:lang w:val="fr"/>
              </w:rPr>
              <w:t>, étant donné les similitudes entre les informations, avec l</w:t>
            </w:r>
            <w:r w:rsidR="002255D2">
              <w:rPr>
                <w:rFonts w:ascii="Arial" w:hAnsi="Arial" w:cs="Arial"/>
                <w:snapToGrid w:val="0"/>
                <w:sz w:val="22"/>
                <w:szCs w:val="22"/>
                <w:lang w:val="fr"/>
              </w:rPr>
              <w:t>’</w:t>
            </w:r>
            <w:r>
              <w:rPr>
                <w:rFonts w:ascii="Arial" w:hAnsi="Arial" w:cs="Arial"/>
                <w:snapToGrid w:val="0"/>
                <w:sz w:val="22"/>
                <w:szCs w:val="22"/>
                <w:lang w:val="fr"/>
              </w:rPr>
              <w:t>inclusion des Principes éthiques. Il convient de noter qu</w:t>
            </w:r>
            <w:r w:rsidR="002255D2">
              <w:rPr>
                <w:rFonts w:ascii="Arial" w:hAnsi="Arial" w:cs="Arial"/>
                <w:snapToGrid w:val="0"/>
                <w:sz w:val="22"/>
                <w:szCs w:val="22"/>
                <w:lang w:val="fr"/>
              </w:rPr>
              <w:t>’</w:t>
            </w:r>
            <w:r>
              <w:rPr>
                <w:rFonts w:ascii="Arial" w:hAnsi="Arial" w:cs="Arial"/>
                <w:snapToGrid w:val="0"/>
                <w:sz w:val="22"/>
                <w:szCs w:val="22"/>
                <w:lang w:val="fr"/>
              </w:rPr>
              <w:t>il est utile de conserver le point P1, étant donné qu</w:t>
            </w:r>
            <w:r w:rsidR="002255D2">
              <w:rPr>
                <w:rFonts w:ascii="Arial" w:hAnsi="Arial" w:cs="Arial"/>
                <w:snapToGrid w:val="0"/>
                <w:sz w:val="22"/>
                <w:szCs w:val="22"/>
                <w:lang w:val="fr"/>
              </w:rPr>
              <w:t>’</w:t>
            </w:r>
            <w:r>
              <w:rPr>
                <w:rFonts w:ascii="Arial" w:hAnsi="Arial" w:cs="Arial"/>
                <w:snapToGrid w:val="0"/>
                <w:sz w:val="22"/>
                <w:szCs w:val="22"/>
                <w:lang w:val="fr"/>
              </w:rPr>
              <w:t>il permet au lecteur, en particulier à l</w:t>
            </w:r>
            <w:r w:rsidR="002255D2">
              <w:rPr>
                <w:rFonts w:ascii="Arial" w:hAnsi="Arial" w:cs="Arial"/>
                <w:snapToGrid w:val="0"/>
                <w:sz w:val="22"/>
                <w:szCs w:val="22"/>
                <w:lang w:val="fr"/>
              </w:rPr>
              <w:t>’</w:t>
            </w:r>
            <w:r>
              <w:rPr>
                <w:rFonts w:ascii="Arial" w:hAnsi="Arial" w:cs="Arial"/>
                <w:snapToGrid w:val="0"/>
                <w:sz w:val="22"/>
                <w:szCs w:val="22"/>
                <w:lang w:val="fr"/>
              </w:rPr>
              <w:t>Organe d</w:t>
            </w:r>
            <w:r w:rsidR="002255D2">
              <w:rPr>
                <w:rFonts w:ascii="Arial" w:hAnsi="Arial" w:cs="Arial"/>
                <w:snapToGrid w:val="0"/>
                <w:sz w:val="22"/>
                <w:szCs w:val="22"/>
                <w:lang w:val="fr"/>
              </w:rPr>
              <w:t>’</w:t>
            </w:r>
            <w:r>
              <w:rPr>
                <w:rFonts w:ascii="Arial" w:hAnsi="Arial" w:cs="Arial"/>
                <w:snapToGrid w:val="0"/>
                <w:sz w:val="22"/>
                <w:szCs w:val="22"/>
                <w:lang w:val="fr"/>
              </w:rPr>
              <w:t>évaluation, de décider de l</w:t>
            </w:r>
            <w:r w:rsidR="002255D2">
              <w:rPr>
                <w:rFonts w:ascii="Arial" w:hAnsi="Arial" w:cs="Arial"/>
                <w:snapToGrid w:val="0"/>
                <w:sz w:val="22"/>
                <w:szCs w:val="22"/>
                <w:lang w:val="fr"/>
              </w:rPr>
              <w:t>’</w:t>
            </w:r>
            <w:r>
              <w:rPr>
                <w:rFonts w:ascii="Arial" w:hAnsi="Arial" w:cs="Arial"/>
                <w:snapToGrid w:val="0"/>
                <w:sz w:val="22"/>
                <w:szCs w:val="22"/>
                <w:lang w:val="fr"/>
              </w:rPr>
              <w:t>adéquation du programme pour le Registre. P1 pourrait être considéré comme un outil à conserver pour contribuer à l</w:t>
            </w:r>
            <w:r w:rsidR="002255D2">
              <w:rPr>
                <w:rFonts w:ascii="Arial" w:hAnsi="Arial" w:cs="Arial"/>
                <w:snapToGrid w:val="0"/>
                <w:sz w:val="22"/>
                <w:szCs w:val="22"/>
                <w:lang w:val="fr"/>
              </w:rPr>
              <w:t>’</w:t>
            </w:r>
            <w:r>
              <w:rPr>
                <w:rFonts w:ascii="Arial" w:hAnsi="Arial" w:cs="Arial"/>
                <w:snapToGrid w:val="0"/>
                <w:sz w:val="22"/>
                <w:szCs w:val="22"/>
                <w:lang w:val="fr"/>
              </w:rPr>
              <w:t>élimination des goul</w:t>
            </w:r>
            <w:r w:rsidR="0083092F">
              <w:rPr>
                <w:rFonts w:ascii="Arial" w:hAnsi="Arial" w:cs="Arial"/>
                <w:snapToGrid w:val="0"/>
                <w:sz w:val="22"/>
                <w:szCs w:val="22"/>
                <w:lang w:val="fr"/>
              </w:rPr>
              <w:t>o</w:t>
            </w:r>
            <w:r>
              <w:rPr>
                <w:rFonts w:ascii="Arial" w:hAnsi="Arial" w:cs="Arial"/>
                <w:snapToGrid w:val="0"/>
                <w:sz w:val="22"/>
                <w:szCs w:val="22"/>
                <w:lang w:val="fr"/>
              </w:rPr>
              <w:t>ts d</w:t>
            </w:r>
            <w:r w:rsidR="002255D2">
              <w:rPr>
                <w:rFonts w:ascii="Arial" w:hAnsi="Arial" w:cs="Arial"/>
                <w:snapToGrid w:val="0"/>
                <w:sz w:val="22"/>
                <w:szCs w:val="22"/>
                <w:lang w:val="fr"/>
              </w:rPr>
              <w:t>’</w:t>
            </w:r>
            <w:r>
              <w:rPr>
                <w:rFonts w:ascii="Arial" w:hAnsi="Arial" w:cs="Arial"/>
                <w:snapToGrid w:val="0"/>
                <w:sz w:val="22"/>
                <w:szCs w:val="22"/>
                <w:lang w:val="fr"/>
              </w:rPr>
              <w:t xml:space="preserve">étranglement pour </w:t>
            </w:r>
            <w:r w:rsidR="0083092F">
              <w:rPr>
                <w:rFonts w:ascii="Arial" w:hAnsi="Arial" w:cs="Arial"/>
                <w:snapToGrid w:val="0"/>
                <w:sz w:val="22"/>
                <w:szCs w:val="22"/>
                <w:lang w:val="fr"/>
              </w:rPr>
              <w:t>l’Organe d’évaluation</w:t>
            </w:r>
            <w:r>
              <w:rPr>
                <w:rFonts w:ascii="Arial" w:hAnsi="Arial" w:cs="Arial"/>
                <w:snapToGrid w:val="0"/>
                <w:sz w:val="22"/>
                <w:szCs w:val="22"/>
                <w:lang w:val="fr"/>
              </w:rPr>
              <w:t xml:space="preserve">. </w:t>
            </w:r>
          </w:p>
          <w:p w14:paraId="699BBC72" w14:textId="1CEDE3A0" w:rsidR="00926FB3" w:rsidRDefault="000371B5" w:rsidP="0083092F">
            <w:pPr>
              <w:pStyle w:val="ListParagraph"/>
              <w:numPr>
                <w:ilvl w:val="0"/>
                <w:numId w:val="5"/>
              </w:numPr>
              <w:rPr>
                <w:rFonts w:ascii="Arial" w:hAnsi="Arial" w:cs="Arial"/>
                <w:snapToGrid w:val="0"/>
                <w:sz w:val="22"/>
                <w:szCs w:val="22"/>
              </w:rPr>
            </w:pPr>
            <w:r>
              <w:rPr>
                <w:rFonts w:ascii="Arial" w:hAnsi="Arial" w:cs="Arial"/>
                <w:snapToGrid w:val="0"/>
                <w:sz w:val="22"/>
                <w:szCs w:val="22"/>
                <w:u w:val="single"/>
                <w:lang w:val="fr"/>
              </w:rPr>
              <w:t>P4 et P6</w:t>
            </w:r>
            <w:r>
              <w:rPr>
                <w:rFonts w:ascii="Arial" w:hAnsi="Arial" w:cs="Arial"/>
                <w:snapToGrid w:val="0"/>
                <w:sz w:val="22"/>
                <w:szCs w:val="22"/>
                <w:lang w:val="fr"/>
              </w:rPr>
              <w:t xml:space="preserve"> pourraient être combinés et affinés</w:t>
            </w:r>
            <w:r w:rsidR="0083092F">
              <w:rPr>
                <w:rFonts w:ascii="Arial" w:hAnsi="Arial" w:cs="Arial"/>
                <w:snapToGrid w:val="0"/>
                <w:sz w:val="22"/>
                <w:szCs w:val="22"/>
                <w:lang w:val="fr"/>
              </w:rPr>
              <w:t>.</w:t>
            </w:r>
          </w:p>
          <w:p w14:paraId="51D007AC" w14:textId="28FC2DC1" w:rsidR="007914C8" w:rsidRDefault="0083092F" w:rsidP="0083092F">
            <w:pPr>
              <w:pStyle w:val="ListParagraph"/>
              <w:numPr>
                <w:ilvl w:val="0"/>
                <w:numId w:val="5"/>
              </w:numPr>
              <w:rPr>
                <w:rFonts w:ascii="Arial" w:hAnsi="Arial" w:cs="Arial"/>
                <w:snapToGrid w:val="0"/>
                <w:sz w:val="22"/>
                <w:szCs w:val="22"/>
              </w:rPr>
            </w:pPr>
            <w:r>
              <w:rPr>
                <w:rFonts w:ascii="Arial" w:hAnsi="Arial" w:cs="Arial"/>
                <w:snapToGrid w:val="0"/>
                <w:sz w:val="22"/>
                <w:szCs w:val="22"/>
                <w:u w:val="single"/>
                <w:lang w:val="fr"/>
              </w:rPr>
              <w:t>I</w:t>
            </w:r>
            <w:r w:rsidR="008D34FB">
              <w:rPr>
                <w:rFonts w:ascii="Arial" w:hAnsi="Arial" w:cs="Arial"/>
                <w:snapToGrid w:val="0"/>
                <w:sz w:val="22"/>
                <w:szCs w:val="22"/>
                <w:u w:val="single"/>
                <w:lang w:val="fr"/>
              </w:rPr>
              <w:t>mportant de conserver P5</w:t>
            </w:r>
            <w:r w:rsidR="008D34FB">
              <w:rPr>
                <w:rFonts w:ascii="Arial" w:hAnsi="Arial" w:cs="Arial"/>
                <w:snapToGrid w:val="0"/>
                <w:sz w:val="22"/>
                <w:szCs w:val="22"/>
                <w:lang w:val="fr"/>
              </w:rPr>
              <w:t>, car il est crucial pour exprimer l</w:t>
            </w:r>
            <w:r w:rsidR="002255D2">
              <w:rPr>
                <w:rFonts w:ascii="Arial" w:hAnsi="Arial" w:cs="Arial"/>
                <w:snapToGrid w:val="0"/>
                <w:sz w:val="22"/>
                <w:szCs w:val="22"/>
                <w:lang w:val="fr"/>
              </w:rPr>
              <w:t>’</w:t>
            </w:r>
            <w:r w:rsidR="008D34FB">
              <w:rPr>
                <w:rFonts w:ascii="Arial" w:hAnsi="Arial" w:cs="Arial"/>
                <w:snapToGrid w:val="0"/>
                <w:sz w:val="22"/>
                <w:szCs w:val="22"/>
                <w:lang w:val="fr"/>
              </w:rPr>
              <w:t>engagement avec les groupes et les communautés. Cependant, nous devrons trouver un moyen de nous assurer que les communautés donneront ou auront donné leur consentement durable (voir principe éthique 4). Cela pourrait informer ou ouvrir la voie à des efforts en aval pour évaluer si le programme fonctionne toujours et s</w:t>
            </w:r>
            <w:r w:rsidR="002255D2">
              <w:rPr>
                <w:rFonts w:ascii="Arial" w:hAnsi="Arial" w:cs="Arial"/>
                <w:snapToGrid w:val="0"/>
                <w:sz w:val="22"/>
                <w:szCs w:val="22"/>
                <w:lang w:val="fr"/>
              </w:rPr>
              <w:t>’</w:t>
            </w:r>
            <w:r w:rsidR="008D34FB">
              <w:rPr>
                <w:rFonts w:ascii="Arial" w:hAnsi="Arial" w:cs="Arial"/>
                <w:snapToGrid w:val="0"/>
                <w:sz w:val="22"/>
                <w:szCs w:val="22"/>
                <w:lang w:val="fr"/>
              </w:rPr>
              <w:t>il doit être archivé par la suite. Un mécanisme devrait être mis en place pour obtenir leur consentement durable, en raison de quelques considérations, comme le fait (i) qu</w:t>
            </w:r>
            <w:r w:rsidR="002255D2">
              <w:rPr>
                <w:rFonts w:ascii="Arial" w:hAnsi="Arial" w:cs="Arial"/>
                <w:snapToGrid w:val="0"/>
                <w:sz w:val="22"/>
                <w:szCs w:val="22"/>
                <w:lang w:val="fr"/>
              </w:rPr>
              <w:t>’</w:t>
            </w:r>
            <w:r w:rsidR="008D34FB">
              <w:rPr>
                <w:rFonts w:ascii="Arial" w:hAnsi="Arial" w:cs="Arial"/>
                <w:snapToGrid w:val="0"/>
                <w:sz w:val="22"/>
                <w:szCs w:val="22"/>
                <w:lang w:val="fr"/>
              </w:rPr>
              <w:t>il ne soit pas possible de contraindre les communautés à partager leur programme si la situation change pour quelque raison que ce soit, et que celles-ci devraient avoir la possibilité de retirer leur consentement ; (ii) que le programme n</w:t>
            </w:r>
            <w:r w:rsidR="002255D2">
              <w:rPr>
                <w:rFonts w:ascii="Arial" w:hAnsi="Arial" w:cs="Arial"/>
                <w:snapToGrid w:val="0"/>
                <w:sz w:val="22"/>
                <w:szCs w:val="22"/>
                <w:lang w:val="fr"/>
              </w:rPr>
              <w:t>’</w:t>
            </w:r>
            <w:r w:rsidR="008D34FB">
              <w:rPr>
                <w:rFonts w:ascii="Arial" w:hAnsi="Arial" w:cs="Arial"/>
                <w:snapToGrid w:val="0"/>
                <w:sz w:val="22"/>
                <w:szCs w:val="22"/>
                <w:lang w:val="fr"/>
              </w:rPr>
              <w:t xml:space="preserve">est plus réalisable ou applicable à leurs communautés, étant donné que le PCI est en constante évolution. Cette discussion est similaire à celle qui a été envisagée pour les éléments figurant sur la Liste de sauvegarde urgente : dans quelle mesure les éléments figurant sur la Liste de sauvegarde urgente doivent-ils y rester pendant une durée prolongée ? </w:t>
            </w:r>
          </w:p>
          <w:p w14:paraId="354CBD1D" w14:textId="12946D72" w:rsidR="0087601F" w:rsidRPr="00D31FAD" w:rsidRDefault="00E2760B" w:rsidP="0083092F">
            <w:pPr>
              <w:pStyle w:val="ListParagraph"/>
              <w:numPr>
                <w:ilvl w:val="0"/>
                <w:numId w:val="5"/>
              </w:numPr>
              <w:rPr>
                <w:rFonts w:ascii="Arial" w:hAnsi="Arial" w:cs="Arial"/>
                <w:snapToGrid w:val="0"/>
                <w:sz w:val="22"/>
                <w:szCs w:val="22"/>
              </w:rPr>
            </w:pPr>
            <w:r>
              <w:rPr>
                <w:rFonts w:ascii="Arial" w:hAnsi="Arial" w:cs="Arial"/>
                <w:snapToGrid w:val="0"/>
                <w:sz w:val="22"/>
                <w:szCs w:val="22"/>
                <w:u w:val="single"/>
                <w:lang w:val="fr"/>
              </w:rPr>
              <w:t>Pour</w:t>
            </w:r>
            <w:r w:rsidR="0087601F">
              <w:rPr>
                <w:rFonts w:ascii="Arial" w:hAnsi="Arial" w:cs="Arial"/>
                <w:snapToGrid w:val="0"/>
                <w:sz w:val="22"/>
                <w:szCs w:val="22"/>
                <w:u w:val="single"/>
                <w:lang w:val="fr"/>
              </w:rPr>
              <w:t xml:space="preserve"> P7</w:t>
            </w:r>
            <w:r w:rsidR="0087601F">
              <w:rPr>
                <w:rFonts w:ascii="Arial" w:hAnsi="Arial" w:cs="Arial"/>
                <w:snapToGrid w:val="0"/>
                <w:sz w:val="22"/>
                <w:szCs w:val="22"/>
                <w:lang w:val="fr"/>
              </w:rPr>
              <w:t>, envisager de remplacer « meilleures pratiques » par « bonnes pratiques ». Il convient également de noter que ce critère ne tient pas compte de la possibilité d</w:t>
            </w:r>
            <w:r w:rsidR="002255D2">
              <w:rPr>
                <w:rFonts w:ascii="Arial" w:hAnsi="Arial" w:cs="Arial"/>
                <w:snapToGrid w:val="0"/>
                <w:sz w:val="22"/>
                <w:szCs w:val="22"/>
                <w:lang w:val="fr"/>
              </w:rPr>
              <w:t>’</w:t>
            </w:r>
            <w:r w:rsidR="0087601F">
              <w:rPr>
                <w:rFonts w:ascii="Arial" w:hAnsi="Arial" w:cs="Arial"/>
                <w:snapToGrid w:val="0"/>
                <w:sz w:val="22"/>
                <w:szCs w:val="22"/>
                <w:lang w:val="fr"/>
              </w:rPr>
              <w:t>appropriation du programme, tout en favorisant un point d</w:t>
            </w:r>
            <w:r w:rsidR="002255D2">
              <w:rPr>
                <w:rFonts w:ascii="Arial" w:hAnsi="Arial" w:cs="Arial"/>
                <w:snapToGrid w:val="0"/>
                <w:sz w:val="22"/>
                <w:szCs w:val="22"/>
                <w:lang w:val="fr"/>
              </w:rPr>
              <w:t>’</w:t>
            </w:r>
            <w:r w:rsidR="0087601F">
              <w:rPr>
                <w:rFonts w:ascii="Arial" w:hAnsi="Arial" w:cs="Arial"/>
                <w:snapToGrid w:val="0"/>
                <w:sz w:val="22"/>
                <w:szCs w:val="22"/>
                <w:lang w:val="fr"/>
              </w:rPr>
              <w:t>entrée plus bas pour le partage et l</w:t>
            </w:r>
            <w:r w:rsidR="002255D2">
              <w:rPr>
                <w:rFonts w:ascii="Arial" w:hAnsi="Arial" w:cs="Arial"/>
                <w:snapToGrid w:val="0"/>
                <w:sz w:val="22"/>
                <w:szCs w:val="22"/>
                <w:lang w:val="fr"/>
              </w:rPr>
              <w:t>’</w:t>
            </w:r>
            <w:r w:rsidR="0087601F">
              <w:rPr>
                <w:rFonts w:ascii="Arial" w:hAnsi="Arial" w:cs="Arial"/>
                <w:snapToGrid w:val="0"/>
                <w:sz w:val="22"/>
                <w:szCs w:val="22"/>
                <w:lang w:val="fr"/>
              </w:rPr>
              <w:t xml:space="preserve">apprentissage. Des propositions pourraient émaner de différents pays travaillant sur des projets de sauvegarde </w:t>
            </w:r>
            <w:r w:rsidR="00EC416D" w:rsidRPr="00481FB1">
              <w:rPr>
                <w:rFonts w:ascii="Arial" w:hAnsi="Arial" w:cs="Arial"/>
                <w:snapToGrid w:val="0"/>
                <w:sz w:val="22"/>
                <w:szCs w:val="22"/>
                <w:lang w:eastAsia="zh-CN"/>
              </w:rPr>
              <w:t>–</w:t>
            </w:r>
            <w:r w:rsidR="0087601F">
              <w:rPr>
                <w:rFonts w:ascii="Arial" w:hAnsi="Arial" w:cs="Arial"/>
                <w:snapToGrid w:val="0"/>
                <w:sz w:val="22"/>
                <w:szCs w:val="22"/>
                <w:lang w:val="fr"/>
              </w:rPr>
              <w:t xml:space="preserve"> en mettant en </w:t>
            </w:r>
            <w:r w:rsidR="0087601F">
              <w:rPr>
                <w:rFonts w:ascii="Arial" w:hAnsi="Arial" w:cs="Arial"/>
                <w:snapToGrid w:val="0"/>
                <w:sz w:val="22"/>
                <w:szCs w:val="22"/>
                <w:lang w:val="fr"/>
              </w:rPr>
              <w:lastRenderedPageBreak/>
              <w:t xml:space="preserve">commun des ressources </w:t>
            </w:r>
            <w:r w:rsidR="00EC416D" w:rsidRPr="00481FB1">
              <w:rPr>
                <w:rFonts w:ascii="Arial" w:hAnsi="Arial" w:cs="Arial"/>
                <w:snapToGrid w:val="0"/>
                <w:sz w:val="22"/>
                <w:szCs w:val="22"/>
                <w:lang w:eastAsia="zh-CN"/>
              </w:rPr>
              <w:t>–</w:t>
            </w:r>
            <w:r w:rsidR="0087601F">
              <w:rPr>
                <w:rFonts w:ascii="Arial" w:hAnsi="Arial" w:cs="Arial"/>
                <w:snapToGrid w:val="0"/>
                <w:sz w:val="22"/>
                <w:szCs w:val="22"/>
                <w:lang w:val="fr"/>
              </w:rPr>
              <w:t xml:space="preserve"> alignés sur l</w:t>
            </w:r>
            <w:r w:rsidR="002255D2">
              <w:rPr>
                <w:rFonts w:ascii="Arial" w:hAnsi="Arial" w:cs="Arial"/>
                <w:snapToGrid w:val="0"/>
                <w:sz w:val="22"/>
                <w:szCs w:val="22"/>
                <w:lang w:val="fr"/>
              </w:rPr>
              <w:t>’</w:t>
            </w:r>
            <w:r w:rsidR="0087601F">
              <w:rPr>
                <w:rFonts w:ascii="Arial" w:hAnsi="Arial" w:cs="Arial"/>
                <w:snapToGrid w:val="0"/>
                <w:sz w:val="22"/>
                <w:szCs w:val="22"/>
                <w:lang w:val="fr"/>
              </w:rPr>
              <w:t>UNESCO. Des idées à apporter ?  Cela devrait-il être un critère ?</w:t>
            </w:r>
          </w:p>
          <w:p w14:paraId="0FF4744D" w14:textId="6D8889C3" w:rsidR="002F0173" w:rsidRPr="007914C8" w:rsidRDefault="00265AAD" w:rsidP="0083092F">
            <w:pPr>
              <w:pStyle w:val="ListParagraph"/>
              <w:numPr>
                <w:ilvl w:val="0"/>
                <w:numId w:val="5"/>
              </w:numPr>
              <w:rPr>
                <w:rFonts w:ascii="Arial" w:hAnsi="Arial" w:cs="Arial"/>
                <w:snapToGrid w:val="0"/>
                <w:sz w:val="22"/>
                <w:szCs w:val="22"/>
              </w:rPr>
            </w:pPr>
            <w:r>
              <w:rPr>
                <w:rFonts w:ascii="Arial" w:hAnsi="Arial" w:cs="Arial"/>
                <w:snapToGrid w:val="0"/>
                <w:sz w:val="22"/>
                <w:szCs w:val="22"/>
                <w:u w:val="single"/>
                <w:lang w:val="fr"/>
              </w:rPr>
              <w:t>P2 et P8</w:t>
            </w:r>
            <w:r>
              <w:rPr>
                <w:rFonts w:ascii="Arial" w:hAnsi="Arial" w:cs="Arial"/>
                <w:snapToGrid w:val="0"/>
                <w:sz w:val="22"/>
                <w:szCs w:val="22"/>
                <w:lang w:val="fr"/>
              </w:rPr>
              <w:t xml:space="preserve"> ont été proposés pour examen </w:t>
            </w:r>
            <w:proofErr w:type="gramStart"/>
            <w:r>
              <w:rPr>
                <w:rFonts w:ascii="Arial" w:hAnsi="Arial" w:cs="Arial"/>
                <w:snapToGrid w:val="0"/>
                <w:sz w:val="22"/>
                <w:szCs w:val="22"/>
                <w:lang w:val="fr"/>
              </w:rPr>
              <w:t>si ils</w:t>
            </w:r>
            <w:proofErr w:type="gramEnd"/>
            <w:r>
              <w:rPr>
                <w:rFonts w:ascii="Arial" w:hAnsi="Arial" w:cs="Arial"/>
                <w:snapToGrid w:val="0"/>
                <w:sz w:val="22"/>
                <w:szCs w:val="22"/>
                <w:lang w:val="fr"/>
              </w:rPr>
              <w:t xml:space="preserve"> doivent être retenus. </w:t>
            </w:r>
          </w:p>
          <w:p w14:paraId="2BCA8216" w14:textId="2EF4D3FC" w:rsidR="00EE1C86" w:rsidRPr="00B65DC3" w:rsidRDefault="00EE1C86" w:rsidP="00B65DC3">
            <w:pPr>
              <w:rPr>
                <w:rFonts w:ascii="Arial" w:hAnsi="Arial" w:cs="Arial"/>
                <w:snapToGrid w:val="0"/>
                <w:sz w:val="22"/>
                <w:szCs w:val="22"/>
              </w:rPr>
            </w:pPr>
          </w:p>
          <w:p w14:paraId="04024478" w14:textId="2A19E697" w:rsidR="00265AAD" w:rsidRPr="00803D3F" w:rsidRDefault="00265AAD" w:rsidP="0083092F">
            <w:pPr>
              <w:pStyle w:val="ListParagraph"/>
              <w:numPr>
                <w:ilvl w:val="0"/>
                <w:numId w:val="6"/>
              </w:numPr>
              <w:rPr>
                <w:rFonts w:ascii="Arial" w:hAnsi="Arial" w:cs="Arial"/>
                <w:b/>
                <w:bCs/>
                <w:snapToGrid w:val="0"/>
                <w:sz w:val="22"/>
                <w:szCs w:val="22"/>
              </w:rPr>
            </w:pPr>
            <w:r>
              <w:rPr>
                <w:rFonts w:ascii="Arial" w:hAnsi="Arial" w:cs="Arial"/>
                <w:b/>
                <w:bCs/>
                <w:snapToGrid w:val="0"/>
                <w:sz w:val="22"/>
                <w:szCs w:val="22"/>
                <w:lang w:val="fr"/>
              </w:rPr>
              <w:t>Quelles sont les mesures possibles pour encourager l</w:t>
            </w:r>
            <w:r w:rsidR="002255D2">
              <w:rPr>
                <w:rFonts w:ascii="Arial" w:hAnsi="Arial" w:cs="Arial"/>
                <w:b/>
                <w:bCs/>
                <w:snapToGrid w:val="0"/>
                <w:sz w:val="22"/>
                <w:szCs w:val="22"/>
                <w:lang w:val="fr"/>
              </w:rPr>
              <w:t>’</w:t>
            </w:r>
            <w:r>
              <w:rPr>
                <w:rFonts w:ascii="Arial" w:hAnsi="Arial" w:cs="Arial"/>
                <w:b/>
                <w:bCs/>
                <w:snapToGrid w:val="0"/>
                <w:sz w:val="22"/>
                <w:szCs w:val="22"/>
                <w:lang w:val="fr"/>
              </w:rPr>
              <w:t xml:space="preserve">accès au Registre ? </w:t>
            </w:r>
          </w:p>
          <w:p w14:paraId="44EC114B" w14:textId="3EA14297" w:rsidR="00265AAD" w:rsidRPr="00481FB1" w:rsidRDefault="00265AAD" w:rsidP="00481FB1">
            <w:pPr>
              <w:ind w:left="747"/>
              <w:rPr>
                <w:rFonts w:ascii="Arial" w:hAnsi="Arial" w:cs="Arial"/>
                <w:snapToGrid w:val="0"/>
                <w:sz w:val="22"/>
                <w:szCs w:val="22"/>
                <w:lang w:eastAsia="zh-CN"/>
              </w:rPr>
            </w:pPr>
            <w:r w:rsidRPr="00481FB1">
              <w:rPr>
                <w:rFonts w:ascii="Arial" w:hAnsi="Arial" w:cs="Arial"/>
                <w:snapToGrid w:val="0"/>
                <w:sz w:val="22"/>
                <w:szCs w:val="22"/>
                <w:lang w:eastAsia="zh-CN"/>
              </w:rPr>
              <w:t>L</w:t>
            </w:r>
            <w:r w:rsidR="002255D2" w:rsidRPr="00481FB1">
              <w:rPr>
                <w:rFonts w:ascii="Arial" w:hAnsi="Arial" w:cs="Arial"/>
                <w:snapToGrid w:val="0"/>
                <w:sz w:val="22"/>
                <w:szCs w:val="22"/>
                <w:lang w:eastAsia="zh-CN"/>
              </w:rPr>
              <w:t>’</w:t>
            </w:r>
            <w:r w:rsidRPr="00481FB1">
              <w:rPr>
                <w:rFonts w:ascii="Arial" w:hAnsi="Arial" w:cs="Arial"/>
                <w:snapToGrid w:val="0"/>
                <w:sz w:val="22"/>
                <w:szCs w:val="22"/>
                <w:lang w:eastAsia="zh-CN"/>
              </w:rPr>
              <w:t>accès aux programmes inscrits sur le Registre a été considéré comme un moyen</w:t>
            </w:r>
            <w:r w:rsidR="00EC416D" w:rsidRPr="00481FB1">
              <w:rPr>
                <w:rFonts w:ascii="Arial" w:hAnsi="Arial" w:cs="Arial"/>
                <w:snapToGrid w:val="0"/>
                <w:sz w:val="22"/>
                <w:szCs w:val="22"/>
                <w:lang w:eastAsia="zh-CN"/>
              </w:rPr>
              <w:t xml:space="preserve"> </w:t>
            </w:r>
            <w:r w:rsidRPr="00481FB1">
              <w:rPr>
                <w:rFonts w:ascii="Arial" w:hAnsi="Arial" w:cs="Arial"/>
                <w:snapToGrid w:val="0"/>
                <w:sz w:val="22"/>
                <w:szCs w:val="22"/>
                <w:lang w:eastAsia="zh-CN"/>
              </w:rPr>
              <w:t>non seulement de promouvoir le Registre, mais également de créer une plateforme permettant aux communautés d</w:t>
            </w:r>
            <w:r w:rsidR="002255D2" w:rsidRPr="00481FB1">
              <w:rPr>
                <w:rFonts w:ascii="Arial" w:hAnsi="Arial" w:cs="Arial"/>
                <w:snapToGrid w:val="0"/>
                <w:sz w:val="22"/>
                <w:szCs w:val="22"/>
                <w:lang w:eastAsia="zh-CN"/>
              </w:rPr>
              <w:t>’</w:t>
            </w:r>
            <w:r w:rsidRPr="00481FB1">
              <w:rPr>
                <w:rFonts w:ascii="Arial" w:hAnsi="Arial" w:cs="Arial"/>
                <w:snapToGrid w:val="0"/>
                <w:sz w:val="22"/>
                <w:szCs w:val="22"/>
                <w:lang w:eastAsia="zh-CN"/>
              </w:rPr>
              <w:t xml:space="preserve">apprendre les unes </w:t>
            </w:r>
            <w:proofErr w:type="gramStart"/>
            <w:r w:rsidRPr="00481FB1">
              <w:rPr>
                <w:rFonts w:ascii="Arial" w:hAnsi="Arial" w:cs="Arial"/>
                <w:snapToGrid w:val="0"/>
                <w:sz w:val="22"/>
                <w:szCs w:val="22"/>
                <w:lang w:eastAsia="zh-CN"/>
              </w:rPr>
              <w:t>des autres</w:t>
            </w:r>
            <w:proofErr w:type="gramEnd"/>
            <w:r w:rsidRPr="00481FB1">
              <w:rPr>
                <w:rFonts w:ascii="Arial" w:hAnsi="Arial" w:cs="Arial"/>
                <w:snapToGrid w:val="0"/>
                <w:sz w:val="22"/>
                <w:szCs w:val="22"/>
                <w:lang w:eastAsia="zh-CN"/>
              </w:rPr>
              <w:t xml:space="preserve">. </w:t>
            </w:r>
          </w:p>
          <w:p w14:paraId="7FD15656" w14:textId="516507DF" w:rsidR="00265AAD" w:rsidRDefault="00D87548"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Il devrait être possible de déplacer les programmes qui ne sont plus actifs vers des archives accessibles (comme sur le site Web de la Convention de l</w:t>
            </w:r>
            <w:r w:rsidR="002255D2">
              <w:rPr>
                <w:rFonts w:ascii="Arial" w:hAnsi="Arial" w:cs="Arial"/>
                <w:snapToGrid w:val="0"/>
                <w:sz w:val="22"/>
                <w:szCs w:val="22"/>
                <w:lang w:val="fr"/>
              </w:rPr>
              <w:t>’</w:t>
            </w:r>
            <w:r>
              <w:rPr>
                <w:rFonts w:ascii="Arial" w:hAnsi="Arial" w:cs="Arial"/>
                <w:snapToGrid w:val="0"/>
                <w:sz w:val="22"/>
                <w:szCs w:val="22"/>
                <w:lang w:val="fr"/>
              </w:rPr>
              <w:t>UNESCO de 2001 sur la protection du patrimoine culturel subaquatique). Cette option permet une plus grande accessibilité, quel que soit le niveau d</w:t>
            </w:r>
            <w:r w:rsidR="002255D2">
              <w:rPr>
                <w:rFonts w:ascii="Arial" w:hAnsi="Arial" w:cs="Arial"/>
                <w:snapToGrid w:val="0"/>
                <w:sz w:val="22"/>
                <w:szCs w:val="22"/>
                <w:lang w:val="fr"/>
              </w:rPr>
              <w:t>’</w:t>
            </w:r>
            <w:r>
              <w:rPr>
                <w:rFonts w:ascii="Arial" w:hAnsi="Arial" w:cs="Arial"/>
                <w:snapToGrid w:val="0"/>
                <w:sz w:val="22"/>
                <w:szCs w:val="22"/>
                <w:lang w:val="fr"/>
              </w:rPr>
              <w:t>activité du programme, et pourrait toujours être utile aux communautés pour s</w:t>
            </w:r>
            <w:r w:rsidR="002255D2">
              <w:rPr>
                <w:rFonts w:ascii="Arial" w:hAnsi="Arial" w:cs="Arial"/>
                <w:snapToGrid w:val="0"/>
                <w:sz w:val="22"/>
                <w:szCs w:val="22"/>
                <w:lang w:val="fr"/>
              </w:rPr>
              <w:t>’</w:t>
            </w:r>
            <w:r>
              <w:rPr>
                <w:rFonts w:ascii="Arial" w:hAnsi="Arial" w:cs="Arial"/>
                <w:snapToGrid w:val="0"/>
                <w:sz w:val="22"/>
                <w:szCs w:val="22"/>
                <w:lang w:val="fr"/>
              </w:rPr>
              <w:t>y référer. D</w:t>
            </w:r>
            <w:r w:rsidR="002255D2">
              <w:rPr>
                <w:rFonts w:ascii="Arial" w:hAnsi="Arial" w:cs="Arial"/>
                <w:snapToGrid w:val="0"/>
                <w:sz w:val="22"/>
                <w:szCs w:val="22"/>
                <w:lang w:val="fr"/>
              </w:rPr>
              <w:t>’</w:t>
            </w:r>
            <w:r>
              <w:rPr>
                <w:rFonts w:ascii="Arial" w:hAnsi="Arial" w:cs="Arial"/>
                <w:snapToGrid w:val="0"/>
                <w:sz w:val="22"/>
                <w:szCs w:val="22"/>
                <w:lang w:val="fr"/>
              </w:rPr>
              <w:t>autres possibilités incluent la plateforme « Wiki Loves Living Heritage » ou la création d</w:t>
            </w:r>
            <w:r w:rsidR="002255D2">
              <w:rPr>
                <w:rFonts w:ascii="Arial" w:hAnsi="Arial" w:cs="Arial"/>
                <w:snapToGrid w:val="0"/>
                <w:sz w:val="22"/>
                <w:szCs w:val="22"/>
                <w:lang w:val="fr"/>
              </w:rPr>
              <w:t>’</w:t>
            </w:r>
            <w:r>
              <w:rPr>
                <w:rFonts w:ascii="Arial" w:hAnsi="Arial" w:cs="Arial"/>
                <w:snapToGrid w:val="0"/>
                <w:sz w:val="22"/>
                <w:szCs w:val="22"/>
                <w:lang w:val="fr"/>
              </w:rPr>
              <w:t>une nouvelle catégorie/page sur le site Web de l</w:t>
            </w:r>
            <w:r w:rsidR="002255D2">
              <w:rPr>
                <w:rFonts w:ascii="Arial" w:hAnsi="Arial" w:cs="Arial"/>
                <w:snapToGrid w:val="0"/>
                <w:sz w:val="22"/>
                <w:szCs w:val="22"/>
                <w:lang w:val="fr"/>
              </w:rPr>
              <w:t>’</w:t>
            </w:r>
            <w:r>
              <w:rPr>
                <w:rFonts w:ascii="Arial" w:hAnsi="Arial" w:cs="Arial"/>
                <w:snapToGrid w:val="0"/>
                <w:sz w:val="22"/>
                <w:szCs w:val="22"/>
                <w:lang w:val="fr"/>
              </w:rPr>
              <w:t xml:space="preserve">UNESCO. </w:t>
            </w:r>
          </w:p>
          <w:p w14:paraId="13B78389" w14:textId="2BEBE92E" w:rsidR="00265AAD" w:rsidRDefault="00265AAD"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Quel que soit le type de plateforme numérique sur laquelle se trouvent les informations, il faut tenir compte des types d</w:t>
            </w:r>
            <w:r w:rsidR="002255D2">
              <w:rPr>
                <w:rFonts w:ascii="Arial" w:hAnsi="Arial" w:cs="Arial"/>
                <w:snapToGrid w:val="0"/>
                <w:sz w:val="22"/>
                <w:szCs w:val="22"/>
                <w:lang w:val="fr"/>
              </w:rPr>
              <w:t>’</w:t>
            </w:r>
            <w:r>
              <w:rPr>
                <w:rFonts w:ascii="Arial" w:hAnsi="Arial" w:cs="Arial"/>
                <w:snapToGrid w:val="0"/>
                <w:sz w:val="22"/>
                <w:szCs w:val="22"/>
                <w:lang w:val="fr"/>
              </w:rPr>
              <w:t xml:space="preserve">informations et de la manière dont celles-ci sont présentées. Par exemple, le contenu doit être simple et les contacts pertinents doivent être répertoriés ; pour ces derniers, il convient de communiquer </w:t>
            </w:r>
            <w:proofErr w:type="gramStart"/>
            <w:r>
              <w:rPr>
                <w:rFonts w:ascii="Arial" w:hAnsi="Arial" w:cs="Arial"/>
                <w:snapToGrid w:val="0"/>
                <w:sz w:val="22"/>
                <w:szCs w:val="22"/>
                <w:lang w:val="fr"/>
              </w:rPr>
              <w:t>si il</w:t>
            </w:r>
            <w:proofErr w:type="gramEnd"/>
            <w:r>
              <w:rPr>
                <w:rFonts w:ascii="Arial" w:hAnsi="Arial" w:cs="Arial"/>
                <w:snapToGrid w:val="0"/>
                <w:sz w:val="22"/>
                <w:szCs w:val="22"/>
                <w:lang w:val="fr"/>
              </w:rPr>
              <w:t xml:space="preserve"> existe des référents disposés à être contactés. </w:t>
            </w:r>
          </w:p>
          <w:p w14:paraId="6128B425" w14:textId="145D4428" w:rsidR="00D47FBA" w:rsidRPr="00265AAD" w:rsidRDefault="004B609A" w:rsidP="0083092F">
            <w:pPr>
              <w:pStyle w:val="ListParagraph"/>
              <w:numPr>
                <w:ilvl w:val="0"/>
                <w:numId w:val="5"/>
              </w:numPr>
              <w:rPr>
                <w:rFonts w:ascii="Arial" w:hAnsi="Arial" w:cs="Arial"/>
                <w:snapToGrid w:val="0"/>
                <w:sz w:val="22"/>
                <w:szCs w:val="22"/>
              </w:rPr>
            </w:pPr>
            <w:r>
              <w:rPr>
                <w:rFonts w:ascii="Arial" w:hAnsi="Arial" w:cs="Arial"/>
                <w:snapToGrid w:val="0"/>
                <w:sz w:val="22"/>
                <w:szCs w:val="22"/>
                <w:lang w:val="fr"/>
              </w:rPr>
              <w:t>Envisager un lien avec le rythme des cycles de rapport, dans le cadre d</w:t>
            </w:r>
            <w:r w:rsidR="002255D2">
              <w:rPr>
                <w:rFonts w:ascii="Arial" w:hAnsi="Arial" w:cs="Arial"/>
                <w:snapToGrid w:val="0"/>
                <w:sz w:val="22"/>
                <w:szCs w:val="22"/>
                <w:lang w:val="fr"/>
              </w:rPr>
              <w:t>’</w:t>
            </w:r>
            <w:r>
              <w:rPr>
                <w:rFonts w:ascii="Arial" w:hAnsi="Arial" w:cs="Arial"/>
                <w:snapToGrid w:val="0"/>
                <w:sz w:val="22"/>
                <w:szCs w:val="22"/>
                <w:lang w:val="fr"/>
              </w:rPr>
              <w:t>une théorie du changement.</w:t>
            </w:r>
          </w:p>
        </w:tc>
      </w:tr>
    </w:tbl>
    <w:p w14:paraId="263382B4" w14:textId="63F39860" w:rsidR="00175021" w:rsidRPr="00EC68A3" w:rsidRDefault="00175021" w:rsidP="00635C46">
      <w:pPr>
        <w:widowControl w:val="0"/>
        <w:rPr>
          <w:sz w:val="2"/>
          <w:szCs w:val="2"/>
        </w:rPr>
      </w:pPr>
    </w:p>
    <w:p w14:paraId="135F4418" w14:textId="6F8C4336" w:rsidR="00673D2E" w:rsidRPr="00635C46" w:rsidRDefault="00673D2E" w:rsidP="00635C46">
      <w:pPr>
        <w:rPr>
          <w:sz w:val="6"/>
          <w:szCs w:val="6"/>
        </w:rPr>
      </w:pPr>
    </w:p>
    <w:sectPr w:rsidR="00673D2E" w:rsidRPr="00635C46" w:rsidSect="00655736">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961A" w14:textId="77777777" w:rsidR="00140552" w:rsidRDefault="00140552" w:rsidP="00655736">
      <w:r>
        <w:separator/>
      </w:r>
    </w:p>
  </w:endnote>
  <w:endnote w:type="continuationSeparator" w:id="0">
    <w:p w14:paraId="6F5EA7F0" w14:textId="77777777" w:rsidR="00140552" w:rsidRDefault="0014055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C23B" w14:textId="77777777" w:rsidR="00140552" w:rsidRDefault="00140552" w:rsidP="00655736">
      <w:r>
        <w:separator/>
      </w:r>
    </w:p>
  </w:footnote>
  <w:footnote w:type="continuationSeparator" w:id="0">
    <w:p w14:paraId="6229B83E" w14:textId="77777777" w:rsidR="00140552" w:rsidRDefault="0014055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7D36CC71" w:rsidR="00D95C4C" w:rsidRPr="0063300C" w:rsidRDefault="00D95C4C" w:rsidP="00C5776D">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590C8015" w:rsidR="00D95C4C" w:rsidRPr="00E95AE2" w:rsidRDefault="002255D2">
    <w:pPr>
      <w:pStyle w:val="Header"/>
      <w:rPr>
        <w:sz w:val="22"/>
        <w:szCs w:val="22"/>
      </w:rPr>
    </w:pPr>
    <w:r>
      <w:rPr>
        <w:rFonts w:ascii="Arial" w:hAnsi="Arial" w:cs="Arial"/>
        <w:b/>
        <w:noProof/>
        <w:sz w:val="44"/>
        <w:szCs w:val="44"/>
        <w:lang w:val="pt-PT"/>
      </w:rPr>
      <w:drawing>
        <wp:anchor distT="0" distB="0" distL="114300" distR="114300" simplePos="0" relativeHeight="251661312" behindDoc="0" locked="0" layoutInCell="1" allowOverlap="1" wp14:anchorId="63D2371B" wp14:editId="7EB345FA">
          <wp:simplePos x="0" y="0"/>
          <wp:positionH relativeFrom="column">
            <wp:posOffset>0</wp:posOffset>
          </wp:positionH>
          <wp:positionV relativeFrom="paragraph">
            <wp:posOffset>161925</wp:posOffset>
          </wp:positionV>
          <wp:extent cx="1657350" cy="1391920"/>
          <wp:effectExtent l="0" t="0" r="0" b="0"/>
          <wp:wrapSquare wrapText="bothSides"/>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3DFA611B" w:rsidR="004E1760" w:rsidRPr="00D7105A" w:rsidRDefault="00A53F11" w:rsidP="004E1760">
    <w:pPr>
      <w:pStyle w:val="Header"/>
      <w:spacing w:after="520"/>
      <w:jc w:val="right"/>
      <w:rPr>
        <w:rFonts w:ascii="Arial" w:hAnsi="Arial" w:cs="Arial"/>
        <w:b/>
        <w:sz w:val="44"/>
        <w:szCs w:val="44"/>
      </w:rPr>
    </w:pPr>
    <w:r>
      <w:rPr>
        <w:rFonts w:ascii="Arial" w:hAnsi="Arial" w:cs="Arial"/>
        <w:b/>
        <w:bCs/>
        <w:sz w:val="44"/>
        <w:szCs w:val="44"/>
        <w:lang w:val="fr"/>
      </w:rPr>
      <w:t>EXP ART18</w:t>
    </w:r>
  </w:p>
  <w:p w14:paraId="3C4B8B1B" w14:textId="77777777" w:rsidR="00D95C4C" w:rsidRPr="00151E44"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C4"/>
    <w:multiLevelType w:val="hybridMultilevel"/>
    <w:tmpl w:val="5428DCEE"/>
    <w:lvl w:ilvl="0" w:tplc="4809000B">
      <w:start w:val="1"/>
      <w:numFmt w:val="bullet"/>
      <w:lvlText w:val=""/>
      <w:lvlJc w:val="left"/>
      <w:pPr>
        <w:ind w:left="1392" w:hanging="360"/>
      </w:pPr>
      <w:rPr>
        <w:rFonts w:ascii="Wingdings" w:hAnsi="Wingdings" w:hint="default"/>
      </w:rPr>
    </w:lvl>
    <w:lvl w:ilvl="1" w:tplc="48090003" w:tentative="1">
      <w:start w:val="1"/>
      <w:numFmt w:val="bullet"/>
      <w:lvlText w:val="o"/>
      <w:lvlJc w:val="left"/>
      <w:pPr>
        <w:ind w:left="2112" w:hanging="360"/>
      </w:pPr>
      <w:rPr>
        <w:rFonts w:ascii="Courier New" w:hAnsi="Courier New" w:cs="Courier New" w:hint="default"/>
      </w:rPr>
    </w:lvl>
    <w:lvl w:ilvl="2" w:tplc="48090005" w:tentative="1">
      <w:start w:val="1"/>
      <w:numFmt w:val="bullet"/>
      <w:lvlText w:val=""/>
      <w:lvlJc w:val="left"/>
      <w:pPr>
        <w:ind w:left="2832" w:hanging="360"/>
      </w:pPr>
      <w:rPr>
        <w:rFonts w:ascii="Wingdings" w:hAnsi="Wingdings" w:hint="default"/>
      </w:rPr>
    </w:lvl>
    <w:lvl w:ilvl="3" w:tplc="48090001" w:tentative="1">
      <w:start w:val="1"/>
      <w:numFmt w:val="bullet"/>
      <w:lvlText w:val=""/>
      <w:lvlJc w:val="left"/>
      <w:pPr>
        <w:ind w:left="3552" w:hanging="360"/>
      </w:pPr>
      <w:rPr>
        <w:rFonts w:ascii="Symbol" w:hAnsi="Symbol" w:hint="default"/>
      </w:rPr>
    </w:lvl>
    <w:lvl w:ilvl="4" w:tplc="48090003" w:tentative="1">
      <w:start w:val="1"/>
      <w:numFmt w:val="bullet"/>
      <w:lvlText w:val="o"/>
      <w:lvlJc w:val="left"/>
      <w:pPr>
        <w:ind w:left="4272" w:hanging="360"/>
      </w:pPr>
      <w:rPr>
        <w:rFonts w:ascii="Courier New" w:hAnsi="Courier New" w:cs="Courier New" w:hint="default"/>
      </w:rPr>
    </w:lvl>
    <w:lvl w:ilvl="5" w:tplc="48090005" w:tentative="1">
      <w:start w:val="1"/>
      <w:numFmt w:val="bullet"/>
      <w:lvlText w:val=""/>
      <w:lvlJc w:val="left"/>
      <w:pPr>
        <w:ind w:left="4992" w:hanging="360"/>
      </w:pPr>
      <w:rPr>
        <w:rFonts w:ascii="Wingdings" w:hAnsi="Wingdings" w:hint="default"/>
      </w:rPr>
    </w:lvl>
    <w:lvl w:ilvl="6" w:tplc="48090001" w:tentative="1">
      <w:start w:val="1"/>
      <w:numFmt w:val="bullet"/>
      <w:lvlText w:val=""/>
      <w:lvlJc w:val="left"/>
      <w:pPr>
        <w:ind w:left="5712" w:hanging="360"/>
      </w:pPr>
      <w:rPr>
        <w:rFonts w:ascii="Symbol" w:hAnsi="Symbol" w:hint="default"/>
      </w:rPr>
    </w:lvl>
    <w:lvl w:ilvl="7" w:tplc="48090003" w:tentative="1">
      <w:start w:val="1"/>
      <w:numFmt w:val="bullet"/>
      <w:lvlText w:val="o"/>
      <w:lvlJc w:val="left"/>
      <w:pPr>
        <w:ind w:left="6432" w:hanging="360"/>
      </w:pPr>
      <w:rPr>
        <w:rFonts w:ascii="Courier New" w:hAnsi="Courier New" w:cs="Courier New" w:hint="default"/>
      </w:rPr>
    </w:lvl>
    <w:lvl w:ilvl="8" w:tplc="48090005" w:tentative="1">
      <w:start w:val="1"/>
      <w:numFmt w:val="bullet"/>
      <w:lvlText w:val=""/>
      <w:lvlJc w:val="left"/>
      <w:pPr>
        <w:ind w:left="7152"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8E5940"/>
    <w:multiLevelType w:val="hybridMultilevel"/>
    <w:tmpl w:val="467A04D8"/>
    <w:lvl w:ilvl="0" w:tplc="04090001">
      <w:start w:val="1"/>
      <w:numFmt w:val="bullet"/>
      <w:lvlText w:val=""/>
      <w:lvlJc w:val="left"/>
      <w:pPr>
        <w:ind w:left="1392" w:hanging="360"/>
      </w:pPr>
      <w:rPr>
        <w:rFonts w:ascii="Symbol" w:hAnsi="Symbol" w:hint="default"/>
      </w:rPr>
    </w:lvl>
    <w:lvl w:ilvl="1" w:tplc="FFFFFFFF" w:tentative="1">
      <w:start w:val="1"/>
      <w:numFmt w:val="bullet"/>
      <w:lvlText w:val="o"/>
      <w:lvlJc w:val="left"/>
      <w:pPr>
        <w:ind w:left="2112" w:hanging="360"/>
      </w:pPr>
      <w:rPr>
        <w:rFonts w:ascii="Courier New" w:hAnsi="Courier New" w:cs="Courier New" w:hint="default"/>
      </w:rPr>
    </w:lvl>
    <w:lvl w:ilvl="2" w:tplc="FFFFFFFF" w:tentative="1">
      <w:start w:val="1"/>
      <w:numFmt w:val="bullet"/>
      <w:lvlText w:val=""/>
      <w:lvlJc w:val="left"/>
      <w:pPr>
        <w:ind w:left="2832" w:hanging="360"/>
      </w:pPr>
      <w:rPr>
        <w:rFonts w:ascii="Wingdings" w:hAnsi="Wingdings" w:hint="default"/>
      </w:rPr>
    </w:lvl>
    <w:lvl w:ilvl="3" w:tplc="FFFFFFFF" w:tentative="1">
      <w:start w:val="1"/>
      <w:numFmt w:val="bullet"/>
      <w:lvlText w:val=""/>
      <w:lvlJc w:val="left"/>
      <w:pPr>
        <w:ind w:left="3552" w:hanging="360"/>
      </w:pPr>
      <w:rPr>
        <w:rFonts w:ascii="Symbol" w:hAnsi="Symbol" w:hint="default"/>
      </w:rPr>
    </w:lvl>
    <w:lvl w:ilvl="4" w:tplc="FFFFFFFF" w:tentative="1">
      <w:start w:val="1"/>
      <w:numFmt w:val="bullet"/>
      <w:lvlText w:val="o"/>
      <w:lvlJc w:val="left"/>
      <w:pPr>
        <w:ind w:left="4272" w:hanging="360"/>
      </w:pPr>
      <w:rPr>
        <w:rFonts w:ascii="Courier New" w:hAnsi="Courier New" w:cs="Courier New" w:hint="default"/>
      </w:rPr>
    </w:lvl>
    <w:lvl w:ilvl="5" w:tplc="FFFFFFFF" w:tentative="1">
      <w:start w:val="1"/>
      <w:numFmt w:val="bullet"/>
      <w:lvlText w:val=""/>
      <w:lvlJc w:val="left"/>
      <w:pPr>
        <w:ind w:left="4992" w:hanging="360"/>
      </w:pPr>
      <w:rPr>
        <w:rFonts w:ascii="Wingdings" w:hAnsi="Wingdings" w:hint="default"/>
      </w:rPr>
    </w:lvl>
    <w:lvl w:ilvl="6" w:tplc="FFFFFFFF" w:tentative="1">
      <w:start w:val="1"/>
      <w:numFmt w:val="bullet"/>
      <w:lvlText w:val=""/>
      <w:lvlJc w:val="left"/>
      <w:pPr>
        <w:ind w:left="5712" w:hanging="360"/>
      </w:pPr>
      <w:rPr>
        <w:rFonts w:ascii="Symbol" w:hAnsi="Symbol" w:hint="default"/>
      </w:rPr>
    </w:lvl>
    <w:lvl w:ilvl="7" w:tplc="FFFFFFFF" w:tentative="1">
      <w:start w:val="1"/>
      <w:numFmt w:val="bullet"/>
      <w:lvlText w:val="o"/>
      <w:lvlJc w:val="left"/>
      <w:pPr>
        <w:ind w:left="6432" w:hanging="360"/>
      </w:pPr>
      <w:rPr>
        <w:rFonts w:ascii="Courier New" w:hAnsi="Courier New" w:cs="Courier New" w:hint="default"/>
      </w:rPr>
    </w:lvl>
    <w:lvl w:ilvl="8" w:tplc="FFFFFFFF" w:tentative="1">
      <w:start w:val="1"/>
      <w:numFmt w:val="bullet"/>
      <w:lvlText w:val=""/>
      <w:lvlJc w:val="left"/>
      <w:pPr>
        <w:ind w:left="7152" w:hanging="360"/>
      </w:pPr>
      <w:rPr>
        <w:rFonts w:ascii="Wingdings" w:hAnsi="Wingdings" w:hint="default"/>
      </w:rPr>
    </w:lvl>
  </w:abstractNum>
  <w:abstractNum w:abstractNumId="3" w15:restartNumberingAfterBreak="0">
    <w:nsid w:val="1F4D109B"/>
    <w:multiLevelType w:val="hybridMultilevel"/>
    <w:tmpl w:val="68AAA9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BF2CE0"/>
    <w:multiLevelType w:val="hybridMultilevel"/>
    <w:tmpl w:val="7890C7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577862344">
    <w:abstractNumId w:val="1"/>
  </w:num>
  <w:num w:numId="2" w16cid:durableId="217087148">
    <w:abstractNumId w:val="4"/>
  </w:num>
  <w:num w:numId="3" w16cid:durableId="347945616">
    <w:abstractNumId w:val="5"/>
  </w:num>
  <w:num w:numId="4" w16cid:durableId="1119109097">
    <w:abstractNumId w:val="6"/>
  </w:num>
  <w:num w:numId="5" w16cid:durableId="296305114">
    <w:abstractNumId w:val="0"/>
  </w:num>
  <w:num w:numId="6" w16cid:durableId="1513184959">
    <w:abstractNumId w:val="3"/>
  </w:num>
  <w:num w:numId="7" w16cid:durableId="13772688">
    <w:abstractNumId w:val="7"/>
  </w:num>
  <w:num w:numId="8" w16cid:durableId="72079014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C2"/>
    <w:rsid w:val="000048ED"/>
    <w:rsid w:val="000079D3"/>
    <w:rsid w:val="00014915"/>
    <w:rsid w:val="00036654"/>
    <w:rsid w:val="000371B5"/>
    <w:rsid w:val="00041A66"/>
    <w:rsid w:val="00042D88"/>
    <w:rsid w:val="0005176E"/>
    <w:rsid w:val="00074096"/>
    <w:rsid w:val="000748FF"/>
    <w:rsid w:val="000765F7"/>
    <w:rsid w:val="00077AB7"/>
    <w:rsid w:val="0008009E"/>
    <w:rsid w:val="00081CD8"/>
    <w:rsid w:val="00091385"/>
    <w:rsid w:val="000A3078"/>
    <w:rsid w:val="000A7F0E"/>
    <w:rsid w:val="000B1C8F"/>
    <w:rsid w:val="000B3693"/>
    <w:rsid w:val="000C0D61"/>
    <w:rsid w:val="000C3B54"/>
    <w:rsid w:val="000F3A3F"/>
    <w:rsid w:val="00102557"/>
    <w:rsid w:val="00124175"/>
    <w:rsid w:val="00140552"/>
    <w:rsid w:val="00151E44"/>
    <w:rsid w:val="00164D56"/>
    <w:rsid w:val="001655FC"/>
    <w:rsid w:val="00167B10"/>
    <w:rsid w:val="0017402F"/>
    <w:rsid w:val="00175021"/>
    <w:rsid w:val="00190205"/>
    <w:rsid w:val="00190389"/>
    <w:rsid w:val="00196C1B"/>
    <w:rsid w:val="001B0F73"/>
    <w:rsid w:val="001B273C"/>
    <w:rsid w:val="001C2DB7"/>
    <w:rsid w:val="001D14FE"/>
    <w:rsid w:val="001D5C04"/>
    <w:rsid w:val="001F26CF"/>
    <w:rsid w:val="001F4E62"/>
    <w:rsid w:val="00222A2D"/>
    <w:rsid w:val="00223029"/>
    <w:rsid w:val="002255D2"/>
    <w:rsid w:val="00227FF0"/>
    <w:rsid w:val="00234745"/>
    <w:rsid w:val="002351A6"/>
    <w:rsid w:val="002407AF"/>
    <w:rsid w:val="00251D75"/>
    <w:rsid w:val="0026221A"/>
    <w:rsid w:val="00265AAD"/>
    <w:rsid w:val="0027466B"/>
    <w:rsid w:val="002749EA"/>
    <w:rsid w:val="002838A5"/>
    <w:rsid w:val="00285BB4"/>
    <w:rsid w:val="002B1C60"/>
    <w:rsid w:val="002C09E3"/>
    <w:rsid w:val="002D1244"/>
    <w:rsid w:val="002F0173"/>
    <w:rsid w:val="002F5D07"/>
    <w:rsid w:val="00300A40"/>
    <w:rsid w:val="003105C9"/>
    <w:rsid w:val="0031456C"/>
    <w:rsid w:val="003279B0"/>
    <w:rsid w:val="00337CEB"/>
    <w:rsid w:val="00340519"/>
    <w:rsid w:val="00340C34"/>
    <w:rsid w:val="00344B58"/>
    <w:rsid w:val="0034539A"/>
    <w:rsid w:val="00345CB4"/>
    <w:rsid w:val="00360422"/>
    <w:rsid w:val="00375D42"/>
    <w:rsid w:val="003B7522"/>
    <w:rsid w:val="003C3534"/>
    <w:rsid w:val="003D069C"/>
    <w:rsid w:val="003D7646"/>
    <w:rsid w:val="003F113A"/>
    <w:rsid w:val="003F3E63"/>
    <w:rsid w:val="00407480"/>
    <w:rsid w:val="00414643"/>
    <w:rsid w:val="00414AEE"/>
    <w:rsid w:val="00426BE5"/>
    <w:rsid w:val="0043290B"/>
    <w:rsid w:val="004421E5"/>
    <w:rsid w:val="00443C9F"/>
    <w:rsid w:val="0044641C"/>
    <w:rsid w:val="00452284"/>
    <w:rsid w:val="00454781"/>
    <w:rsid w:val="00457C8E"/>
    <w:rsid w:val="00463D58"/>
    <w:rsid w:val="004672AF"/>
    <w:rsid w:val="00481FB1"/>
    <w:rsid w:val="004856CA"/>
    <w:rsid w:val="00487E67"/>
    <w:rsid w:val="00492029"/>
    <w:rsid w:val="00493401"/>
    <w:rsid w:val="00494806"/>
    <w:rsid w:val="0049705E"/>
    <w:rsid w:val="004A2875"/>
    <w:rsid w:val="004A34A0"/>
    <w:rsid w:val="004B609A"/>
    <w:rsid w:val="004C7C82"/>
    <w:rsid w:val="004E1760"/>
    <w:rsid w:val="004E7CB2"/>
    <w:rsid w:val="005008A8"/>
    <w:rsid w:val="00507A29"/>
    <w:rsid w:val="00517FD8"/>
    <w:rsid w:val="00525508"/>
    <w:rsid w:val="00526B7B"/>
    <w:rsid w:val="005308CE"/>
    <w:rsid w:val="0053318C"/>
    <w:rsid w:val="00536860"/>
    <w:rsid w:val="00541800"/>
    <w:rsid w:val="0056292C"/>
    <w:rsid w:val="0057439C"/>
    <w:rsid w:val="005B0127"/>
    <w:rsid w:val="005B7A35"/>
    <w:rsid w:val="005C4B73"/>
    <w:rsid w:val="005D6F1E"/>
    <w:rsid w:val="005E1009"/>
    <w:rsid w:val="005E1D2B"/>
    <w:rsid w:val="005E7074"/>
    <w:rsid w:val="005F2BAF"/>
    <w:rsid w:val="005F4406"/>
    <w:rsid w:val="00600D93"/>
    <w:rsid w:val="00612536"/>
    <w:rsid w:val="00626BEA"/>
    <w:rsid w:val="0063300C"/>
    <w:rsid w:val="00635C46"/>
    <w:rsid w:val="00635DE3"/>
    <w:rsid w:val="00651A5B"/>
    <w:rsid w:val="00655736"/>
    <w:rsid w:val="00656A6B"/>
    <w:rsid w:val="00663B8D"/>
    <w:rsid w:val="00673D2E"/>
    <w:rsid w:val="00687C19"/>
    <w:rsid w:val="00696C8D"/>
    <w:rsid w:val="006A2AC2"/>
    <w:rsid w:val="006A3617"/>
    <w:rsid w:val="006B4452"/>
    <w:rsid w:val="006C6FB6"/>
    <w:rsid w:val="006E46E4"/>
    <w:rsid w:val="006E75EB"/>
    <w:rsid w:val="00704132"/>
    <w:rsid w:val="0071555E"/>
    <w:rsid w:val="00717DA5"/>
    <w:rsid w:val="007354B9"/>
    <w:rsid w:val="00744484"/>
    <w:rsid w:val="00747566"/>
    <w:rsid w:val="00773188"/>
    <w:rsid w:val="00783782"/>
    <w:rsid w:val="00783FFC"/>
    <w:rsid w:val="00784B8C"/>
    <w:rsid w:val="007879E1"/>
    <w:rsid w:val="007914C8"/>
    <w:rsid w:val="0079675D"/>
    <w:rsid w:val="007A1781"/>
    <w:rsid w:val="007B4303"/>
    <w:rsid w:val="007C077B"/>
    <w:rsid w:val="007F1DA5"/>
    <w:rsid w:val="00803D3F"/>
    <w:rsid w:val="00823A11"/>
    <w:rsid w:val="0083092F"/>
    <w:rsid w:val="00844D18"/>
    <w:rsid w:val="0085188D"/>
    <w:rsid w:val="0085405E"/>
    <w:rsid w:val="0085414A"/>
    <w:rsid w:val="00857EB9"/>
    <w:rsid w:val="008600AA"/>
    <w:rsid w:val="0086269D"/>
    <w:rsid w:val="0086543A"/>
    <w:rsid w:val="008724E5"/>
    <w:rsid w:val="0087601F"/>
    <w:rsid w:val="00884A9D"/>
    <w:rsid w:val="0088512B"/>
    <w:rsid w:val="0089490D"/>
    <w:rsid w:val="008A2B2D"/>
    <w:rsid w:val="008A4E1E"/>
    <w:rsid w:val="008C296C"/>
    <w:rsid w:val="008D34FB"/>
    <w:rsid w:val="008D4305"/>
    <w:rsid w:val="008E1A85"/>
    <w:rsid w:val="008F1DC3"/>
    <w:rsid w:val="008F4DF4"/>
    <w:rsid w:val="008F5FDA"/>
    <w:rsid w:val="009044CA"/>
    <w:rsid w:val="009163A7"/>
    <w:rsid w:val="00926FB3"/>
    <w:rsid w:val="00941186"/>
    <w:rsid w:val="00946D0B"/>
    <w:rsid w:val="009540D9"/>
    <w:rsid w:val="00955877"/>
    <w:rsid w:val="00960A73"/>
    <w:rsid w:val="00962034"/>
    <w:rsid w:val="009A18CD"/>
    <w:rsid w:val="009A4E9A"/>
    <w:rsid w:val="009B0BB9"/>
    <w:rsid w:val="009D0309"/>
    <w:rsid w:val="009D1070"/>
    <w:rsid w:val="009D5428"/>
    <w:rsid w:val="00A12558"/>
    <w:rsid w:val="00A13903"/>
    <w:rsid w:val="00A265B8"/>
    <w:rsid w:val="00A34ED5"/>
    <w:rsid w:val="00A45DBF"/>
    <w:rsid w:val="00A50FFA"/>
    <w:rsid w:val="00A53F11"/>
    <w:rsid w:val="00A54509"/>
    <w:rsid w:val="00A725CF"/>
    <w:rsid w:val="00A755A2"/>
    <w:rsid w:val="00A776C2"/>
    <w:rsid w:val="00AA6660"/>
    <w:rsid w:val="00AA7222"/>
    <w:rsid w:val="00AB2C36"/>
    <w:rsid w:val="00AB6DDE"/>
    <w:rsid w:val="00AB70B6"/>
    <w:rsid w:val="00AD1A86"/>
    <w:rsid w:val="00AE103E"/>
    <w:rsid w:val="00AF0A07"/>
    <w:rsid w:val="00AF125C"/>
    <w:rsid w:val="00AF4AEC"/>
    <w:rsid w:val="00AF625E"/>
    <w:rsid w:val="00AF70EC"/>
    <w:rsid w:val="00AF7328"/>
    <w:rsid w:val="00B043E7"/>
    <w:rsid w:val="00B04ABF"/>
    <w:rsid w:val="00B108E6"/>
    <w:rsid w:val="00B1291D"/>
    <w:rsid w:val="00B139BE"/>
    <w:rsid w:val="00B2172B"/>
    <w:rsid w:val="00B303B1"/>
    <w:rsid w:val="00B4175E"/>
    <w:rsid w:val="00B45933"/>
    <w:rsid w:val="00B60B34"/>
    <w:rsid w:val="00B630D7"/>
    <w:rsid w:val="00B65DC3"/>
    <w:rsid w:val="00B70EA0"/>
    <w:rsid w:val="00B9146E"/>
    <w:rsid w:val="00B917D2"/>
    <w:rsid w:val="00BA241A"/>
    <w:rsid w:val="00BB04AF"/>
    <w:rsid w:val="00BC6B20"/>
    <w:rsid w:val="00BD52C9"/>
    <w:rsid w:val="00BD7B66"/>
    <w:rsid w:val="00BE59AC"/>
    <w:rsid w:val="00BE6354"/>
    <w:rsid w:val="00C1213A"/>
    <w:rsid w:val="00C138D1"/>
    <w:rsid w:val="00C13E91"/>
    <w:rsid w:val="00C22B32"/>
    <w:rsid w:val="00C23A97"/>
    <w:rsid w:val="00C25B18"/>
    <w:rsid w:val="00C4473E"/>
    <w:rsid w:val="00C45BC8"/>
    <w:rsid w:val="00C52EBE"/>
    <w:rsid w:val="00C5776D"/>
    <w:rsid w:val="00C64855"/>
    <w:rsid w:val="00C66865"/>
    <w:rsid w:val="00C70EA7"/>
    <w:rsid w:val="00C7433F"/>
    <w:rsid w:val="00C7516E"/>
    <w:rsid w:val="00C75374"/>
    <w:rsid w:val="00C75770"/>
    <w:rsid w:val="00C814F4"/>
    <w:rsid w:val="00C83C8F"/>
    <w:rsid w:val="00C919D4"/>
    <w:rsid w:val="00CA56BB"/>
    <w:rsid w:val="00CA6BEF"/>
    <w:rsid w:val="00CB0542"/>
    <w:rsid w:val="00CC3D04"/>
    <w:rsid w:val="00CE4B32"/>
    <w:rsid w:val="00D00B2B"/>
    <w:rsid w:val="00D24877"/>
    <w:rsid w:val="00D31FAD"/>
    <w:rsid w:val="00D47FBA"/>
    <w:rsid w:val="00D53E1F"/>
    <w:rsid w:val="00D5412F"/>
    <w:rsid w:val="00D62E7A"/>
    <w:rsid w:val="00D64ADB"/>
    <w:rsid w:val="00D7105A"/>
    <w:rsid w:val="00D8250F"/>
    <w:rsid w:val="00D85400"/>
    <w:rsid w:val="00D86BB3"/>
    <w:rsid w:val="00D87548"/>
    <w:rsid w:val="00D95C4C"/>
    <w:rsid w:val="00DA36ED"/>
    <w:rsid w:val="00DB48FE"/>
    <w:rsid w:val="00DB4C59"/>
    <w:rsid w:val="00DC5F8A"/>
    <w:rsid w:val="00DC736E"/>
    <w:rsid w:val="00DD4BFB"/>
    <w:rsid w:val="00DE14C8"/>
    <w:rsid w:val="00DE34F1"/>
    <w:rsid w:val="00DE6160"/>
    <w:rsid w:val="00DE641B"/>
    <w:rsid w:val="00DF39BF"/>
    <w:rsid w:val="00DF4942"/>
    <w:rsid w:val="00DF49D7"/>
    <w:rsid w:val="00E019FC"/>
    <w:rsid w:val="00E03210"/>
    <w:rsid w:val="00E07783"/>
    <w:rsid w:val="00E12665"/>
    <w:rsid w:val="00E15290"/>
    <w:rsid w:val="00E16EFD"/>
    <w:rsid w:val="00E17B8A"/>
    <w:rsid w:val="00E2125F"/>
    <w:rsid w:val="00E244E1"/>
    <w:rsid w:val="00E2760B"/>
    <w:rsid w:val="00E4150C"/>
    <w:rsid w:val="00E627B1"/>
    <w:rsid w:val="00E70169"/>
    <w:rsid w:val="00E83BF5"/>
    <w:rsid w:val="00E90037"/>
    <w:rsid w:val="00E9376C"/>
    <w:rsid w:val="00E95AE2"/>
    <w:rsid w:val="00EA335E"/>
    <w:rsid w:val="00EA40D8"/>
    <w:rsid w:val="00EA528C"/>
    <w:rsid w:val="00EA580C"/>
    <w:rsid w:val="00EC40D4"/>
    <w:rsid w:val="00EC416D"/>
    <w:rsid w:val="00EC68A3"/>
    <w:rsid w:val="00EC6F8D"/>
    <w:rsid w:val="00ED39B2"/>
    <w:rsid w:val="00EE06AB"/>
    <w:rsid w:val="00EE1C86"/>
    <w:rsid w:val="00EE49F4"/>
    <w:rsid w:val="00EF34E2"/>
    <w:rsid w:val="00F20191"/>
    <w:rsid w:val="00F247F3"/>
    <w:rsid w:val="00F30DC6"/>
    <w:rsid w:val="00F32C23"/>
    <w:rsid w:val="00F42F95"/>
    <w:rsid w:val="00F5361E"/>
    <w:rsid w:val="00F53DE9"/>
    <w:rsid w:val="00F56FA1"/>
    <w:rsid w:val="00F576CB"/>
    <w:rsid w:val="00F7035D"/>
    <w:rsid w:val="00F71A02"/>
    <w:rsid w:val="00F80E7A"/>
    <w:rsid w:val="00F85A71"/>
    <w:rsid w:val="00F85CED"/>
    <w:rsid w:val="00F92792"/>
    <w:rsid w:val="00FA0D63"/>
    <w:rsid w:val="00FB5F83"/>
    <w:rsid w:val="00FC6D69"/>
    <w:rsid w:val="00FD1226"/>
    <w:rsid w:val="00FD4AF0"/>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Revision">
    <w:name w:val="Revision"/>
    <w:hidden/>
    <w:uiPriority w:val="99"/>
    <w:semiHidden/>
    <w:rsid w:val="00AA7222"/>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D7B66"/>
    <w:rPr>
      <w:sz w:val="16"/>
      <w:szCs w:val="16"/>
    </w:rPr>
  </w:style>
  <w:style w:type="paragraph" w:styleId="CommentText">
    <w:name w:val="annotation text"/>
    <w:basedOn w:val="Normal"/>
    <w:link w:val="CommentTextChar"/>
    <w:uiPriority w:val="99"/>
    <w:semiHidden/>
    <w:unhideWhenUsed/>
    <w:rsid w:val="00BD7B66"/>
    <w:rPr>
      <w:sz w:val="20"/>
      <w:szCs w:val="20"/>
    </w:rPr>
  </w:style>
  <w:style w:type="character" w:customStyle="1" w:styleId="CommentTextChar">
    <w:name w:val="Comment Text Char"/>
    <w:basedOn w:val="DefaultParagraphFont"/>
    <w:link w:val="CommentText"/>
    <w:uiPriority w:val="99"/>
    <w:semiHidden/>
    <w:rsid w:val="00BD7B6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7B66"/>
    <w:rPr>
      <w:b/>
      <w:bCs/>
    </w:rPr>
  </w:style>
  <w:style w:type="character" w:customStyle="1" w:styleId="CommentSubjectChar">
    <w:name w:val="Comment Subject Char"/>
    <w:basedOn w:val="CommentTextChar"/>
    <w:link w:val="CommentSubject"/>
    <w:uiPriority w:val="99"/>
    <w:semiHidden/>
    <w:rsid w:val="00BD7B6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B313750D0CB4BB27253CBF2D583A2" ma:contentTypeVersion="14" ma:contentTypeDescription="Een nieuw document maken." ma:contentTypeScope="" ma:versionID="a6d15c3c54c4c77720c6b89eacdf6cbd">
  <xsd:schema xmlns:xsd="http://www.w3.org/2001/XMLSchema" xmlns:xs="http://www.w3.org/2001/XMLSchema" xmlns:p="http://schemas.microsoft.com/office/2006/metadata/properties" xmlns:ns3="8d3c1b00-2558-43b6-b98f-98d74033a94e" xmlns:ns4="3ca173d5-f417-40db-9834-78dc1098331c" targetNamespace="http://schemas.microsoft.com/office/2006/metadata/properties" ma:root="true" ma:fieldsID="d0dd8db5fd3fe86b393b99d4b9e73bee" ns3:_="" ns4:_="">
    <xsd:import namespace="8d3c1b00-2558-43b6-b98f-98d74033a94e"/>
    <xsd:import namespace="3ca173d5-f417-40db-9834-78dc109833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c1b00-2558-43b6-b98f-98d74033a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173d5-f417-40db-9834-78dc1098331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3c1b00-2558-43b6-b98f-98d74033a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B432-6229-4CDA-979D-405B15531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c1b00-2558-43b6-b98f-98d74033a94e"/>
    <ds:schemaRef ds:uri="3ca173d5-f417-40db-9834-78dc10983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02F88-14AA-4F34-968D-FDD470335617}">
  <ds:schemaRefs>
    <ds:schemaRef ds:uri="http://schemas.microsoft.com/sharepoint/v3/contenttype/forms"/>
  </ds:schemaRefs>
</ds:datastoreItem>
</file>

<file path=customXml/itemProps3.xml><?xml version="1.0" encoding="utf-8"?>
<ds:datastoreItem xmlns:ds="http://schemas.openxmlformats.org/officeDocument/2006/customXml" ds:itemID="{BB7DBD10-DCD7-49F1-AD62-EDC0D19597B3}">
  <ds:schemaRefs>
    <ds:schemaRef ds:uri="http://schemas.microsoft.com/office/2006/metadata/properties"/>
    <ds:schemaRef ds:uri="http://schemas.microsoft.com/office/infopath/2007/PartnerControls"/>
    <ds:schemaRef ds:uri="8d3c1b00-2558-43b6-b98f-98d74033a94e"/>
  </ds:schemaRefs>
</ds:datastoreItem>
</file>

<file path=customXml/itemProps4.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55</TotalTime>
  <Pages>5</Pages>
  <Words>2024</Words>
  <Characters>11539</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Li, Xinling</cp:lastModifiedBy>
  <cp:revision>11</cp:revision>
  <cp:lastPrinted>2011-08-06T10:22:00Z</cp:lastPrinted>
  <dcterms:created xsi:type="dcterms:W3CDTF">2023-05-29T15:52:00Z</dcterms:created>
  <dcterms:modified xsi:type="dcterms:W3CDTF">2023-06-06T16:32:00Z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0x010100DADB313750D0CB4BB27253CBF2D583A2</vt:lpwstr>
  </property>
</Properties>
</file>