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D534F" w14:textId="77777777" w:rsidR="004325DC" w:rsidRPr="00D76AC2" w:rsidRDefault="00C10A1F" w:rsidP="00BD3D90">
      <w:pPr>
        <w:pStyle w:val="Caschap"/>
      </w:pPr>
      <w:bookmarkStart w:id="0" w:name="_Toc241065293"/>
      <w:bookmarkStart w:id="1" w:name="_Toc301443499"/>
      <w:bookmarkStart w:id="2" w:name="_Toc321407146"/>
      <w:bookmarkStart w:id="3" w:name="_GoBack"/>
      <w:bookmarkEnd w:id="3"/>
      <w:r w:rsidRPr="00D76AC2">
        <w:rPr>
          <w:rFonts w:hint="eastAsia"/>
        </w:rPr>
        <w:t>É</w:t>
      </w:r>
      <w:r w:rsidRPr="00D76AC2">
        <w:t>tude de cas 16</w:t>
      </w:r>
      <w:bookmarkEnd w:id="0"/>
    </w:p>
    <w:p w14:paraId="44E1E2B4" w14:textId="23C49037" w:rsidR="004325DC" w:rsidRPr="002633AF" w:rsidRDefault="00C10A1F" w:rsidP="00BD3D90">
      <w:pPr>
        <w:pStyle w:val="Cas"/>
        <w:rPr>
          <w:color w:val="0000FF"/>
        </w:rPr>
      </w:pPr>
      <w:bookmarkStart w:id="4" w:name="_Toc238963393"/>
      <w:bookmarkStart w:id="5" w:name="_Toc241065294"/>
      <w:r w:rsidRPr="002633AF">
        <w:rPr>
          <w:color w:val="0000FF"/>
        </w:rPr>
        <w:t>M</w:t>
      </w:r>
      <w:r w:rsidRPr="002633AF">
        <w:rPr>
          <w:rFonts w:hint="eastAsia"/>
          <w:color w:val="0000FF"/>
        </w:rPr>
        <w:t>é</w:t>
      </w:r>
      <w:r w:rsidRPr="002633AF">
        <w:rPr>
          <w:color w:val="0000FF"/>
        </w:rPr>
        <w:t>tiers traditionnels et g</w:t>
      </w:r>
      <w:r w:rsidRPr="002633AF">
        <w:rPr>
          <w:rFonts w:hint="eastAsia"/>
          <w:color w:val="0000FF"/>
        </w:rPr>
        <w:t>é</w:t>
      </w:r>
      <w:r w:rsidRPr="002633AF">
        <w:rPr>
          <w:color w:val="0000FF"/>
        </w:rPr>
        <w:t>n</w:t>
      </w:r>
      <w:r w:rsidRPr="002633AF">
        <w:rPr>
          <w:rFonts w:hint="eastAsia"/>
          <w:color w:val="0000FF"/>
        </w:rPr>
        <w:t>é</w:t>
      </w:r>
      <w:r w:rsidRPr="002633AF">
        <w:rPr>
          <w:color w:val="0000FF"/>
        </w:rPr>
        <w:t xml:space="preserve">ration de </w:t>
      </w:r>
      <w:r w:rsidR="00F47762" w:rsidRPr="002633AF">
        <w:rPr>
          <w:color w:val="0000FF"/>
        </w:rPr>
        <w:t>revenus</w:t>
      </w:r>
      <w:r w:rsidR="00D76AC2" w:rsidRPr="002633AF">
        <w:rPr>
          <w:color w:val="0000FF"/>
        </w:rPr>
        <w:t xml:space="preserve"> </w:t>
      </w:r>
      <w:r w:rsidRPr="002633AF">
        <w:rPr>
          <w:rFonts w:hint="eastAsia"/>
          <w:color w:val="0000FF"/>
        </w:rPr>
        <w:t>à</w:t>
      </w:r>
      <w:r w:rsidRPr="002633AF">
        <w:rPr>
          <w:color w:val="0000FF"/>
        </w:rPr>
        <w:t xml:space="preserve"> </w:t>
      </w:r>
      <w:r w:rsidR="00EC3587" w:rsidRPr="002633AF">
        <w:rPr>
          <w:color w:val="0000FF"/>
        </w:rPr>
        <w:tab/>
      </w:r>
      <w:r w:rsidRPr="002633AF">
        <w:rPr>
          <w:color w:val="0000FF"/>
        </w:rPr>
        <w:t>Penang, Malaisie</w:t>
      </w:r>
      <w:bookmarkEnd w:id="1"/>
      <w:bookmarkEnd w:id="2"/>
      <w:bookmarkEnd w:id="4"/>
      <w:bookmarkEnd w:id="5"/>
      <w:r w:rsidR="003D7D5A" w:rsidRPr="002633AF">
        <w:rPr>
          <w:rStyle w:val="FootnoteReference"/>
          <w:color w:val="0000FF"/>
          <w:sz w:val="28"/>
          <w:szCs w:val="28"/>
        </w:rPr>
        <w:footnoteReference w:id="1"/>
      </w:r>
    </w:p>
    <w:p w14:paraId="28C2E789" w14:textId="77777777" w:rsidR="004325DC" w:rsidRPr="007F6848" w:rsidRDefault="00C10A1F" w:rsidP="00914287">
      <w:pPr>
        <w:pStyle w:val="Texte1"/>
      </w:pPr>
      <w:r w:rsidRPr="008D63FF">
        <w:t>Cet exemple montre comment la sensibilisation à l’artisanat traditionnel au sein d’une communauté a donné une impulsion à des activités qui ont amélioré la transmission du savoir-faire qui y est associé et élevé le statut social et les possibilités de rémunération des praticiens.</w:t>
      </w:r>
    </w:p>
    <w:p w14:paraId="58394BEF" w14:textId="7F451E85" w:rsidR="004325DC" w:rsidRDefault="00C10A1F" w:rsidP="001F706C">
      <w:pPr>
        <w:pStyle w:val="Heading4"/>
        <w:tabs>
          <w:tab w:val="left" w:pos="6659"/>
        </w:tabs>
      </w:pPr>
      <w:r w:rsidRPr="00D76AC2">
        <w:t xml:space="preserve">Audit et programme </w:t>
      </w:r>
      <w:r w:rsidRPr="00D76AC2">
        <w:rPr>
          <w:rFonts w:hint="eastAsia"/>
        </w:rPr>
        <w:t>é</w:t>
      </w:r>
      <w:r w:rsidRPr="00D76AC2">
        <w:t>ducatif sur le patrimoine</w:t>
      </w:r>
    </w:p>
    <w:p w14:paraId="2922EF82" w14:textId="77777777" w:rsidR="004325DC" w:rsidRDefault="00C10A1F" w:rsidP="00914287">
      <w:pPr>
        <w:pStyle w:val="Texte1"/>
      </w:pPr>
      <w:r w:rsidRPr="00556D69">
        <w:t xml:space="preserve">Le riche patrimoine architectural de l’île de Penang, ses plages, ses collines et sa cuisine sont depuis longtemps vantés aux touristes, mais la promotion et la sauvegarde des métiers d’art traditionnels étaient le plus souvent négligées. En 2000, le Penang </w:t>
      </w:r>
      <w:proofErr w:type="spellStart"/>
      <w:r w:rsidRPr="00556D69">
        <w:t>Heritage</w:t>
      </w:r>
      <w:proofErr w:type="spellEnd"/>
      <w:r w:rsidRPr="00556D69">
        <w:t xml:space="preserve"> Trust a mené une enquête sur les commerçants et les artisans traditionnels pour s’assurer qu’ils ne subissaient pas de préjudice du fait de l’abrogation des mesures sur le contrôle des loyers. Parallèlement à l’audit, un programme éducatif du patrimoine a été lancé pour présenter ces métiers traditionnels aux enfants des écoles. Certains enfants ont choisi d’aller faire un apprentissage informel chez un artisan attitré et de documenter ainsi leur travail </w:t>
      </w:r>
      <w:r w:rsidR="00EA1FE1" w:rsidRPr="00556D69">
        <w:t>:</w:t>
      </w:r>
    </w:p>
    <w:p w14:paraId="3C4B2658" w14:textId="77777777" w:rsidR="004325DC" w:rsidRDefault="00C10A1F" w:rsidP="00BD3D90">
      <w:pPr>
        <w:pStyle w:val="citation"/>
      </w:pPr>
      <w:r w:rsidRPr="00556D69">
        <w:t>Pour les enfants ce fut une expérience enrichissante, pour les petits commerçants, souvent âgés, c’était déroutant au début, même un peu pénible (tous ces enfants bruyants…), et puis c’est devenu assez drôle (ils sont tellement incompétents…) et en fin de compte l’expérience fut gratifiante et plaisante (…en fait, ils pensent que mon travail est si important)</w:t>
      </w:r>
      <w:r w:rsidRPr="00556D69">
        <w:rPr>
          <w:vertAlign w:val="superscript"/>
        </w:rPr>
        <w:footnoteReference w:id="2"/>
      </w:r>
      <w:r w:rsidRPr="00556D69">
        <w:t>.</w:t>
      </w:r>
    </w:p>
    <w:p w14:paraId="2A0AC8D3" w14:textId="7F0303B6" w:rsidR="004325DC" w:rsidRDefault="00C10A1F" w:rsidP="00914287">
      <w:pPr>
        <w:pStyle w:val="Heading4"/>
      </w:pPr>
      <w:r w:rsidRPr="00556D69">
        <w:t>Promouvoir la production artisanale et accorder une reconnaissance aux artisans</w:t>
      </w:r>
    </w:p>
    <w:p w14:paraId="7AC70BBC" w14:textId="77777777" w:rsidR="004325DC" w:rsidRDefault="00C10A1F" w:rsidP="00914287">
      <w:pPr>
        <w:pStyle w:val="Texte1"/>
      </w:pPr>
      <w:r w:rsidRPr="00556D69">
        <w:t>La phase suivante du programme a engagé les enfants et les artisans à promouvoir la production artisanale traditionnelle sur un marché plus étendu et à créer les Chemins du patrimoine afin de présenter leur ouvrage. Les enfants ont préparé des dépliants à distribuer aux visiteurs. L’opération a commencé avec un très petit budget, mais les offices de tourisme du pays n’ont pas tardé à financer des brochures promotionnelles diffusées à grande échelle.</w:t>
      </w:r>
    </w:p>
    <w:p w14:paraId="411A1745" w14:textId="77777777" w:rsidR="004325DC" w:rsidRDefault="00C10A1F" w:rsidP="00914287">
      <w:pPr>
        <w:pStyle w:val="Texte1"/>
      </w:pPr>
      <w:r w:rsidRPr="00556D69">
        <w:t xml:space="preserve">Les Distinctions (Awards) des Trésors du patrimoine vivant de la Fondation du patrimoine de Penang ont été créées pour saluer l’œuvre des artisans. Les lauréats, sélectionnés depuis les candidatures publiques, ont bénéficié d’une bonne publicité, ont reçu un accueil enthousiaste et l’hommage du public, et une aide financière pour le restant de leurs jours. Leurs savoir-faire, procédés et réalisations ont été entièrement documentés pour la postérité. Un des lauréats, ciseleur d’enseigne, a déclaré à des reporters de </w:t>
      </w:r>
      <w:r w:rsidRPr="00556D69">
        <w:lastRenderedPageBreak/>
        <w:t>presse un an après avoir reçu sa distinction, qu’il ne s’était jamais senti auparavant aussi ému ni aussi encouragé à continuer à exercer son métier. Sa famille, qui traitait auparavant son travail par le mépris, montrait ouvertement pour la première fois qu’elle était fière de lui et du travail qu’il avait fait toute sa vie. En même temps, il avait maintenant besoin d’aide dans son atelier pour répondre à la demande.</w:t>
      </w:r>
    </w:p>
    <w:p w14:paraId="20FB822B" w14:textId="77777777" w:rsidR="004325DC" w:rsidRDefault="00C10A1F" w:rsidP="00914287">
      <w:pPr>
        <w:pStyle w:val="Texte1"/>
      </w:pPr>
      <w:r w:rsidRPr="00556D69">
        <w:t>Ces initiatives ont ainsi éveillé l’intérêt du public pour la valeur de l’artisanat traditionnel, favorisé la transmission de ces métiers aux jeunes et ont aussi contribué à la formation de revenus pour les artisans traditionnels.</w:t>
      </w:r>
    </w:p>
    <w:p w14:paraId="0E5FE04F" w14:textId="77777777" w:rsidR="00B2558B" w:rsidRDefault="00B2558B" w:rsidP="00914287">
      <w:pPr>
        <w:pStyle w:val="Texte1"/>
      </w:pPr>
    </w:p>
    <w:p w14:paraId="0F2CE216" w14:textId="77777777" w:rsidR="00B2558B" w:rsidRDefault="00B2558B" w:rsidP="00914287">
      <w:pPr>
        <w:pStyle w:val="Texte1"/>
      </w:pPr>
    </w:p>
    <w:p w14:paraId="1E623277" w14:textId="77777777" w:rsidR="004325DC" w:rsidRPr="00BD3D90" w:rsidRDefault="004325DC" w:rsidP="00F607A1">
      <w:pPr>
        <w:ind w:left="0"/>
      </w:pPr>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617188" w:rsidRDefault="00617188" w:rsidP="000F4C6A">
      <w:r>
        <w:separator/>
      </w:r>
    </w:p>
    <w:p w14:paraId="699E1972" w14:textId="77777777" w:rsidR="00617188" w:rsidRDefault="00617188"/>
    <w:p w14:paraId="71430F6A" w14:textId="77777777" w:rsidR="00617188" w:rsidRDefault="00617188"/>
  </w:endnote>
  <w:endnote w:type="continuationSeparator" w:id="0">
    <w:p w14:paraId="5E1182B1" w14:textId="77777777" w:rsidR="00617188" w:rsidRDefault="00617188" w:rsidP="000F4C6A">
      <w:r>
        <w:continuationSeparator/>
      </w:r>
    </w:p>
    <w:p w14:paraId="60CFA6F3" w14:textId="77777777" w:rsidR="00617188" w:rsidRDefault="00617188"/>
    <w:p w14:paraId="1944B2A3" w14:textId="77777777" w:rsidR="00617188" w:rsidRDefault="00617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2CDB7EE2" w:rsidR="00617188" w:rsidRDefault="00C03F29" w:rsidP="00BD3D90">
    <w:pPr>
      <w:pStyle w:val="Footer"/>
    </w:pPr>
    <w:r>
      <w:rPr>
        <w:noProof/>
        <w:lang w:eastAsia="fr-FR"/>
      </w:rPr>
      <w:drawing>
        <wp:anchor distT="0" distB="0" distL="114300" distR="114300" simplePos="0" relativeHeight="252062720" behindDoc="0" locked="0" layoutInCell="1" allowOverlap="1" wp14:anchorId="7DDFB90E" wp14:editId="7B9F794B">
          <wp:simplePos x="0" y="0"/>
          <wp:positionH relativeFrom="column">
            <wp:posOffset>2402840</wp:posOffset>
          </wp:positionH>
          <wp:positionV relativeFrom="paragraph">
            <wp:posOffset>15875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17188">
      <w:rPr>
        <w:noProof/>
        <w:lang w:eastAsia="fr-FR"/>
      </w:rPr>
      <w:drawing>
        <wp:anchor distT="0" distB="0" distL="114300" distR="114300" simplePos="0" relativeHeight="252058624" behindDoc="1" locked="1" layoutInCell="1" allowOverlap="0" wp14:anchorId="330896AE" wp14:editId="5A4C261F">
          <wp:simplePos x="0" y="0"/>
          <wp:positionH relativeFrom="column">
            <wp:posOffset>-635</wp:posOffset>
          </wp:positionH>
          <wp:positionV relativeFrom="margin">
            <wp:posOffset>8641715</wp:posOffset>
          </wp:positionV>
          <wp:extent cx="908050" cy="635000"/>
          <wp:effectExtent l="0" t="0" r="6350" b="0"/>
          <wp:wrapThrough wrapText="bothSides">
            <wp:wrapPolygon edited="0">
              <wp:start x="0" y="0"/>
              <wp:lineTo x="0" y="20736"/>
              <wp:lineTo x="21298" y="20736"/>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88">
      <w:tab/>
    </w:r>
    <w:r w:rsidR="00617188">
      <w:tab/>
      <w:t>CS16-v1.0-FR</w:t>
    </w:r>
    <w:r w:rsidR="0061718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617188" w:rsidRPr="00AB434F" w:rsidRDefault="0061718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00CF6385" w:rsidR="00617188" w:rsidRPr="00BD3D90" w:rsidRDefault="00C03F29"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1C920184" wp14:editId="2F298610">
          <wp:simplePos x="0" y="0"/>
          <wp:positionH relativeFrom="column">
            <wp:posOffset>2358390</wp:posOffset>
          </wp:positionH>
          <wp:positionV relativeFrom="paragraph">
            <wp:posOffset>22225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17188">
      <w:t>CS16-v1.0-FR</w:t>
    </w:r>
    <w:r w:rsidR="00617188">
      <w:tab/>
    </w:r>
    <w:r w:rsidR="00617188">
      <w:tab/>
    </w:r>
    <w:r w:rsidR="00617188">
      <w:rPr>
        <w:noProof/>
        <w:lang w:eastAsia="fr-FR"/>
      </w:rPr>
      <w:drawing>
        <wp:anchor distT="0" distB="0" distL="114300" distR="114300" simplePos="0" relativeHeight="252054528" behindDoc="1" locked="1" layoutInCell="1" allowOverlap="0" wp14:anchorId="7905EA17" wp14:editId="301AF2CE">
          <wp:simplePos x="0" y="0"/>
          <wp:positionH relativeFrom="column">
            <wp:posOffset>4679315</wp:posOffset>
          </wp:positionH>
          <wp:positionV relativeFrom="margin">
            <wp:posOffset>8641715</wp:posOffset>
          </wp:positionV>
          <wp:extent cx="908050" cy="635000"/>
          <wp:effectExtent l="0" t="0" r="6350" b="0"/>
          <wp:wrapThrough wrapText="bothSides">
            <wp:wrapPolygon edited="0">
              <wp:start x="0" y="0"/>
              <wp:lineTo x="0" y="20736"/>
              <wp:lineTo x="21298" y="20736"/>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617188" w:rsidRDefault="00617188" w:rsidP="00BD3D90">
      <w:pPr>
        <w:spacing w:after="60"/>
        <w:ind w:left="0"/>
      </w:pPr>
      <w:r>
        <w:separator/>
      </w:r>
    </w:p>
  </w:footnote>
  <w:footnote w:type="continuationSeparator" w:id="0">
    <w:p w14:paraId="6ED13C48" w14:textId="77777777" w:rsidR="00617188" w:rsidRDefault="00617188" w:rsidP="000F4C6A">
      <w:r>
        <w:continuationSeparator/>
      </w:r>
    </w:p>
    <w:p w14:paraId="6C027696" w14:textId="77777777" w:rsidR="00617188" w:rsidRDefault="00617188"/>
    <w:p w14:paraId="358C5001" w14:textId="77777777" w:rsidR="00617188" w:rsidRDefault="00617188"/>
  </w:footnote>
  <w:footnote w:id="1">
    <w:p w14:paraId="1D56634B" w14:textId="2C8ED779" w:rsidR="00617188" w:rsidRPr="003D7D5A" w:rsidRDefault="00617188">
      <w:pPr>
        <w:pStyle w:val="FootnoteText"/>
        <w:rPr>
          <w:szCs w:val="14"/>
        </w:rPr>
      </w:pPr>
      <w:r w:rsidRPr="00317559">
        <w:rPr>
          <w:rStyle w:val="FootnoteReference"/>
          <w:sz w:val="16"/>
          <w:szCs w:val="16"/>
          <w:vertAlign w:val="baseline"/>
        </w:rPr>
        <w:footnoteRef/>
      </w:r>
      <w:r w:rsidRPr="00317559">
        <w:rPr>
          <w:szCs w:val="16"/>
        </w:rPr>
        <w:t>.</w:t>
      </w:r>
      <w:r>
        <w:rPr>
          <w:szCs w:val="14"/>
        </w:rPr>
        <w:tab/>
      </w:r>
      <w:r w:rsidRPr="005B4E89">
        <w:rPr>
          <w:noProof/>
        </w:rPr>
        <w:t xml:space="preserve">Cette </w:t>
      </w:r>
      <w:r>
        <w:rPr>
          <w:noProof/>
        </w:rPr>
        <w:t>Étude de cas</w:t>
      </w:r>
      <w:r w:rsidRPr="005B4E89">
        <w:rPr>
          <w:noProof/>
        </w:rPr>
        <w:t xml:space="preserve"> est tirée de Lin Lee Loh-Lim, 2007, </w:t>
      </w:r>
      <w:r>
        <w:rPr>
          <w:noProof/>
        </w:rPr>
        <w:t>« </w:t>
      </w:r>
      <w:r w:rsidRPr="005B4E89">
        <w:rPr>
          <w:noProof/>
        </w:rPr>
        <w:t>Handicrafts in the Context of Sustainable Cultural Tourism</w:t>
      </w:r>
      <w:r>
        <w:rPr>
          <w:noProof/>
        </w:rPr>
        <w:t> »</w:t>
      </w:r>
      <w:r w:rsidRPr="005B4E89">
        <w:rPr>
          <w:noProof/>
        </w:rPr>
        <w:t xml:space="preserve">, réunion régionale UNESCO-EIIHCAP, </w:t>
      </w:r>
      <w:r w:rsidRPr="005B4E89">
        <w:rPr>
          <w:i/>
          <w:iCs/>
          <w:noProof/>
        </w:rPr>
        <w:t>Sauvegarde du patrimoine culturel immatériel et tourisme culturel durable </w:t>
      </w:r>
      <w:r>
        <w:rPr>
          <w:i/>
          <w:iCs/>
          <w:noProof/>
        </w:rPr>
        <w:t>:</w:t>
      </w:r>
      <w:r w:rsidRPr="005B4E89">
        <w:rPr>
          <w:i/>
          <w:iCs/>
          <w:noProof/>
        </w:rPr>
        <w:t xml:space="preserve"> opportunités et défis</w:t>
      </w:r>
      <w:r w:rsidRPr="005B4E89">
        <w:rPr>
          <w:noProof/>
        </w:rPr>
        <w:t>, Hué, Viet Nam, 11</w:t>
      </w:r>
      <w:r>
        <w:rPr>
          <w:noProof/>
        </w:rPr>
        <w:t>-</w:t>
      </w:r>
      <w:r w:rsidRPr="005B4E89">
        <w:rPr>
          <w:noProof/>
        </w:rPr>
        <w:t>13 décembre 2007.</w:t>
      </w:r>
    </w:p>
  </w:footnote>
  <w:footnote w:id="2">
    <w:p w14:paraId="162C1C65" w14:textId="77777777" w:rsidR="00617188" w:rsidRPr="00914287" w:rsidRDefault="00617188" w:rsidP="00C05A18">
      <w:pPr>
        <w:pStyle w:val="FootnoteText"/>
        <w:rPr>
          <w:szCs w:val="14"/>
          <w:lang w:val="en-US"/>
        </w:rPr>
      </w:pPr>
      <w:r w:rsidRPr="00914287">
        <w:rPr>
          <w:szCs w:val="14"/>
        </w:rPr>
        <w:footnoteRef/>
      </w:r>
      <w:r w:rsidRPr="00D07828">
        <w:rPr>
          <w:szCs w:val="14"/>
          <w:lang w:val="en-US"/>
        </w:rPr>
        <w:t>.</w:t>
      </w:r>
      <w:r w:rsidRPr="00D07828">
        <w:rPr>
          <w:szCs w:val="14"/>
          <w:lang w:val="en-US"/>
        </w:rPr>
        <w:tab/>
      </w:r>
      <w:r w:rsidRPr="00914287">
        <w:rPr>
          <w:szCs w:val="14"/>
          <w:lang w:val="en-US"/>
        </w:rPr>
        <w:t xml:space="preserve">Lin Lee </w:t>
      </w:r>
      <w:proofErr w:type="spellStart"/>
      <w:r w:rsidRPr="00914287">
        <w:rPr>
          <w:szCs w:val="14"/>
          <w:lang w:val="en-US"/>
        </w:rPr>
        <w:t>Loh</w:t>
      </w:r>
      <w:proofErr w:type="spellEnd"/>
      <w:r w:rsidRPr="00914287">
        <w:rPr>
          <w:szCs w:val="14"/>
          <w:lang w:val="en-US"/>
        </w:rPr>
        <w:t xml:space="preserve">-Lim, 2007, </w:t>
      </w:r>
      <w:r w:rsidRPr="00914287">
        <w:rPr>
          <w:i/>
          <w:szCs w:val="14"/>
          <w:lang w:val="en-US"/>
        </w:rPr>
        <w:t>op. cit</w:t>
      </w:r>
      <w:r w:rsidRPr="00914287">
        <w:rPr>
          <w:szCs w:val="1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0EE9C743" w:rsidR="00617188" w:rsidRPr="00572DA7" w:rsidRDefault="00617188" w:rsidP="00BD3D90">
    <w:pPr>
      <w:pStyle w:val="Header"/>
      <w:rPr>
        <w:lang w:val="fr-FR"/>
      </w:rPr>
    </w:pPr>
    <w:r>
      <w:rPr>
        <w:rStyle w:val="PageNumber"/>
      </w:rPr>
      <w:fldChar w:fldCharType="begin"/>
    </w:r>
    <w:r w:rsidRPr="00572DA7">
      <w:rPr>
        <w:rStyle w:val="PageNumber"/>
        <w:lang w:val="fr-FR"/>
      </w:rPr>
      <w:instrText xml:space="preserve"> PAGE </w:instrText>
    </w:r>
    <w:r>
      <w:rPr>
        <w:rStyle w:val="PageNumber"/>
      </w:rPr>
      <w:fldChar w:fldCharType="separate"/>
    </w:r>
    <w:r w:rsidR="00C03F29">
      <w:rPr>
        <w:rStyle w:val="PageNumber"/>
        <w:noProof/>
        <w:lang w:val="fr-FR"/>
      </w:rPr>
      <w:t>2</w:t>
    </w:r>
    <w:r>
      <w:rPr>
        <w:rStyle w:val="PageNumber"/>
      </w:rPr>
      <w:fldChar w:fldCharType="end"/>
    </w:r>
    <w:r w:rsidRPr="00572DA7">
      <w:rPr>
        <w:lang w:val="fr-FR"/>
      </w:rPr>
      <w:tab/>
    </w:r>
    <w:r w:rsidRPr="00572DA7">
      <w:rPr>
        <w:rStyle w:val="PageNumber"/>
        <w:lang w:val="fr-FR"/>
      </w:rPr>
      <w:t>Étude de cas 16</w:t>
    </w:r>
    <w:r w:rsidRPr="00572DA7">
      <w:rPr>
        <w:lang w:val="fr-FR"/>
      </w:rPr>
      <w:tab/>
      <w:t xml:space="preserve">Études de 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617188" w:rsidRDefault="0061718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1F706C">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1970A60A" w:rsidR="00617188" w:rsidRPr="009F7A02" w:rsidRDefault="00617188" w:rsidP="001F706C">
    <w:pPr>
      <w:pStyle w:val="Header"/>
      <w:ind w:right="360"/>
    </w:pPr>
    <w:r>
      <w:rPr>
        <w:rStyle w:val="PageNumber"/>
      </w:rPr>
      <w:tab/>
    </w:r>
    <w:proofErr w:type="spellStart"/>
    <w:r>
      <w:rPr>
        <w:rStyle w:val="PageNumber"/>
      </w:rPr>
      <w:t>Études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876E7"/>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1F706C"/>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33AF"/>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37AC"/>
    <w:rsid w:val="002F739D"/>
    <w:rsid w:val="0030168E"/>
    <w:rsid w:val="003032C4"/>
    <w:rsid w:val="00317559"/>
    <w:rsid w:val="003178E2"/>
    <w:rsid w:val="003238D3"/>
    <w:rsid w:val="003259DC"/>
    <w:rsid w:val="0032659F"/>
    <w:rsid w:val="00330A6B"/>
    <w:rsid w:val="003356E3"/>
    <w:rsid w:val="003357CD"/>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34B3"/>
    <w:rsid w:val="003D7D5A"/>
    <w:rsid w:val="003E15E2"/>
    <w:rsid w:val="003E5E70"/>
    <w:rsid w:val="003E5F59"/>
    <w:rsid w:val="003F104E"/>
    <w:rsid w:val="003F50EC"/>
    <w:rsid w:val="003F5CA8"/>
    <w:rsid w:val="00400806"/>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2DA7"/>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17188"/>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0392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440B"/>
    <w:rsid w:val="009C7D5E"/>
    <w:rsid w:val="009D3B91"/>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558B"/>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3F29"/>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41ED"/>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5718"/>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C3587"/>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5FAA"/>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4F6"/>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2284-008E-42C4-BA86-C04B9DA5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2717</Characters>
  <Application>Microsoft Office Word</Application>
  <DocSecurity>0</DocSecurity>
  <Lines>22</Lines>
  <Paragraphs>6</Paragraphs>
  <ScaleCrop>false</ScaleCrop>
  <LinksUpToDate>false</LinksUpToDate>
  <CharactersWithSpaces>3208</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2014-09-12T14:06:00Z</dcterms:created>
  <dcterms:modified xsi:type="dcterms:W3CDTF">2018-02-22T10:59:00Z</dcterms:modified>
</cp:coreProperties>
</file>