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4C21" w14:textId="77777777" w:rsidR="00E9232A" w:rsidRPr="00293C60" w:rsidRDefault="00E9232A" w:rsidP="00E9232A">
      <w:pPr>
        <w:spacing w:beforeLines="840" w:before="2016" w:afterLines="360" w:after="864"/>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09118DF1" w14:textId="7298B127" w:rsidR="000F1388" w:rsidRDefault="000F1388" w:rsidP="002518AC">
      <w:pPr>
        <w:spacing w:beforeLines="840" w:before="2016"/>
        <w:jc w:val="center"/>
        <w:rPr>
          <w:rFonts w:ascii="Arial" w:eastAsia="Calibri" w:hAnsi="Arial" w:cs="Arial"/>
          <w:b/>
          <w:bCs/>
          <w:caps/>
          <w:sz w:val="22"/>
          <w:szCs w:val="22"/>
          <w:lang w:val="en-US"/>
        </w:rPr>
      </w:pPr>
      <w:r w:rsidRPr="006C5C80">
        <w:rPr>
          <w:rFonts w:ascii="Arial" w:eastAsia="Calibri" w:hAnsi="Arial" w:cs="Arial"/>
          <w:b/>
          <w:bCs/>
          <w:caps/>
          <w:sz w:val="22"/>
          <w:szCs w:val="22"/>
          <w:lang w:val="en-US"/>
        </w:rPr>
        <w:t>GLOBAL REFLECTION MEETING</w:t>
      </w:r>
      <w:r w:rsidR="00E9232A">
        <w:rPr>
          <w:rFonts w:ascii="Arial" w:eastAsia="Calibri" w:hAnsi="Arial" w:cs="Arial"/>
          <w:b/>
          <w:bCs/>
          <w:caps/>
          <w:sz w:val="22"/>
          <w:szCs w:val="22"/>
          <w:lang w:val="en-US"/>
        </w:rPr>
        <w:t xml:space="preserve"> </w:t>
      </w:r>
    </w:p>
    <w:p w14:paraId="6FBE53E5" w14:textId="6CDAA7CF" w:rsidR="00E9232A" w:rsidRDefault="00E9232A" w:rsidP="002518AC">
      <w:pPr>
        <w:jc w:val="center"/>
        <w:rPr>
          <w:rFonts w:ascii="Arial" w:eastAsia="Calibri" w:hAnsi="Arial" w:cs="Arial"/>
          <w:b/>
          <w:bCs/>
          <w:caps/>
          <w:sz w:val="22"/>
          <w:szCs w:val="22"/>
          <w:lang w:val="en-US"/>
        </w:rPr>
      </w:pPr>
      <w:r>
        <w:rPr>
          <w:rFonts w:ascii="Arial" w:eastAsia="Calibri" w:hAnsi="Arial" w:cs="Arial"/>
          <w:b/>
          <w:bCs/>
          <w:caps/>
          <w:sz w:val="22"/>
          <w:szCs w:val="22"/>
          <w:lang w:val="en-US"/>
        </w:rPr>
        <w:t>on the periodic reporting mechanism</w:t>
      </w:r>
      <w:r w:rsidR="00B26FD8">
        <w:rPr>
          <w:rFonts w:ascii="Arial" w:eastAsia="Calibri" w:hAnsi="Arial" w:cs="Arial"/>
          <w:b/>
          <w:bCs/>
          <w:caps/>
          <w:sz w:val="22"/>
          <w:szCs w:val="22"/>
          <w:lang w:val="en-US"/>
        </w:rPr>
        <w:t>s</w:t>
      </w:r>
      <w:r>
        <w:rPr>
          <w:rFonts w:ascii="Arial" w:eastAsia="Calibri" w:hAnsi="Arial" w:cs="Arial"/>
          <w:b/>
          <w:bCs/>
          <w:caps/>
          <w:sz w:val="22"/>
          <w:szCs w:val="22"/>
          <w:lang w:val="en-US"/>
        </w:rPr>
        <w:t xml:space="preserve"> of the 2003 COnvention</w:t>
      </w:r>
    </w:p>
    <w:p w14:paraId="73A56416" w14:textId="1B649EB9" w:rsidR="00E9232A" w:rsidRDefault="00240B12" w:rsidP="00E9232A">
      <w:pPr>
        <w:spacing w:beforeLines="800" w:before="1920"/>
        <w:jc w:val="center"/>
        <w:rPr>
          <w:rFonts w:ascii="Arial" w:eastAsia="Calibri" w:hAnsi="Arial" w:cs="Arial"/>
          <w:b/>
          <w:bCs/>
          <w:sz w:val="22"/>
          <w:szCs w:val="22"/>
          <w:lang w:val="en-GB"/>
        </w:rPr>
      </w:pPr>
      <w:r>
        <w:rPr>
          <w:rFonts w:ascii="Arial" w:eastAsia="Calibri" w:hAnsi="Arial" w:cs="Arial"/>
          <w:b/>
          <w:bCs/>
          <w:sz w:val="22"/>
          <w:szCs w:val="22"/>
          <w:lang w:val="en-GB"/>
        </w:rPr>
        <w:t>28</w:t>
      </w:r>
      <w:r w:rsidR="000F1388">
        <w:rPr>
          <w:rFonts w:ascii="Arial" w:eastAsia="Calibri" w:hAnsi="Arial" w:cs="Arial"/>
          <w:b/>
          <w:bCs/>
          <w:sz w:val="22"/>
          <w:szCs w:val="22"/>
          <w:lang w:val="en-GB"/>
        </w:rPr>
        <w:t xml:space="preserve"> to </w:t>
      </w:r>
      <w:r>
        <w:rPr>
          <w:rFonts w:ascii="Arial" w:eastAsia="Calibri" w:hAnsi="Arial" w:cs="Arial"/>
          <w:b/>
          <w:bCs/>
          <w:sz w:val="22"/>
          <w:szCs w:val="22"/>
          <w:lang w:val="en-GB"/>
        </w:rPr>
        <w:t>30 April 2026</w:t>
      </w:r>
    </w:p>
    <w:p w14:paraId="70BA6513" w14:textId="2EA7B7B5" w:rsidR="00D71D8F" w:rsidRDefault="00D71D8F" w:rsidP="00D71D8F">
      <w:pPr>
        <w:jc w:val="center"/>
        <w:rPr>
          <w:rFonts w:ascii="Arial" w:eastAsia="Calibri" w:hAnsi="Arial" w:cs="Arial"/>
          <w:b/>
          <w:bCs/>
          <w:sz w:val="22"/>
          <w:szCs w:val="22"/>
          <w:lang w:val="en-GB"/>
        </w:rPr>
      </w:pPr>
      <w:r>
        <w:rPr>
          <w:rFonts w:ascii="Arial" w:eastAsia="Calibri" w:hAnsi="Arial" w:cs="Arial"/>
          <w:b/>
          <w:bCs/>
          <w:sz w:val="22"/>
          <w:szCs w:val="22"/>
          <w:lang w:val="en-GB"/>
        </w:rPr>
        <w:t>Online</w:t>
      </w:r>
    </w:p>
    <w:p w14:paraId="457EB54D" w14:textId="171782DA" w:rsidR="000F1388" w:rsidRPr="00C027A0" w:rsidRDefault="000F1388" w:rsidP="000F1388">
      <w:pPr>
        <w:jc w:val="center"/>
        <w:rPr>
          <w:rFonts w:ascii="Arial" w:eastAsia="Calibri" w:hAnsi="Arial" w:cs="Arial"/>
          <w:b/>
          <w:bCs/>
          <w:sz w:val="22"/>
          <w:szCs w:val="22"/>
          <w:lang w:val="en-GB"/>
        </w:rPr>
      </w:pPr>
      <w:r>
        <w:rPr>
          <w:rFonts w:ascii="Arial" w:hAnsi="Arial" w:cs="Arial"/>
          <w:b/>
          <w:spacing w:val="-2"/>
          <w:sz w:val="22"/>
          <w:szCs w:val="22"/>
          <w:lang w:val="en-GB"/>
        </w:rPr>
        <w:t>1</w:t>
      </w:r>
      <w:r w:rsidRPr="00A838E5">
        <w:rPr>
          <w:rFonts w:ascii="Arial" w:hAnsi="Arial" w:cs="Arial"/>
          <w:b/>
          <w:spacing w:val="-2"/>
          <w:sz w:val="22"/>
          <w:szCs w:val="22"/>
          <w:lang w:val="en-GB"/>
        </w:rPr>
        <w:t xml:space="preserve"> p.m. – </w:t>
      </w:r>
      <w:r>
        <w:rPr>
          <w:rFonts w:ascii="Arial" w:hAnsi="Arial" w:cs="Arial"/>
          <w:b/>
          <w:spacing w:val="-2"/>
          <w:sz w:val="22"/>
          <w:szCs w:val="22"/>
          <w:lang w:val="en-GB"/>
        </w:rPr>
        <w:t>3</w:t>
      </w:r>
      <w:r w:rsidRPr="00A838E5">
        <w:rPr>
          <w:rFonts w:ascii="Arial" w:hAnsi="Arial" w:cs="Arial"/>
          <w:b/>
          <w:spacing w:val="-2"/>
          <w:sz w:val="22"/>
          <w:szCs w:val="22"/>
          <w:lang w:val="en-GB"/>
        </w:rPr>
        <w:t xml:space="preserve"> p.m. (Paris time</w:t>
      </w:r>
      <w:r>
        <w:rPr>
          <w:rFonts w:ascii="Arial" w:hAnsi="Arial" w:cs="Arial"/>
          <w:b/>
          <w:spacing w:val="-2"/>
          <w:sz w:val="22"/>
          <w:szCs w:val="22"/>
          <w:lang w:val="en-US"/>
        </w:rPr>
        <w:t xml:space="preserve"> / </w:t>
      </w:r>
      <w:r w:rsidRPr="00A8445C">
        <w:rPr>
          <w:rFonts w:ascii="Arial" w:hAnsi="Arial" w:cs="Arial"/>
          <w:b/>
          <w:spacing w:val="-2"/>
          <w:sz w:val="22"/>
          <w:szCs w:val="22"/>
          <w:lang w:val="en-US"/>
        </w:rPr>
        <w:t>UTC/GMT+</w:t>
      </w:r>
      <w:r w:rsidR="00403B9D">
        <w:rPr>
          <w:rFonts w:ascii="Arial" w:hAnsi="Arial" w:cs="Arial"/>
          <w:b/>
          <w:spacing w:val="-2"/>
          <w:sz w:val="22"/>
          <w:szCs w:val="22"/>
          <w:lang w:val="en-US"/>
        </w:rPr>
        <w:t>2</w:t>
      </w:r>
      <w:r>
        <w:rPr>
          <w:rFonts w:ascii="Arial" w:hAnsi="Arial" w:cs="Arial"/>
          <w:b/>
          <w:spacing w:val="-2"/>
          <w:sz w:val="22"/>
          <w:szCs w:val="22"/>
          <w:lang w:val="en-GB"/>
        </w:rPr>
        <w:t>)</w:t>
      </w:r>
    </w:p>
    <w:p w14:paraId="29CCEFFC" w14:textId="626850EF" w:rsidR="000F1388" w:rsidRPr="00306FAC" w:rsidRDefault="000F1388" w:rsidP="000F1388">
      <w:pPr>
        <w:spacing w:beforeLines="840" w:before="2016" w:afterLines="360" w:after="864"/>
        <w:jc w:val="center"/>
        <w:rPr>
          <w:rFonts w:ascii="Arial" w:eastAsia="Calibri" w:hAnsi="Arial" w:cs="Arial"/>
          <w:b/>
          <w:bCs/>
          <w:sz w:val="32"/>
          <w:szCs w:val="32"/>
          <w:lang w:val="en-US"/>
        </w:rPr>
      </w:pPr>
      <w:r>
        <w:rPr>
          <w:rFonts w:ascii="Arial" w:eastAsia="Calibri" w:hAnsi="Arial" w:cs="Arial"/>
          <w:b/>
          <w:bCs/>
          <w:sz w:val="32"/>
          <w:szCs w:val="32"/>
          <w:lang w:val="en-US"/>
        </w:rPr>
        <w:t>Background information</w:t>
      </w:r>
    </w:p>
    <w:p w14:paraId="53D6ECAB" w14:textId="6B521C2F" w:rsidR="00EF0131" w:rsidRPr="00BA15CF" w:rsidRDefault="00655736" w:rsidP="002518AC">
      <w:pPr>
        <w:spacing w:beforeLines="840" w:before="2016" w:afterLines="360" w:after="864"/>
        <w:jc w:val="center"/>
        <w:rPr>
          <w:rFonts w:ascii="Arial" w:hAnsi="Arial" w:cs="Arial"/>
          <w:b/>
          <w:snapToGrid w:val="0"/>
          <w:sz w:val="22"/>
          <w:szCs w:val="22"/>
          <w:lang w:val="en-US" w:eastAsia="en-US"/>
        </w:rPr>
      </w:pPr>
      <w:r w:rsidRPr="00BA15CF">
        <w:rPr>
          <w:lang w:val="en-US"/>
        </w:rPr>
        <w:br w:type="page"/>
      </w:r>
    </w:p>
    <w:p w14:paraId="1265572D" w14:textId="25C69FCD" w:rsidR="00876D8E" w:rsidRDefault="002E3B67" w:rsidP="00114132">
      <w:pPr>
        <w:pStyle w:val="COMPara"/>
        <w:numPr>
          <w:ilvl w:val="0"/>
          <w:numId w:val="26"/>
        </w:numPr>
        <w:ind w:left="360"/>
        <w:jc w:val="both"/>
        <w:rPr>
          <w:b/>
          <w:bCs/>
          <w:color w:val="000000" w:themeColor="text1"/>
        </w:rPr>
      </w:pPr>
      <w:r>
        <w:rPr>
          <w:b/>
          <w:bCs/>
          <w:color w:val="000000" w:themeColor="text1"/>
        </w:rPr>
        <w:lastRenderedPageBreak/>
        <w:t>Background</w:t>
      </w:r>
    </w:p>
    <w:p w14:paraId="1BF5FBA7" w14:textId="2AA39D1A" w:rsidR="008515D8" w:rsidRDefault="008515D8" w:rsidP="00F3290C">
      <w:pPr>
        <w:pStyle w:val="COMPara"/>
        <w:ind w:left="360"/>
        <w:jc w:val="both"/>
        <w:rPr>
          <w:rFonts w:asciiTheme="minorBidi" w:hAnsiTheme="minorBidi" w:cstheme="minorBidi"/>
        </w:rPr>
      </w:pPr>
      <w:r>
        <w:t>As per Article 29 of the 2003 Convention and Chapter V of the current Operational Directives, States Parties submit their periodic reports: (i) on the implementation of the Convention at the national level and on the status of elements inscribed on the Representative List of the Intangible Cultural Heritage of Humanity (hereafter, the Representative List), and separately; (ii) on the status of elements inscribed on the List of Intangible Cultural Heritage in Need of Urgent Safeguarding (hereafter, the Urgent Safeguarding List).</w:t>
      </w:r>
    </w:p>
    <w:p w14:paraId="6217FEE1" w14:textId="3FB2911D" w:rsidR="00F3290C" w:rsidRPr="00116321" w:rsidRDefault="00181802" w:rsidP="00F3290C">
      <w:pPr>
        <w:pStyle w:val="COMPara"/>
        <w:ind w:left="360"/>
        <w:jc w:val="both"/>
        <w:rPr>
          <w:rFonts w:asciiTheme="minorBidi" w:hAnsiTheme="minorBidi" w:cstheme="minorBidi"/>
        </w:rPr>
      </w:pPr>
      <w:r w:rsidRPr="008E05A5">
        <w:rPr>
          <w:rFonts w:asciiTheme="minorBidi" w:hAnsiTheme="minorBidi" w:cstheme="minorBidi"/>
        </w:rPr>
        <w:t>P</w:t>
      </w:r>
      <w:r w:rsidR="00F3290C">
        <w:rPr>
          <w:rFonts w:asciiTheme="minorBidi" w:hAnsiTheme="minorBidi" w:cstheme="minorBidi"/>
        </w:rPr>
        <w:t xml:space="preserve">eriodic reporting has been reformed with </w:t>
      </w:r>
      <w:r w:rsidR="00F3290C" w:rsidRPr="00EB60B1">
        <w:rPr>
          <w:rFonts w:asciiTheme="minorBidi" w:hAnsiTheme="minorBidi" w:cstheme="minorBidi"/>
        </w:rPr>
        <w:t xml:space="preserve">the aim of </w:t>
      </w:r>
      <w:r w:rsidR="00F3290C" w:rsidRPr="002518AC">
        <w:t>enhancing</w:t>
      </w:r>
      <w:r w:rsidR="00F3290C" w:rsidRPr="00EB60B1">
        <w:rPr>
          <w:rFonts w:asciiTheme="minorBidi" w:hAnsiTheme="minorBidi" w:cstheme="minorBidi"/>
        </w:rPr>
        <w:t xml:space="preserve"> its quality, usefulness and timeliness, as well as to address the low submission rate</w:t>
      </w:r>
      <w:r w:rsidR="00F3290C">
        <w:rPr>
          <w:rFonts w:asciiTheme="minorBidi" w:hAnsiTheme="minorBidi" w:cstheme="minorBidi"/>
        </w:rPr>
        <w:t>, following the decision of the twelfth session of the Committee in 2017 (Decision </w:t>
      </w:r>
      <w:hyperlink r:id="rId8" w:history="1">
        <w:r w:rsidR="00F3290C" w:rsidRPr="0005199B">
          <w:rPr>
            <w:rStyle w:val="Hyperlink"/>
            <w:rFonts w:asciiTheme="minorBidi" w:hAnsiTheme="minorBidi" w:cstheme="minorBidi"/>
          </w:rPr>
          <w:t>12.COM</w:t>
        </w:r>
        <w:r w:rsidR="00F3290C">
          <w:rPr>
            <w:rStyle w:val="Hyperlink"/>
            <w:rFonts w:asciiTheme="minorBidi" w:hAnsiTheme="minorBidi" w:cstheme="minorBidi"/>
          </w:rPr>
          <w:t> </w:t>
        </w:r>
        <w:r w:rsidR="00F3290C" w:rsidRPr="0005199B">
          <w:rPr>
            <w:rStyle w:val="Hyperlink"/>
            <w:rFonts w:asciiTheme="minorBidi" w:hAnsiTheme="minorBidi" w:cstheme="minorBidi"/>
          </w:rPr>
          <w:t>10</w:t>
        </w:r>
      </w:hyperlink>
      <w:r w:rsidR="00F3290C">
        <w:rPr>
          <w:rFonts w:asciiTheme="minorBidi" w:hAnsiTheme="minorBidi" w:cstheme="minorBidi"/>
        </w:rPr>
        <w:t>)</w:t>
      </w:r>
      <w:r w:rsidR="00F3290C" w:rsidRPr="00EB60B1">
        <w:rPr>
          <w:rFonts w:asciiTheme="minorBidi" w:hAnsiTheme="minorBidi" w:cstheme="minorBidi"/>
        </w:rPr>
        <w:t>.</w:t>
      </w:r>
      <w:r w:rsidR="00F3290C">
        <w:rPr>
          <w:rFonts w:asciiTheme="minorBidi" w:hAnsiTheme="minorBidi" w:cstheme="minorBidi"/>
        </w:rPr>
        <w:t xml:space="preserve"> The mechanism has been aligned with the </w:t>
      </w:r>
      <w:hyperlink r:id="rId9" w:history="1">
        <w:r w:rsidR="002A61A9" w:rsidRPr="00D04E4B">
          <w:rPr>
            <w:rStyle w:val="Hyperlink"/>
            <w:lang w:val="en-US"/>
          </w:rPr>
          <w:t>Overall Results Framework</w:t>
        </w:r>
      </w:hyperlink>
      <w:r w:rsidR="00221B4E">
        <w:t xml:space="preserve"> </w:t>
      </w:r>
      <w:r w:rsidR="00F3290C">
        <w:rPr>
          <w:rFonts w:asciiTheme="minorBidi" w:hAnsiTheme="minorBidi" w:cstheme="minorBidi"/>
        </w:rPr>
        <w:t xml:space="preserve">of the Convention </w:t>
      </w:r>
      <w:r w:rsidR="00F3290C" w:rsidRPr="00722500">
        <w:rPr>
          <w:rFonts w:asciiTheme="minorBidi" w:hAnsiTheme="minorBidi" w:cstheme="minorBidi"/>
        </w:rPr>
        <w:t xml:space="preserve">in order to ensure the process was clearly in line </w:t>
      </w:r>
      <w:r w:rsidR="00F3290C" w:rsidRPr="00AB4250">
        <w:rPr>
          <w:rFonts w:asciiTheme="minorBidi" w:hAnsiTheme="minorBidi" w:cstheme="minorBidi"/>
        </w:rPr>
        <w:t xml:space="preserve">with the overarching goals of </w:t>
      </w:r>
      <w:r w:rsidR="00F3290C" w:rsidRPr="00722500">
        <w:rPr>
          <w:rFonts w:asciiTheme="minorBidi" w:hAnsiTheme="minorBidi" w:cstheme="minorBidi"/>
        </w:rPr>
        <w:t xml:space="preserve">implementing the Convention and to allow for more effective monitoring to achieve these goals (Resolution </w:t>
      </w:r>
      <w:hyperlink r:id="rId10" w:history="1">
        <w:r w:rsidR="00F3290C" w:rsidRPr="00396894">
          <w:rPr>
            <w:rStyle w:val="Hyperlink"/>
            <w:rFonts w:asciiTheme="minorBidi" w:hAnsiTheme="minorBidi" w:cstheme="minorBidi"/>
            <w:lang w:val="en-US"/>
          </w:rPr>
          <w:t>7.GA 9</w:t>
        </w:r>
      </w:hyperlink>
      <w:r w:rsidR="00F3290C" w:rsidRPr="00722500">
        <w:rPr>
          <w:rFonts w:asciiTheme="minorBidi" w:hAnsiTheme="minorBidi" w:cstheme="minorBidi"/>
        </w:rPr>
        <w:t xml:space="preserve"> and Decision </w:t>
      </w:r>
      <w:hyperlink r:id="rId11" w:history="1">
        <w:r w:rsidR="00F3290C" w:rsidRPr="00722500">
          <w:rPr>
            <w:rStyle w:val="Hyperlink"/>
            <w:rFonts w:asciiTheme="minorBidi" w:hAnsiTheme="minorBidi" w:cstheme="minorBidi"/>
          </w:rPr>
          <w:t>14.COM 8</w:t>
        </w:r>
      </w:hyperlink>
      <w:r w:rsidR="00F3290C" w:rsidRPr="00722500">
        <w:rPr>
          <w:rFonts w:asciiTheme="minorBidi" w:hAnsiTheme="minorBidi" w:cstheme="minorBidi"/>
        </w:rPr>
        <w:t>). These reforms concerned the reporting process on the implement</w:t>
      </w:r>
      <w:r w:rsidR="00F3290C" w:rsidRPr="00FF56F7">
        <w:rPr>
          <w:rFonts w:asciiTheme="minorBidi" w:hAnsiTheme="minorBidi" w:cstheme="minorBidi"/>
        </w:rPr>
        <w:t xml:space="preserve">ation of the Convention and on the </w:t>
      </w:r>
      <w:proofErr w:type="gramStart"/>
      <w:r w:rsidR="00F3290C" w:rsidRPr="00FF56F7">
        <w:rPr>
          <w:rFonts w:asciiTheme="minorBidi" w:hAnsiTheme="minorBidi" w:cstheme="minorBidi"/>
        </w:rPr>
        <w:t>current status</w:t>
      </w:r>
      <w:proofErr w:type="gramEnd"/>
      <w:r w:rsidR="00F3290C" w:rsidRPr="00FF56F7">
        <w:rPr>
          <w:rFonts w:asciiTheme="minorBidi" w:hAnsiTheme="minorBidi" w:cstheme="minorBidi"/>
        </w:rPr>
        <w:t xml:space="preserve"> of elements inscribed on the Representative List </w:t>
      </w:r>
      <w:r w:rsidR="00F3290C">
        <w:rPr>
          <w:rFonts w:asciiTheme="minorBidi" w:hAnsiTheme="minorBidi" w:cstheme="minorBidi"/>
        </w:rPr>
        <w:t xml:space="preserve">(reporting on elements inscribed on the Urgent Safeguarding List was not concerned by the reform, </w:t>
      </w:r>
      <w:r w:rsidR="00F3290C" w:rsidRPr="00116321">
        <w:rPr>
          <w:rFonts w:asciiTheme="minorBidi" w:hAnsiTheme="minorBidi" w:cstheme="minorBidi"/>
        </w:rPr>
        <w:t xml:space="preserve">while the Register of Good Safeguarding Practices has never been subject </w:t>
      </w:r>
      <w:r w:rsidR="00BD30C2" w:rsidRPr="002518AC">
        <w:rPr>
          <w:rFonts w:asciiTheme="minorBidi" w:hAnsiTheme="minorBidi" w:cstheme="minorBidi"/>
        </w:rPr>
        <w:t>to</w:t>
      </w:r>
      <w:r w:rsidR="00F3290C" w:rsidRPr="00116321">
        <w:rPr>
          <w:rFonts w:asciiTheme="minorBidi" w:hAnsiTheme="minorBidi" w:cstheme="minorBidi"/>
        </w:rPr>
        <w:t xml:space="preserve"> reporting).</w:t>
      </w:r>
    </w:p>
    <w:p w14:paraId="2900DD4F" w14:textId="7DD8934D" w:rsidR="00CC637C" w:rsidRDefault="00B23498" w:rsidP="00CC637C">
      <w:pPr>
        <w:pStyle w:val="COMPara"/>
        <w:ind w:left="360"/>
        <w:jc w:val="both"/>
      </w:pPr>
      <w:r w:rsidRPr="008205D1">
        <w:rPr>
          <w:rFonts w:asciiTheme="minorBidi" w:hAnsiTheme="minorBidi" w:cstheme="minorBidi"/>
        </w:rPr>
        <w:t>T</w:t>
      </w:r>
      <w:r w:rsidRPr="00236DB0">
        <w:rPr>
          <w:rFonts w:asciiTheme="minorBidi" w:hAnsiTheme="minorBidi" w:cstheme="minorBidi"/>
        </w:rPr>
        <w:t xml:space="preserve">he periodicity of </w:t>
      </w:r>
      <w:r>
        <w:rPr>
          <w:rFonts w:asciiTheme="minorBidi" w:hAnsiTheme="minorBidi" w:cstheme="minorBidi"/>
        </w:rPr>
        <w:t xml:space="preserve">the </w:t>
      </w:r>
      <w:r w:rsidRPr="00236DB0">
        <w:rPr>
          <w:rFonts w:asciiTheme="minorBidi" w:hAnsiTheme="minorBidi" w:cstheme="minorBidi"/>
        </w:rPr>
        <w:t xml:space="preserve">reporting </w:t>
      </w:r>
      <w:r>
        <w:rPr>
          <w:rFonts w:asciiTheme="minorBidi" w:hAnsiTheme="minorBidi" w:cstheme="minorBidi"/>
        </w:rPr>
        <w:t xml:space="preserve">process </w:t>
      </w:r>
      <w:r w:rsidRPr="00236DB0">
        <w:rPr>
          <w:rFonts w:asciiTheme="minorBidi" w:hAnsiTheme="minorBidi" w:cstheme="minorBidi"/>
        </w:rPr>
        <w:t xml:space="preserve">was </w:t>
      </w:r>
      <w:r>
        <w:rPr>
          <w:rFonts w:asciiTheme="minorBidi" w:hAnsiTheme="minorBidi" w:cstheme="minorBidi"/>
        </w:rPr>
        <w:t xml:space="preserve">also </w:t>
      </w:r>
      <w:r w:rsidRPr="00722500">
        <w:rPr>
          <w:rFonts w:asciiTheme="minorBidi" w:hAnsiTheme="minorBidi" w:cstheme="minorBidi"/>
        </w:rPr>
        <w:t xml:space="preserve">amended </w:t>
      </w:r>
      <w:r w:rsidRPr="00AB4250">
        <w:rPr>
          <w:rFonts w:asciiTheme="minorBidi" w:hAnsiTheme="minorBidi" w:cstheme="minorBidi"/>
        </w:rPr>
        <w:t>s</w:t>
      </w:r>
      <w:r w:rsidRPr="00722500">
        <w:rPr>
          <w:rFonts w:asciiTheme="minorBidi" w:hAnsiTheme="minorBidi" w:cstheme="minorBidi"/>
        </w:rPr>
        <w:t>uch that States Parties would submit their reports every six years on the basis of a system of regional rotation (</w:t>
      </w:r>
      <w:r w:rsidRPr="00396894">
        <w:rPr>
          <w:rFonts w:asciiTheme="minorBidi" w:hAnsiTheme="minorBidi" w:cstheme="minorBidi"/>
          <w:lang w:val="en-US"/>
        </w:rPr>
        <w:t>Decision</w:t>
      </w:r>
      <w:r w:rsidRPr="00396894">
        <w:rPr>
          <w:rFonts w:asciiTheme="minorBidi" w:hAnsiTheme="minorBidi" w:cstheme="minorBidi"/>
        </w:rPr>
        <w:t> </w:t>
      </w:r>
      <w:hyperlink r:id="rId12" w:history="1">
        <w:r w:rsidRPr="00396894">
          <w:rPr>
            <w:rStyle w:val="Hyperlink"/>
            <w:rFonts w:asciiTheme="minorBidi" w:hAnsiTheme="minorBidi" w:cstheme="minorBidi"/>
          </w:rPr>
          <w:t>13.COM 8</w:t>
        </w:r>
      </w:hyperlink>
      <w:r w:rsidRPr="00396894">
        <w:rPr>
          <w:rFonts w:asciiTheme="minorBidi" w:hAnsiTheme="minorBidi" w:cstheme="minorBidi"/>
        </w:rPr>
        <w:t xml:space="preserve">). </w:t>
      </w:r>
      <w:r w:rsidR="00CC637C">
        <w:t xml:space="preserve">The regional approach adopted has significantly improved the timeliness and rate of submissions, while strengthening </w:t>
      </w:r>
      <w:r w:rsidR="00DA6CF0">
        <w:t>national capacities and</w:t>
      </w:r>
      <w:r w:rsidR="00CC637C">
        <w:t xml:space="preserve"> peer-to-peer learning. </w:t>
      </w:r>
      <w:r w:rsidR="005616F7">
        <w:t>T</w:t>
      </w:r>
      <w:r w:rsidR="00DA6CF0">
        <w:t xml:space="preserve">he first regional reporting cycle </w:t>
      </w:r>
      <w:r w:rsidR="005616F7">
        <w:t xml:space="preserve">also </w:t>
      </w:r>
      <w:r w:rsidR="00DA6CF0">
        <w:t>allowed substantial regi</w:t>
      </w:r>
      <w:r w:rsidR="009C7407">
        <w:t>o</w:t>
      </w:r>
      <w:r w:rsidR="00DA6CF0">
        <w:t xml:space="preserve">nal analysis of key trends. </w:t>
      </w:r>
      <w:r w:rsidR="00CC637C">
        <w:t xml:space="preserve">At the same time, periodic reporting has become increasingly interconnected with other cooperation mechanisms under the Convention, informing assessment and nomination-related processes, and contributing to the identification of priorities for </w:t>
      </w:r>
      <w:r w:rsidR="00FC582A">
        <w:t>I</w:t>
      </w:r>
      <w:r w:rsidR="00CC637C">
        <w:t xml:space="preserve">nternational </w:t>
      </w:r>
      <w:r w:rsidR="00FC582A">
        <w:t>A</w:t>
      </w:r>
      <w:r w:rsidR="00CC637C">
        <w:t>ssistance and targeted safeguarding measures.</w:t>
      </w:r>
    </w:p>
    <w:p w14:paraId="7B308A63" w14:textId="6A14E285" w:rsidR="00A94CB9" w:rsidRDefault="00B23498" w:rsidP="002518AC">
      <w:pPr>
        <w:pStyle w:val="COMPara"/>
        <w:ind w:left="360"/>
        <w:jc w:val="both"/>
        <w:rPr>
          <w:rFonts w:asciiTheme="minorBidi" w:hAnsiTheme="minorBidi" w:cstheme="minorBidi"/>
        </w:rPr>
      </w:pPr>
      <w:r w:rsidRPr="00396894">
        <w:rPr>
          <w:rFonts w:asciiTheme="minorBidi" w:hAnsiTheme="minorBidi" w:cstheme="minorBidi"/>
        </w:rPr>
        <w:t>The</w:t>
      </w:r>
      <w:r w:rsidRPr="00722500">
        <w:rPr>
          <w:rFonts w:asciiTheme="minorBidi" w:hAnsiTheme="minorBidi" w:cstheme="minorBidi"/>
        </w:rPr>
        <w:t xml:space="preserve"> calendar for the first</w:t>
      </w:r>
      <w:r w:rsidRPr="00EB60B1">
        <w:rPr>
          <w:rFonts w:asciiTheme="minorBidi" w:hAnsiTheme="minorBidi" w:cstheme="minorBidi"/>
        </w:rPr>
        <w:t xml:space="preserve"> cycle of reporting</w:t>
      </w:r>
      <w:r>
        <w:rPr>
          <w:rFonts w:asciiTheme="minorBidi" w:hAnsiTheme="minorBidi" w:cstheme="minorBidi"/>
        </w:rPr>
        <w:t xml:space="preserve"> was defined as follows</w:t>
      </w:r>
      <w:r w:rsidR="00BD30C2">
        <w:rPr>
          <w:rFonts w:asciiTheme="minorBidi" w:hAnsiTheme="minorBidi" w:cstheme="minorBidi"/>
        </w:rPr>
        <w:t xml:space="preserve"> </w:t>
      </w:r>
      <w:r w:rsidR="00CC6225">
        <w:rPr>
          <w:rFonts w:asciiTheme="minorBidi" w:hAnsiTheme="minorBidi" w:cstheme="minorBidi"/>
        </w:rPr>
        <w:t>–</w:t>
      </w:r>
      <w:r w:rsidR="00BD30C2">
        <w:rPr>
          <w:rFonts w:asciiTheme="minorBidi" w:hAnsiTheme="minorBidi" w:cstheme="minorBidi"/>
        </w:rPr>
        <w:t xml:space="preserve"> the</w:t>
      </w:r>
      <w:r w:rsidR="00CC6225">
        <w:rPr>
          <w:rFonts w:asciiTheme="minorBidi" w:hAnsiTheme="minorBidi" w:cstheme="minorBidi"/>
        </w:rPr>
        <w:t xml:space="preserve"> </w:t>
      </w:r>
      <w:r w:rsidR="00BD30C2">
        <w:rPr>
          <w:rFonts w:asciiTheme="minorBidi" w:hAnsiTheme="minorBidi" w:cstheme="minorBidi"/>
        </w:rPr>
        <w:t>submission rates by region are also indicated</w:t>
      </w:r>
      <w:r>
        <w:rPr>
          <w:rFonts w:asciiTheme="minorBidi" w:hAnsiTheme="minorBidi" w:cstheme="minorBidi"/>
        </w:rPr>
        <w:t>:</w:t>
      </w:r>
    </w:p>
    <w:p w14:paraId="1039F792" w14:textId="46E3AFE2" w:rsidR="00A94CB9" w:rsidRDefault="00A94CB9" w:rsidP="00A94CB9">
      <w:pPr>
        <w:pStyle w:val="Sansinterligne2"/>
        <w:numPr>
          <w:ilvl w:val="0"/>
          <w:numId w:val="57"/>
        </w:numPr>
        <w:spacing w:after="120"/>
        <w:ind w:left="1134" w:hanging="567"/>
        <w:jc w:val="both"/>
        <w:rPr>
          <w:rFonts w:asciiTheme="minorBidi" w:hAnsiTheme="minorBidi" w:cstheme="minorBidi"/>
          <w:sz w:val="22"/>
          <w:szCs w:val="22"/>
          <w:lang w:val="en-GB"/>
        </w:rPr>
      </w:pPr>
      <w:r w:rsidRPr="006E7394">
        <w:rPr>
          <w:rFonts w:asciiTheme="minorBidi" w:hAnsiTheme="minorBidi" w:cstheme="minorBidi"/>
          <w:b/>
          <w:bCs/>
          <w:sz w:val="22"/>
          <w:szCs w:val="22"/>
          <w:lang w:val="en-GB"/>
        </w:rPr>
        <w:t>Latin America and the Caribbean</w:t>
      </w:r>
      <w:r>
        <w:rPr>
          <w:rFonts w:asciiTheme="minorBidi" w:hAnsiTheme="minorBidi" w:cstheme="minorBidi"/>
          <w:sz w:val="22"/>
          <w:szCs w:val="22"/>
          <w:lang w:val="en-GB"/>
        </w:rPr>
        <w:t xml:space="preserve"> (2021 cycle):</w:t>
      </w:r>
      <w:r w:rsidRPr="00EB60B1">
        <w:rPr>
          <w:rFonts w:asciiTheme="minorBidi" w:hAnsiTheme="minorBidi" w:cstheme="minorBidi"/>
          <w:sz w:val="22"/>
          <w:szCs w:val="22"/>
          <w:lang w:val="en-GB"/>
        </w:rPr>
        <w:t xml:space="preserve"> periodic reports </w:t>
      </w:r>
      <w:r>
        <w:rPr>
          <w:rFonts w:asciiTheme="minorBidi" w:hAnsiTheme="minorBidi" w:cstheme="minorBidi"/>
          <w:sz w:val="22"/>
          <w:szCs w:val="22"/>
          <w:lang w:val="en-GB"/>
        </w:rPr>
        <w:t xml:space="preserve">submitted </w:t>
      </w:r>
      <w:r w:rsidRPr="00EB60B1">
        <w:rPr>
          <w:rFonts w:asciiTheme="minorBidi" w:hAnsiTheme="minorBidi" w:cstheme="minorBidi"/>
          <w:sz w:val="22"/>
          <w:szCs w:val="22"/>
          <w:lang w:val="en-GB"/>
        </w:rPr>
        <w:t>by 15</w:t>
      </w:r>
      <w:r>
        <w:rPr>
          <w:rFonts w:asciiTheme="minorBidi" w:hAnsiTheme="minorBidi" w:cstheme="minorBidi"/>
          <w:sz w:val="22"/>
          <w:szCs w:val="22"/>
          <w:lang w:val="en-GB"/>
        </w:rPr>
        <w:t> </w:t>
      </w:r>
      <w:r w:rsidRPr="00EB60B1">
        <w:rPr>
          <w:rFonts w:asciiTheme="minorBidi" w:hAnsiTheme="minorBidi" w:cstheme="minorBidi"/>
          <w:sz w:val="22"/>
          <w:szCs w:val="22"/>
          <w:lang w:val="en-GB"/>
        </w:rPr>
        <w:t>December 2020 for examination by the Committee at its sixteenth session in 2021</w:t>
      </w:r>
      <w:r w:rsidR="00EA7C29">
        <w:rPr>
          <w:rFonts w:asciiTheme="minorBidi" w:hAnsiTheme="minorBidi" w:cstheme="minorBidi"/>
          <w:sz w:val="22"/>
          <w:szCs w:val="22"/>
          <w:lang w:val="en-GB"/>
        </w:rPr>
        <w:t>;</w:t>
      </w:r>
      <w:r w:rsidR="00BD30C2">
        <w:rPr>
          <w:rFonts w:asciiTheme="minorBidi" w:hAnsiTheme="minorBidi" w:cstheme="minorBidi"/>
          <w:sz w:val="22"/>
          <w:szCs w:val="22"/>
          <w:lang w:val="en-GB"/>
        </w:rPr>
        <w:t xml:space="preserve"> </w:t>
      </w:r>
      <w:r w:rsidR="00BD30C2" w:rsidRPr="002518AC">
        <w:rPr>
          <w:rFonts w:asciiTheme="minorBidi" w:hAnsiTheme="minorBidi" w:cstheme="minorBidi"/>
          <w:sz w:val="22"/>
          <w:szCs w:val="22"/>
          <w:lang w:val="en-US"/>
        </w:rPr>
        <w:t xml:space="preserve">twenty-eight out of thirty-two </w:t>
      </w:r>
      <w:r w:rsidR="00EA7C29">
        <w:rPr>
          <w:rFonts w:asciiTheme="minorBidi" w:hAnsiTheme="minorBidi" w:cstheme="minorBidi"/>
          <w:sz w:val="22"/>
          <w:szCs w:val="22"/>
          <w:lang w:val="en-US"/>
        </w:rPr>
        <w:t>(</w:t>
      </w:r>
      <w:r w:rsidR="00BD30C2" w:rsidRPr="002518AC">
        <w:rPr>
          <w:rFonts w:asciiTheme="minorBidi" w:hAnsiTheme="minorBidi" w:cstheme="minorBidi"/>
          <w:sz w:val="22"/>
          <w:szCs w:val="22"/>
          <w:lang w:val="en-US"/>
        </w:rPr>
        <w:t>87.5 per cent) States Parties submitted</w:t>
      </w:r>
      <w:r w:rsidRPr="00EB60B1">
        <w:rPr>
          <w:rFonts w:asciiTheme="minorBidi" w:hAnsiTheme="minorBidi" w:cstheme="minorBidi"/>
          <w:sz w:val="22"/>
          <w:szCs w:val="22"/>
          <w:lang w:val="en-GB"/>
        </w:rPr>
        <w:t>.</w:t>
      </w:r>
    </w:p>
    <w:p w14:paraId="1ADB5C68" w14:textId="60C20118" w:rsidR="00A94CB9" w:rsidRDefault="00A94CB9" w:rsidP="00A94CB9">
      <w:pPr>
        <w:pStyle w:val="Sansinterligne2"/>
        <w:numPr>
          <w:ilvl w:val="0"/>
          <w:numId w:val="57"/>
        </w:numPr>
        <w:spacing w:after="120"/>
        <w:ind w:left="1134" w:hanging="567"/>
        <w:jc w:val="both"/>
        <w:rPr>
          <w:rFonts w:asciiTheme="minorBidi" w:hAnsiTheme="minorBidi" w:cstheme="minorBidi"/>
          <w:sz w:val="22"/>
          <w:szCs w:val="22"/>
          <w:lang w:val="en-GB"/>
        </w:rPr>
      </w:pPr>
      <w:r w:rsidRPr="0063324B">
        <w:rPr>
          <w:rFonts w:asciiTheme="minorBidi" w:hAnsiTheme="minorBidi" w:cstheme="minorBidi"/>
          <w:b/>
          <w:bCs/>
          <w:sz w:val="22"/>
          <w:szCs w:val="22"/>
          <w:lang w:val="en-GB"/>
        </w:rPr>
        <w:t>Europe</w:t>
      </w:r>
      <w:r w:rsidRPr="006E7394">
        <w:rPr>
          <w:rFonts w:asciiTheme="minorBidi" w:hAnsiTheme="minorBidi" w:cstheme="minorBidi"/>
          <w:sz w:val="22"/>
          <w:szCs w:val="22"/>
          <w:lang w:val="en-GB"/>
        </w:rPr>
        <w:t xml:space="preserve"> (202</w:t>
      </w:r>
      <w:r>
        <w:rPr>
          <w:rFonts w:asciiTheme="minorBidi" w:hAnsiTheme="minorBidi" w:cstheme="minorBidi"/>
          <w:sz w:val="22"/>
          <w:szCs w:val="22"/>
          <w:lang w:val="en-GB"/>
        </w:rPr>
        <w:t>2 cycle</w:t>
      </w:r>
      <w:r w:rsidRPr="006E7394">
        <w:rPr>
          <w:rFonts w:asciiTheme="minorBidi" w:hAnsiTheme="minorBidi" w:cstheme="minorBidi"/>
          <w:sz w:val="22"/>
          <w:szCs w:val="22"/>
          <w:lang w:val="en-GB"/>
        </w:rPr>
        <w:t>)</w:t>
      </w:r>
      <w:r>
        <w:rPr>
          <w:rFonts w:asciiTheme="minorBidi" w:hAnsiTheme="minorBidi" w:cstheme="minorBidi"/>
          <w:sz w:val="22"/>
          <w:szCs w:val="22"/>
          <w:lang w:val="en-GB"/>
        </w:rPr>
        <w:t>:</w:t>
      </w:r>
      <w:r w:rsidRPr="0063324B">
        <w:rPr>
          <w:rFonts w:asciiTheme="minorBidi" w:hAnsiTheme="minorBidi" w:cstheme="minorBidi"/>
          <w:sz w:val="22"/>
          <w:szCs w:val="22"/>
          <w:lang w:val="en-GB"/>
        </w:rPr>
        <w:t xml:space="preserve"> periodic reports </w:t>
      </w:r>
      <w:r>
        <w:rPr>
          <w:rFonts w:asciiTheme="minorBidi" w:hAnsiTheme="minorBidi" w:cstheme="minorBidi"/>
          <w:sz w:val="22"/>
          <w:szCs w:val="22"/>
          <w:lang w:val="en-GB"/>
        </w:rPr>
        <w:t xml:space="preserve">submitted </w:t>
      </w:r>
      <w:r w:rsidRPr="0063324B">
        <w:rPr>
          <w:rFonts w:asciiTheme="minorBidi" w:hAnsiTheme="minorBidi" w:cstheme="minorBidi"/>
          <w:sz w:val="22"/>
          <w:szCs w:val="22"/>
          <w:lang w:val="en-GB"/>
        </w:rPr>
        <w:t>by 15 December 202</w:t>
      </w:r>
      <w:r>
        <w:rPr>
          <w:rFonts w:asciiTheme="minorBidi" w:hAnsiTheme="minorBidi" w:cstheme="minorBidi"/>
          <w:sz w:val="22"/>
          <w:szCs w:val="22"/>
          <w:lang w:val="en-GB"/>
        </w:rPr>
        <w:t>1</w:t>
      </w:r>
      <w:r w:rsidRPr="0063324B">
        <w:rPr>
          <w:rFonts w:asciiTheme="minorBidi" w:hAnsiTheme="minorBidi" w:cstheme="minorBidi"/>
          <w:sz w:val="22"/>
          <w:szCs w:val="22"/>
          <w:lang w:val="en-GB"/>
        </w:rPr>
        <w:t xml:space="preserve"> for examination by the Committee at its </w:t>
      </w:r>
      <w:r>
        <w:rPr>
          <w:rFonts w:asciiTheme="minorBidi" w:hAnsiTheme="minorBidi" w:cstheme="minorBidi"/>
          <w:sz w:val="22"/>
          <w:szCs w:val="22"/>
          <w:lang w:val="en-GB"/>
        </w:rPr>
        <w:t>seventeenth</w:t>
      </w:r>
      <w:r w:rsidRPr="0063324B">
        <w:rPr>
          <w:rFonts w:asciiTheme="minorBidi" w:hAnsiTheme="minorBidi" w:cstheme="minorBidi"/>
          <w:sz w:val="22"/>
          <w:szCs w:val="22"/>
          <w:lang w:val="en-GB"/>
        </w:rPr>
        <w:t xml:space="preserve"> session in 202</w:t>
      </w:r>
      <w:r>
        <w:rPr>
          <w:rFonts w:asciiTheme="minorBidi" w:hAnsiTheme="minorBidi" w:cstheme="minorBidi"/>
          <w:sz w:val="22"/>
          <w:szCs w:val="22"/>
          <w:lang w:val="en-GB"/>
        </w:rPr>
        <w:t>2</w:t>
      </w:r>
      <w:r w:rsidR="00EA7C29">
        <w:rPr>
          <w:rFonts w:asciiTheme="minorBidi" w:hAnsiTheme="minorBidi" w:cstheme="minorBidi"/>
          <w:sz w:val="22"/>
          <w:szCs w:val="22"/>
          <w:lang w:val="en-GB"/>
        </w:rPr>
        <w:t>;</w:t>
      </w:r>
      <w:r w:rsidR="00BD30C2">
        <w:rPr>
          <w:rFonts w:asciiTheme="minorBidi" w:hAnsiTheme="minorBidi" w:cstheme="minorBidi"/>
          <w:sz w:val="22"/>
          <w:szCs w:val="22"/>
          <w:lang w:val="en-GB"/>
        </w:rPr>
        <w:t xml:space="preserve"> </w:t>
      </w:r>
      <w:r w:rsidR="00EA7C29">
        <w:rPr>
          <w:rFonts w:asciiTheme="minorBidi" w:hAnsiTheme="minorBidi" w:cstheme="minorBidi"/>
          <w:sz w:val="22"/>
          <w:szCs w:val="22"/>
          <w:lang w:val="en-GB"/>
        </w:rPr>
        <w:t>f</w:t>
      </w:r>
      <w:proofErr w:type="spellStart"/>
      <w:r w:rsidR="00EA7C29" w:rsidRPr="002518AC">
        <w:rPr>
          <w:rFonts w:asciiTheme="minorBidi" w:hAnsiTheme="minorBidi" w:cstheme="minorBidi"/>
          <w:sz w:val="22"/>
          <w:szCs w:val="22"/>
          <w:lang w:val="en-US"/>
        </w:rPr>
        <w:t>orty</w:t>
      </w:r>
      <w:proofErr w:type="spellEnd"/>
      <w:r w:rsidR="00EA7C29" w:rsidRPr="002518AC">
        <w:rPr>
          <w:rFonts w:asciiTheme="minorBidi" w:hAnsiTheme="minorBidi" w:cstheme="minorBidi"/>
          <w:sz w:val="22"/>
          <w:szCs w:val="22"/>
          <w:lang w:val="en-US"/>
        </w:rPr>
        <w:t>-four (100 per cent) States Parties in Europe submitted</w:t>
      </w:r>
      <w:r w:rsidRPr="0063324B">
        <w:rPr>
          <w:rFonts w:asciiTheme="minorBidi" w:hAnsiTheme="minorBidi" w:cstheme="minorBidi"/>
          <w:sz w:val="22"/>
          <w:szCs w:val="22"/>
          <w:lang w:val="en-GB"/>
        </w:rPr>
        <w:t>.</w:t>
      </w:r>
    </w:p>
    <w:p w14:paraId="6C74B661" w14:textId="5D1BEAC7" w:rsidR="00A94CB9" w:rsidRPr="0063324B" w:rsidRDefault="00A94CB9" w:rsidP="00A94CB9">
      <w:pPr>
        <w:pStyle w:val="Sansinterligne2"/>
        <w:numPr>
          <w:ilvl w:val="0"/>
          <w:numId w:val="57"/>
        </w:numPr>
        <w:spacing w:after="120"/>
        <w:ind w:left="1134" w:hanging="567"/>
        <w:jc w:val="both"/>
        <w:rPr>
          <w:rFonts w:asciiTheme="minorBidi" w:hAnsiTheme="minorBidi" w:cstheme="minorBidi"/>
          <w:sz w:val="22"/>
          <w:szCs w:val="22"/>
          <w:lang w:val="en-GB"/>
        </w:rPr>
      </w:pPr>
      <w:r w:rsidRPr="0063324B">
        <w:rPr>
          <w:rFonts w:asciiTheme="minorBidi" w:hAnsiTheme="minorBidi" w:cstheme="minorBidi"/>
          <w:b/>
          <w:bCs/>
          <w:sz w:val="22"/>
          <w:szCs w:val="22"/>
          <w:lang w:val="en-GB"/>
        </w:rPr>
        <w:t>Arab States</w:t>
      </w:r>
      <w:r w:rsidRPr="006E7394">
        <w:rPr>
          <w:rFonts w:asciiTheme="minorBidi" w:hAnsiTheme="minorBidi" w:cstheme="minorBidi"/>
          <w:sz w:val="22"/>
          <w:szCs w:val="22"/>
          <w:lang w:val="en-GB"/>
        </w:rPr>
        <w:t xml:space="preserve"> (202</w:t>
      </w:r>
      <w:r>
        <w:rPr>
          <w:rFonts w:asciiTheme="minorBidi" w:hAnsiTheme="minorBidi" w:cstheme="minorBidi"/>
          <w:sz w:val="22"/>
          <w:szCs w:val="22"/>
          <w:lang w:val="en-GB"/>
        </w:rPr>
        <w:t>3 cycle</w:t>
      </w:r>
      <w:r w:rsidRPr="006E7394">
        <w:rPr>
          <w:rFonts w:asciiTheme="minorBidi" w:hAnsiTheme="minorBidi" w:cstheme="minorBidi"/>
          <w:sz w:val="22"/>
          <w:szCs w:val="22"/>
          <w:lang w:val="en-GB"/>
        </w:rPr>
        <w:t>)</w:t>
      </w:r>
      <w:r>
        <w:rPr>
          <w:rFonts w:asciiTheme="minorBidi" w:hAnsiTheme="minorBidi" w:cstheme="minorBidi"/>
          <w:sz w:val="22"/>
          <w:szCs w:val="22"/>
          <w:lang w:val="en-GB"/>
        </w:rPr>
        <w:t xml:space="preserve">: </w:t>
      </w:r>
      <w:r w:rsidRPr="0063324B">
        <w:rPr>
          <w:rFonts w:asciiTheme="minorBidi" w:hAnsiTheme="minorBidi" w:cstheme="minorBidi"/>
          <w:sz w:val="22"/>
          <w:szCs w:val="22"/>
          <w:lang w:val="en-GB"/>
        </w:rPr>
        <w:t xml:space="preserve">periodic reports </w:t>
      </w:r>
      <w:r>
        <w:rPr>
          <w:rFonts w:asciiTheme="minorBidi" w:hAnsiTheme="minorBidi" w:cstheme="minorBidi"/>
          <w:sz w:val="22"/>
          <w:szCs w:val="22"/>
          <w:lang w:val="en-GB"/>
        </w:rPr>
        <w:t xml:space="preserve">submitted </w:t>
      </w:r>
      <w:r w:rsidRPr="0063324B">
        <w:rPr>
          <w:rFonts w:asciiTheme="minorBidi" w:hAnsiTheme="minorBidi" w:cstheme="minorBidi"/>
          <w:sz w:val="22"/>
          <w:szCs w:val="22"/>
          <w:lang w:val="en-GB"/>
        </w:rPr>
        <w:t>by 15 December 202</w:t>
      </w:r>
      <w:r>
        <w:rPr>
          <w:rFonts w:asciiTheme="minorBidi" w:hAnsiTheme="minorBidi" w:cstheme="minorBidi"/>
          <w:sz w:val="22"/>
          <w:szCs w:val="22"/>
          <w:lang w:val="en-GB"/>
        </w:rPr>
        <w:t>2</w:t>
      </w:r>
      <w:r w:rsidRPr="0063324B">
        <w:rPr>
          <w:rFonts w:asciiTheme="minorBidi" w:hAnsiTheme="minorBidi" w:cstheme="minorBidi"/>
          <w:sz w:val="22"/>
          <w:szCs w:val="22"/>
          <w:lang w:val="en-GB"/>
        </w:rPr>
        <w:t xml:space="preserve"> for examination by the Committee at its </w:t>
      </w:r>
      <w:r>
        <w:rPr>
          <w:rFonts w:asciiTheme="minorBidi" w:hAnsiTheme="minorBidi" w:cstheme="minorBidi"/>
          <w:sz w:val="22"/>
          <w:szCs w:val="22"/>
          <w:lang w:val="en-GB"/>
        </w:rPr>
        <w:t>eighteenth</w:t>
      </w:r>
      <w:r w:rsidRPr="0063324B">
        <w:rPr>
          <w:rFonts w:asciiTheme="minorBidi" w:hAnsiTheme="minorBidi" w:cstheme="minorBidi"/>
          <w:sz w:val="22"/>
          <w:szCs w:val="22"/>
          <w:lang w:val="en-GB"/>
        </w:rPr>
        <w:t xml:space="preserve"> session in 202</w:t>
      </w:r>
      <w:r>
        <w:rPr>
          <w:rFonts w:asciiTheme="minorBidi" w:hAnsiTheme="minorBidi" w:cstheme="minorBidi"/>
          <w:sz w:val="22"/>
          <w:szCs w:val="22"/>
          <w:lang w:val="en-GB"/>
        </w:rPr>
        <w:t>3</w:t>
      </w:r>
      <w:r w:rsidR="00EA7C29">
        <w:rPr>
          <w:rFonts w:asciiTheme="minorBidi" w:hAnsiTheme="minorBidi" w:cstheme="minorBidi"/>
          <w:sz w:val="22"/>
          <w:szCs w:val="22"/>
          <w:lang w:val="en-GB"/>
        </w:rPr>
        <w:t>; e</w:t>
      </w:r>
      <w:proofErr w:type="spellStart"/>
      <w:r w:rsidR="00EA7C29" w:rsidRPr="002518AC">
        <w:rPr>
          <w:rFonts w:asciiTheme="minorBidi" w:hAnsiTheme="minorBidi" w:cstheme="minorBidi"/>
          <w:sz w:val="22"/>
          <w:szCs w:val="22"/>
          <w:lang w:val="en-US"/>
        </w:rPr>
        <w:t>ighteen</w:t>
      </w:r>
      <w:proofErr w:type="spellEnd"/>
      <w:r w:rsidR="00EA7C29" w:rsidRPr="002518AC">
        <w:rPr>
          <w:rFonts w:asciiTheme="minorBidi" w:hAnsiTheme="minorBidi" w:cstheme="minorBidi"/>
          <w:sz w:val="22"/>
          <w:szCs w:val="22"/>
          <w:lang w:val="en-US"/>
        </w:rPr>
        <w:t xml:space="preserve"> Arab States which were party to the Convention at the time of reporting (100 per cent) submitted</w:t>
      </w:r>
      <w:r w:rsidRPr="0063324B">
        <w:rPr>
          <w:rFonts w:asciiTheme="minorBidi" w:hAnsiTheme="minorBidi" w:cstheme="minorBidi"/>
          <w:sz w:val="22"/>
          <w:szCs w:val="22"/>
          <w:lang w:val="en-GB"/>
        </w:rPr>
        <w:t>.</w:t>
      </w:r>
    </w:p>
    <w:p w14:paraId="548594B5" w14:textId="75A168C8" w:rsidR="00A94CB9" w:rsidRPr="0063324B" w:rsidRDefault="00A94CB9" w:rsidP="00A94CB9">
      <w:pPr>
        <w:pStyle w:val="Sansinterligne2"/>
        <w:numPr>
          <w:ilvl w:val="0"/>
          <w:numId w:val="57"/>
        </w:numPr>
        <w:spacing w:after="120"/>
        <w:ind w:left="1134" w:hanging="567"/>
        <w:jc w:val="both"/>
        <w:rPr>
          <w:rFonts w:asciiTheme="minorBidi" w:hAnsiTheme="minorBidi" w:cstheme="minorBidi"/>
          <w:sz w:val="22"/>
          <w:szCs w:val="22"/>
          <w:lang w:val="en-GB"/>
        </w:rPr>
      </w:pPr>
      <w:r w:rsidRPr="0063324B">
        <w:rPr>
          <w:rFonts w:asciiTheme="minorBidi" w:hAnsiTheme="minorBidi" w:cstheme="minorBidi"/>
          <w:b/>
          <w:bCs/>
          <w:sz w:val="22"/>
          <w:szCs w:val="22"/>
          <w:lang w:val="en-GB"/>
        </w:rPr>
        <w:t>Africa</w:t>
      </w:r>
      <w:r w:rsidRPr="006E7394">
        <w:rPr>
          <w:rFonts w:asciiTheme="minorBidi" w:hAnsiTheme="minorBidi" w:cstheme="minorBidi"/>
          <w:sz w:val="22"/>
          <w:szCs w:val="22"/>
          <w:lang w:val="en-GB"/>
        </w:rPr>
        <w:t xml:space="preserve"> (202</w:t>
      </w:r>
      <w:r>
        <w:rPr>
          <w:rFonts w:asciiTheme="minorBidi" w:hAnsiTheme="minorBidi" w:cstheme="minorBidi"/>
          <w:sz w:val="22"/>
          <w:szCs w:val="22"/>
          <w:lang w:val="en-GB"/>
        </w:rPr>
        <w:t>4 cycle</w:t>
      </w:r>
      <w:r w:rsidRPr="006E7394">
        <w:rPr>
          <w:rFonts w:asciiTheme="minorBidi" w:hAnsiTheme="minorBidi" w:cstheme="minorBidi"/>
          <w:sz w:val="22"/>
          <w:szCs w:val="22"/>
          <w:lang w:val="en-GB"/>
        </w:rPr>
        <w:t>)</w:t>
      </w:r>
      <w:r>
        <w:rPr>
          <w:rFonts w:asciiTheme="minorBidi" w:hAnsiTheme="minorBidi" w:cstheme="minorBidi"/>
          <w:sz w:val="22"/>
          <w:szCs w:val="22"/>
          <w:lang w:val="en-GB"/>
        </w:rPr>
        <w:t xml:space="preserve">: </w:t>
      </w:r>
      <w:r w:rsidRPr="0063324B">
        <w:rPr>
          <w:rFonts w:asciiTheme="minorBidi" w:hAnsiTheme="minorBidi" w:cstheme="minorBidi"/>
          <w:sz w:val="22"/>
          <w:szCs w:val="22"/>
          <w:lang w:val="en-GB"/>
        </w:rPr>
        <w:t xml:space="preserve">periodic reports </w:t>
      </w:r>
      <w:r>
        <w:rPr>
          <w:rFonts w:asciiTheme="minorBidi" w:hAnsiTheme="minorBidi" w:cstheme="minorBidi"/>
          <w:sz w:val="22"/>
          <w:szCs w:val="22"/>
          <w:lang w:val="en-GB"/>
        </w:rPr>
        <w:t xml:space="preserve">submitted </w:t>
      </w:r>
      <w:r w:rsidRPr="0063324B">
        <w:rPr>
          <w:rFonts w:asciiTheme="minorBidi" w:hAnsiTheme="minorBidi" w:cstheme="minorBidi"/>
          <w:sz w:val="22"/>
          <w:szCs w:val="22"/>
          <w:lang w:val="en-GB"/>
        </w:rPr>
        <w:t>by 15 December 202</w:t>
      </w:r>
      <w:r>
        <w:rPr>
          <w:rFonts w:asciiTheme="minorBidi" w:hAnsiTheme="minorBidi" w:cstheme="minorBidi"/>
          <w:sz w:val="22"/>
          <w:szCs w:val="22"/>
          <w:lang w:val="en-GB"/>
        </w:rPr>
        <w:t>3</w:t>
      </w:r>
      <w:r w:rsidRPr="0063324B">
        <w:rPr>
          <w:rFonts w:asciiTheme="minorBidi" w:hAnsiTheme="minorBidi" w:cstheme="minorBidi"/>
          <w:sz w:val="22"/>
          <w:szCs w:val="22"/>
          <w:lang w:val="en-GB"/>
        </w:rPr>
        <w:t xml:space="preserve"> for examination by the Committee at its </w:t>
      </w:r>
      <w:r>
        <w:rPr>
          <w:rFonts w:asciiTheme="minorBidi" w:hAnsiTheme="minorBidi" w:cstheme="minorBidi"/>
          <w:sz w:val="22"/>
          <w:szCs w:val="22"/>
          <w:lang w:val="en-GB"/>
        </w:rPr>
        <w:t>nineteenth</w:t>
      </w:r>
      <w:r w:rsidRPr="0063324B">
        <w:rPr>
          <w:rFonts w:asciiTheme="minorBidi" w:hAnsiTheme="minorBidi" w:cstheme="minorBidi"/>
          <w:sz w:val="22"/>
          <w:szCs w:val="22"/>
          <w:lang w:val="en-GB"/>
        </w:rPr>
        <w:t xml:space="preserve"> session in 202</w:t>
      </w:r>
      <w:r>
        <w:rPr>
          <w:rFonts w:asciiTheme="minorBidi" w:hAnsiTheme="minorBidi" w:cstheme="minorBidi"/>
          <w:sz w:val="22"/>
          <w:szCs w:val="22"/>
          <w:lang w:val="en-GB"/>
        </w:rPr>
        <w:t>4</w:t>
      </w:r>
      <w:r w:rsidR="00EA7C29">
        <w:rPr>
          <w:rFonts w:asciiTheme="minorBidi" w:hAnsiTheme="minorBidi" w:cstheme="minorBidi"/>
          <w:sz w:val="22"/>
          <w:szCs w:val="22"/>
          <w:lang w:val="en-GB"/>
        </w:rPr>
        <w:t>;</w:t>
      </w:r>
      <w:r w:rsidR="00EA7C29" w:rsidRPr="002518AC">
        <w:rPr>
          <w:lang w:val="en-US"/>
        </w:rPr>
        <w:t xml:space="preserve"> </w:t>
      </w:r>
      <w:r w:rsidR="00EA7C29" w:rsidRPr="002518AC">
        <w:rPr>
          <w:rFonts w:asciiTheme="minorBidi" w:hAnsiTheme="minorBidi" w:cstheme="minorBidi"/>
          <w:sz w:val="22"/>
          <w:szCs w:val="22"/>
          <w:lang w:val="en-US"/>
        </w:rPr>
        <w:t>Forty-four States in Africa that were party to the Convention at the time of reporting (100 per cent) submitted</w:t>
      </w:r>
      <w:r w:rsidRPr="0063324B">
        <w:rPr>
          <w:rFonts w:asciiTheme="minorBidi" w:hAnsiTheme="minorBidi" w:cstheme="minorBidi"/>
          <w:sz w:val="22"/>
          <w:szCs w:val="22"/>
          <w:lang w:val="en-GB"/>
        </w:rPr>
        <w:t>.</w:t>
      </w:r>
    </w:p>
    <w:p w14:paraId="23B7A240" w14:textId="00FE72A9" w:rsidR="00B23498" w:rsidRPr="002518AC" w:rsidRDefault="00A94CB9" w:rsidP="002518AC">
      <w:pPr>
        <w:pStyle w:val="Sansinterligne2"/>
        <w:numPr>
          <w:ilvl w:val="0"/>
          <w:numId w:val="57"/>
        </w:numPr>
        <w:spacing w:after="120"/>
        <w:ind w:left="1134" w:hanging="567"/>
        <w:jc w:val="both"/>
        <w:rPr>
          <w:rFonts w:asciiTheme="minorBidi" w:hAnsiTheme="minorBidi" w:cstheme="minorBidi"/>
          <w:sz w:val="22"/>
          <w:szCs w:val="22"/>
          <w:lang w:val="en-GB"/>
        </w:rPr>
      </w:pPr>
      <w:r w:rsidRPr="0063324B">
        <w:rPr>
          <w:rFonts w:asciiTheme="minorBidi" w:hAnsiTheme="minorBidi" w:cstheme="minorBidi"/>
          <w:b/>
          <w:bCs/>
          <w:sz w:val="22"/>
          <w:szCs w:val="22"/>
          <w:lang w:val="en-GB"/>
        </w:rPr>
        <w:t>Asia and the Pacific</w:t>
      </w:r>
      <w:r w:rsidRPr="006E7394">
        <w:rPr>
          <w:rFonts w:asciiTheme="minorBidi" w:hAnsiTheme="minorBidi" w:cstheme="minorBidi"/>
          <w:sz w:val="22"/>
          <w:szCs w:val="22"/>
          <w:lang w:val="en-GB"/>
        </w:rPr>
        <w:t xml:space="preserve"> (202</w:t>
      </w:r>
      <w:r>
        <w:rPr>
          <w:rFonts w:asciiTheme="minorBidi" w:hAnsiTheme="minorBidi" w:cstheme="minorBidi"/>
          <w:sz w:val="22"/>
          <w:szCs w:val="22"/>
          <w:lang w:val="en-GB"/>
        </w:rPr>
        <w:t>5 cycle</w:t>
      </w:r>
      <w:r w:rsidRPr="006E7394">
        <w:rPr>
          <w:rFonts w:asciiTheme="minorBidi" w:hAnsiTheme="minorBidi" w:cstheme="minorBidi"/>
          <w:sz w:val="22"/>
          <w:szCs w:val="22"/>
          <w:lang w:val="en-GB"/>
        </w:rPr>
        <w:t>)</w:t>
      </w:r>
      <w:r>
        <w:rPr>
          <w:rFonts w:asciiTheme="minorBidi" w:hAnsiTheme="minorBidi" w:cstheme="minorBidi"/>
          <w:sz w:val="22"/>
          <w:szCs w:val="22"/>
          <w:lang w:val="en-GB"/>
        </w:rPr>
        <w:t xml:space="preserve">: </w:t>
      </w:r>
      <w:r w:rsidRPr="0063324B">
        <w:rPr>
          <w:rFonts w:asciiTheme="minorBidi" w:hAnsiTheme="minorBidi" w:cstheme="minorBidi"/>
          <w:sz w:val="22"/>
          <w:szCs w:val="22"/>
          <w:lang w:val="en-GB"/>
        </w:rPr>
        <w:t xml:space="preserve">periodic reports </w:t>
      </w:r>
      <w:r>
        <w:rPr>
          <w:rFonts w:asciiTheme="minorBidi" w:hAnsiTheme="minorBidi" w:cstheme="minorBidi"/>
          <w:sz w:val="22"/>
          <w:szCs w:val="22"/>
          <w:lang w:val="en-GB"/>
        </w:rPr>
        <w:t xml:space="preserve">submitted </w:t>
      </w:r>
      <w:r w:rsidRPr="0063324B">
        <w:rPr>
          <w:rFonts w:asciiTheme="minorBidi" w:hAnsiTheme="minorBidi" w:cstheme="minorBidi"/>
          <w:sz w:val="22"/>
          <w:szCs w:val="22"/>
          <w:lang w:val="en-GB"/>
        </w:rPr>
        <w:t>by 15 December 202</w:t>
      </w:r>
      <w:r>
        <w:rPr>
          <w:rFonts w:asciiTheme="minorBidi" w:hAnsiTheme="minorBidi" w:cstheme="minorBidi"/>
          <w:sz w:val="22"/>
          <w:szCs w:val="22"/>
          <w:lang w:val="en-GB"/>
        </w:rPr>
        <w:t>4</w:t>
      </w:r>
      <w:r w:rsidRPr="0063324B">
        <w:rPr>
          <w:rFonts w:asciiTheme="minorBidi" w:hAnsiTheme="minorBidi" w:cstheme="minorBidi"/>
          <w:sz w:val="22"/>
          <w:szCs w:val="22"/>
          <w:lang w:val="en-GB"/>
        </w:rPr>
        <w:t xml:space="preserve"> for examination by the Committee at its </w:t>
      </w:r>
      <w:r>
        <w:rPr>
          <w:rFonts w:asciiTheme="minorBidi" w:hAnsiTheme="minorBidi" w:cstheme="minorBidi"/>
          <w:sz w:val="22"/>
          <w:szCs w:val="22"/>
          <w:lang w:val="en-GB"/>
        </w:rPr>
        <w:t>twentieth</w:t>
      </w:r>
      <w:r w:rsidRPr="0063324B">
        <w:rPr>
          <w:rFonts w:asciiTheme="minorBidi" w:hAnsiTheme="minorBidi" w:cstheme="minorBidi"/>
          <w:sz w:val="22"/>
          <w:szCs w:val="22"/>
          <w:lang w:val="en-GB"/>
        </w:rPr>
        <w:t xml:space="preserve"> session in 202</w:t>
      </w:r>
      <w:r>
        <w:rPr>
          <w:rFonts w:asciiTheme="minorBidi" w:hAnsiTheme="minorBidi" w:cstheme="minorBidi"/>
          <w:sz w:val="22"/>
          <w:szCs w:val="22"/>
          <w:lang w:val="en-GB"/>
        </w:rPr>
        <w:t>5</w:t>
      </w:r>
      <w:r w:rsidR="00EA7C29">
        <w:rPr>
          <w:rFonts w:asciiTheme="minorBidi" w:hAnsiTheme="minorBidi" w:cstheme="minorBidi"/>
          <w:sz w:val="22"/>
          <w:szCs w:val="22"/>
          <w:lang w:val="en-GB"/>
        </w:rPr>
        <w:t>; t</w:t>
      </w:r>
      <w:proofErr w:type="spellStart"/>
      <w:r w:rsidR="00EA7C29" w:rsidRPr="002518AC">
        <w:rPr>
          <w:rFonts w:asciiTheme="minorBidi" w:hAnsiTheme="minorBidi" w:cstheme="minorBidi"/>
          <w:sz w:val="22"/>
          <w:szCs w:val="22"/>
          <w:lang w:val="en-US"/>
        </w:rPr>
        <w:t>hirty</w:t>
      </w:r>
      <w:proofErr w:type="spellEnd"/>
      <w:r w:rsidR="00EA7C29" w:rsidRPr="002518AC">
        <w:rPr>
          <w:rFonts w:asciiTheme="minorBidi" w:hAnsiTheme="minorBidi" w:cstheme="minorBidi"/>
          <w:sz w:val="22"/>
          <w:szCs w:val="22"/>
          <w:lang w:val="en-US"/>
        </w:rPr>
        <w:t>-eight out of forty-two (90.</w:t>
      </w:r>
      <w:r w:rsidR="00403B9D">
        <w:rPr>
          <w:rFonts w:asciiTheme="minorBidi" w:hAnsiTheme="minorBidi" w:cstheme="minorBidi"/>
          <w:sz w:val="22"/>
          <w:szCs w:val="22"/>
          <w:lang w:val="en-US"/>
        </w:rPr>
        <w:t>5</w:t>
      </w:r>
      <w:r w:rsidR="00EA7C29" w:rsidRPr="002518AC">
        <w:rPr>
          <w:rFonts w:asciiTheme="minorBidi" w:hAnsiTheme="minorBidi" w:cstheme="minorBidi"/>
          <w:sz w:val="22"/>
          <w:szCs w:val="22"/>
          <w:lang w:val="en-US"/>
        </w:rPr>
        <w:t xml:space="preserve"> per cent) States Parties submitted</w:t>
      </w:r>
      <w:r w:rsidRPr="0063324B">
        <w:rPr>
          <w:rFonts w:asciiTheme="minorBidi" w:hAnsiTheme="minorBidi" w:cstheme="minorBidi"/>
          <w:sz w:val="22"/>
          <w:szCs w:val="22"/>
          <w:lang w:val="en-GB"/>
        </w:rPr>
        <w:t>.</w:t>
      </w:r>
    </w:p>
    <w:p w14:paraId="57AF5141" w14:textId="6390769C" w:rsidR="00752298" w:rsidRPr="00114132" w:rsidRDefault="000D24E7" w:rsidP="002518AC">
      <w:pPr>
        <w:pStyle w:val="COMPara"/>
        <w:numPr>
          <w:ilvl w:val="0"/>
          <w:numId w:val="26"/>
        </w:numPr>
        <w:spacing w:before="120"/>
        <w:ind w:left="357" w:hanging="357"/>
        <w:jc w:val="both"/>
        <w:rPr>
          <w:b/>
          <w:bCs/>
          <w:color w:val="000000" w:themeColor="text1"/>
        </w:rPr>
      </w:pPr>
      <w:r>
        <w:rPr>
          <w:b/>
          <w:bCs/>
          <w:color w:val="000000" w:themeColor="text1"/>
        </w:rPr>
        <w:t>Towards the single global submission system: calendar and milestones</w:t>
      </w:r>
    </w:p>
    <w:p w14:paraId="23A7A2C5" w14:textId="033BADBA" w:rsidR="00FB357B" w:rsidRDefault="002A61A9" w:rsidP="002E0FD6">
      <w:pPr>
        <w:pStyle w:val="COMPara"/>
        <w:ind w:left="360"/>
        <w:jc w:val="both"/>
        <w:rPr>
          <w:lang w:val="en-US"/>
        </w:rPr>
      </w:pPr>
      <w:r w:rsidRPr="00084E63">
        <w:rPr>
          <w:lang w:val="en-US"/>
        </w:rPr>
        <w:t>T</w:t>
      </w:r>
      <w:r w:rsidR="00D04E4B" w:rsidRPr="00084E63">
        <w:rPr>
          <w:lang w:val="en-US"/>
        </w:rPr>
        <w:t xml:space="preserve">he MONDIACULT 2022 </w:t>
      </w:r>
      <w:hyperlink r:id="rId13" w:history="1">
        <w:r w:rsidR="00D04E4B" w:rsidRPr="00084E63">
          <w:rPr>
            <w:rStyle w:val="Hyperlink"/>
            <w:lang w:val="en-US"/>
          </w:rPr>
          <w:t>Declaration</w:t>
        </w:r>
      </w:hyperlink>
      <w:r w:rsidR="00D04E4B" w:rsidRPr="00084E63">
        <w:rPr>
          <w:lang w:val="en-US"/>
        </w:rPr>
        <w:t xml:space="preserve"> called for a UNESCO Global Report on Cultural Policies every four years, with the </w:t>
      </w:r>
      <w:hyperlink r:id="rId14" w:history="1">
        <w:r w:rsidR="00D04E4B" w:rsidRPr="00084E63">
          <w:rPr>
            <w:rStyle w:val="Hyperlink"/>
            <w:lang w:val="en-US"/>
          </w:rPr>
          <w:t>first edition</w:t>
        </w:r>
      </w:hyperlink>
      <w:r w:rsidR="00D04E4B" w:rsidRPr="00084E63">
        <w:rPr>
          <w:lang w:val="en-US"/>
        </w:rPr>
        <w:t xml:space="preserve"> issued in 2025, requiring adaptations under the 2003 Convention to support this comprehensive global analysis. In response, the </w:t>
      </w:r>
      <w:r w:rsidR="003346B0" w:rsidRPr="00084E63">
        <w:rPr>
          <w:lang w:val="en-US"/>
        </w:rPr>
        <w:t xml:space="preserve">Intergovernmental </w:t>
      </w:r>
      <w:r w:rsidR="00D04E4B" w:rsidRPr="00084E63">
        <w:rPr>
          <w:lang w:val="en-US"/>
        </w:rPr>
        <w:t xml:space="preserve">Committee </w:t>
      </w:r>
      <w:r w:rsidR="00DF7699">
        <w:rPr>
          <w:lang w:val="en-US"/>
        </w:rPr>
        <w:t xml:space="preserve">of the 2003 Convention </w:t>
      </w:r>
      <w:r w:rsidR="00D04E4B" w:rsidRPr="00084E63">
        <w:rPr>
          <w:lang w:val="en-US"/>
        </w:rPr>
        <w:t xml:space="preserve">approved a roadmap towards a single global submission system, requiring all States Parties to </w:t>
      </w:r>
      <w:r w:rsidR="00011BCB" w:rsidRPr="00084E63">
        <w:rPr>
          <w:lang w:val="en-US"/>
        </w:rPr>
        <w:t xml:space="preserve">submit their </w:t>
      </w:r>
      <w:r w:rsidR="00D04E4B" w:rsidRPr="00084E63">
        <w:rPr>
          <w:lang w:val="en-US"/>
        </w:rPr>
        <w:t>report</w:t>
      </w:r>
      <w:r w:rsidR="00181802">
        <w:rPr>
          <w:lang w:val="en-US"/>
        </w:rPr>
        <w:t>s</w:t>
      </w:r>
      <w:r w:rsidR="00D04E4B" w:rsidRPr="00084E63">
        <w:rPr>
          <w:lang w:val="en-US"/>
        </w:rPr>
        <w:t xml:space="preserve"> by 30 June 2027 and every four years thereafter</w:t>
      </w:r>
      <w:r w:rsidR="001D5494">
        <w:rPr>
          <w:lang w:val="en-US"/>
        </w:rPr>
        <w:t xml:space="preserve"> (</w:t>
      </w:r>
      <w:r w:rsidR="001D5494">
        <w:t xml:space="preserve">most recently at its twentieth session in December 2025, see </w:t>
      </w:r>
      <w:r w:rsidR="001D5494" w:rsidRPr="004D692C">
        <w:t xml:space="preserve">Decision </w:t>
      </w:r>
      <w:hyperlink r:id="rId15" w:history="1">
        <w:r w:rsidR="001D5494" w:rsidRPr="004D692C">
          <w:rPr>
            <w:rStyle w:val="Hyperlink"/>
          </w:rPr>
          <w:t>20.COM 6.c</w:t>
        </w:r>
      </w:hyperlink>
      <w:r w:rsidR="001D5494">
        <w:t>)</w:t>
      </w:r>
      <w:r w:rsidR="00D04E4B" w:rsidRPr="00084E63">
        <w:rPr>
          <w:lang w:val="en-US"/>
        </w:rPr>
        <w:t xml:space="preserve">, </w:t>
      </w:r>
      <w:r w:rsidR="00D04E4B" w:rsidRPr="00084E63">
        <w:rPr>
          <w:lang w:val="en-US"/>
        </w:rPr>
        <w:lastRenderedPageBreak/>
        <w:t>subject to approval of amendments to the Operational Directives by the eleventh session of the General Assembly</w:t>
      </w:r>
      <w:r w:rsidR="003D324B">
        <w:t>.</w:t>
      </w:r>
      <w:r w:rsidR="003D324B" w:rsidRPr="003D324B">
        <w:rPr>
          <w:lang w:val="en-US"/>
        </w:rPr>
        <w:t xml:space="preserve"> </w:t>
      </w:r>
      <w:r w:rsidR="003D324B">
        <w:rPr>
          <w:lang w:val="en-US"/>
        </w:rPr>
        <w:t>The move entails the following</w:t>
      </w:r>
      <w:r w:rsidR="00F70D9C">
        <w:rPr>
          <w:lang w:val="en-US"/>
        </w:rPr>
        <w:t>:</w:t>
      </w:r>
      <w:r w:rsidR="003D324B">
        <w:rPr>
          <w:lang w:val="en-US"/>
        </w:rPr>
        <w:t xml:space="preserve"> </w:t>
      </w:r>
    </w:p>
    <w:p w14:paraId="2A70193B" w14:textId="5C58FAD5" w:rsidR="00660938" w:rsidRPr="002518AC" w:rsidRDefault="00660938" w:rsidP="002518AC">
      <w:pPr>
        <w:pStyle w:val="Sansinterligne2"/>
        <w:numPr>
          <w:ilvl w:val="0"/>
          <w:numId w:val="57"/>
        </w:numPr>
        <w:spacing w:after="120"/>
        <w:ind w:left="1134" w:hanging="567"/>
        <w:jc w:val="both"/>
        <w:rPr>
          <w:rFonts w:asciiTheme="minorBidi" w:hAnsiTheme="minorBidi" w:cstheme="minorBidi"/>
          <w:sz w:val="22"/>
          <w:szCs w:val="22"/>
          <w:lang w:val="en-GB"/>
        </w:rPr>
      </w:pPr>
      <w:r w:rsidRPr="002518AC">
        <w:rPr>
          <w:rFonts w:asciiTheme="minorBidi" w:hAnsiTheme="minorBidi" w:cstheme="minorBidi"/>
          <w:sz w:val="22"/>
          <w:szCs w:val="22"/>
          <w:lang w:val="en-GB"/>
        </w:rPr>
        <w:t xml:space="preserve">Reports by States Parties on the implementation of the Convention and on the status of elements inscribed on the Representative List, reports by States Parties on elements inscribed on the </w:t>
      </w:r>
      <w:r w:rsidR="00221B4E">
        <w:rPr>
          <w:rFonts w:asciiTheme="minorBidi" w:hAnsiTheme="minorBidi" w:cstheme="minorBidi"/>
          <w:sz w:val="22"/>
          <w:szCs w:val="22"/>
          <w:lang w:val="en-GB"/>
        </w:rPr>
        <w:t xml:space="preserve">Urgent Safeguarding </w:t>
      </w:r>
      <w:r w:rsidRPr="002518AC">
        <w:rPr>
          <w:rFonts w:asciiTheme="minorBidi" w:hAnsiTheme="minorBidi" w:cstheme="minorBidi"/>
          <w:sz w:val="22"/>
          <w:szCs w:val="22"/>
          <w:lang w:val="en-GB"/>
        </w:rPr>
        <w:t>List,</w:t>
      </w:r>
      <w:r w:rsidR="00F70D9C">
        <w:rPr>
          <w:rFonts w:asciiTheme="minorBidi" w:hAnsiTheme="minorBidi" w:cstheme="minorBidi"/>
          <w:sz w:val="22"/>
          <w:szCs w:val="22"/>
          <w:lang w:val="en-GB"/>
        </w:rPr>
        <w:t xml:space="preserve"> and </w:t>
      </w:r>
      <w:r w:rsidR="00F70D9C" w:rsidRPr="00B503CA">
        <w:rPr>
          <w:rFonts w:asciiTheme="minorBidi" w:hAnsiTheme="minorBidi" w:cstheme="minorBidi"/>
          <w:sz w:val="22"/>
          <w:szCs w:val="22"/>
          <w:lang w:val="en-GB"/>
        </w:rPr>
        <w:t xml:space="preserve">reports by States </w:t>
      </w:r>
      <w:proofErr w:type="spellStart"/>
      <w:r w:rsidR="00F70D9C" w:rsidRPr="00B503CA">
        <w:rPr>
          <w:rFonts w:asciiTheme="minorBidi" w:hAnsiTheme="minorBidi" w:cstheme="minorBidi"/>
          <w:sz w:val="22"/>
          <w:szCs w:val="22"/>
          <w:lang w:val="en-GB"/>
        </w:rPr>
        <w:t>non</w:t>
      </w:r>
      <w:r w:rsidR="00F70D9C">
        <w:rPr>
          <w:rFonts w:asciiTheme="minorBidi" w:hAnsiTheme="minorBidi" w:cstheme="minorBidi"/>
          <w:sz w:val="22"/>
          <w:szCs w:val="22"/>
          <w:lang w:val="en-GB"/>
        </w:rPr>
        <w:t xml:space="preserve"> </w:t>
      </w:r>
      <w:r w:rsidR="00F70D9C" w:rsidRPr="00B503CA">
        <w:rPr>
          <w:rFonts w:asciiTheme="minorBidi" w:hAnsiTheme="minorBidi" w:cstheme="minorBidi"/>
          <w:sz w:val="22"/>
          <w:szCs w:val="22"/>
          <w:lang w:val="en-GB"/>
        </w:rPr>
        <w:t>party</w:t>
      </w:r>
      <w:proofErr w:type="spellEnd"/>
      <w:r w:rsidR="00F70D9C" w:rsidRPr="00B503CA">
        <w:rPr>
          <w:rFonts w:asciiTheme="minorBidi" w:hAnsiTheme="minorBidi" w:cstheme="minorBidi"/>
          <w:sz w:val="22"/>
          <w:szCs w:val="22"/>
          <w:lang w:val="en-GB"/>
        </w:rPr>
        <w:t xml:space="preserve"> to the Convention on elements inscribed on the Representative List</w:t>
      </w:r>
      <w:r w:rsidR="00F70D9C">
        <w:rPr>
          <w:rFonts w:asciiTheme="minorBidi" w:hAnsiTheme="minorBidi" w:cstheme="minorBidi"/>
          <w:sz w:val="22"/>
          <w:szCs w:val="22"/>
          <w:lang w:val="en-GB"/>
        </w:rPr>
        <w:t>,</w:t>
      </w:r>
      <w:r w:rsidRPr="002518AC">
        <w:rPr>
          <w:rFonts w:asciiTheme="minorBidi" w:hAnsiTheme="minorBidi" w:cstheme="minorBidi"/>
          <w:sz w:val="22"/>
          <w:szCs w:val="22"/>
          <w:lang w:val="en-GB"/>
        </w:rPr>
        <w:t xml:space="preserve"> shall be submitted by 30 June 2027, and every four years thereafter. </w:t>
      </w:r>
    </w:p>
    <w:p w14:paraId="2984B8A3" w14:textId="70FF48F4" w:rsidR="00660938" w:rsidRPr="002518AC" w:rsidRDefault="00660938" w:rsidP="002518AC">
      <w:pPr>
        <w:pStyle w:val="ListParagraph"/>
        <w:numPr>
          <w:ilvl w:val="0"/>
          <w:numId w:val="60"/>
        </w:numPr>
        <w:snapToGrid w:val="0"/>
        <w:spacing w:after="120"/>
        <w:ind w:left="1134" w:hanging="567"/>
        <w:contextualSpacing w:val="0"/>
        <w:jc w:val="both"/>
        <w:rPr>
          <w:rFonts w:asciiTheme="minorBidi" w:hAnsiTheme="minorBidi" w:cstheme="minorBidi"/>
          <w:sz w:val="22"/>
          <w:szCs w:val="22"/>
          <w:lang w:val="en-GB"/>
        </w:rPr>
      </w:pPr>
      <w:r w:rsidRPr="002518AC">
        <w:rPr>
          <w:rFonts w:asciiTheme="minorBidi" w:hAnsiTheme="minorBidi" w:cstheme="minorBidi"/>
          <w:sz w:val="22"/>
          <w:szCs w:val="22"/>
          <w:lang w:val="en-GB"/>
        </w:rPr>
        <w:t>The General Assembly at its eleventh session (17 to</w:t>
      </w:r>
      <w:r w:rsidR="000B445A">
        <w:rPr>
          <w:rFonts w:asciiTheme="minorBidi" w:hAnsiTheme="minorBidi" w:cstheme="minorBidi"/>
          <w:sz w:val="22"/>
          <w:szCs w:val="22"/>
          <w:lang w:val="en-GB"/>
        </w:rPr>
        <w:t xml:space="preserve"> </w:t>
      </w:r>
      <w:r w:rsidRPr="002518AC">
        <w:rPr>
          <w:rFonts w:asciiTheme="minorBidi" w:hAnsiTheme="minorBidi" w:cstheme="minorBidi"/>
          <w:sz w:val="22"/>
          <w:szCs w:val="22"/>
          <w:lang w:val="en-GB"/>
        </w:rPr>
        <w:t xml:space="preserve">18 June 2026 at UNESCO Headquarters) will examine the necessary amendments to the Operational Directives for the </w:t>
      </w:r>
      <w:r w:rsidR="00403B9D">
        <w:rPr>
          <w:rFonts w:asciiTheme="minorBidi" w:hAnsiTheme="minorBidi" w:cstheme="minorBidi"/>
          <w:sz w:val="22"/>
          <w:szCs w:val="22"/>
          <w:lang w:val="en-GB"/>
        </w:rPr>
        <w:t>i</w:t>
      </w:r>
      <w:r w:rsidRPr="002518AC">
        <w:rPr>
          <w:rFonts w:asciiTheme="minorBidi" w:hAnsiTheme="minorBidi" w:cstheme="minorBidi"/>
          <w:sz w:val="22"/>
          <w:szCs w:val="22"/>
          <w:lang w:val="en-GB"/>
        </w:rPr>
        <w:t>mplementation of the Convention to support the move.</w:t>
      </w:r>
    </w:p>
    <w:p w14:paraId="63AC14A3" w14:textId="505E13D7" w:rsidR="00660938" w:rsidRPr="002518AC" w:rsidRDefault="00660938" w:rsidP="002518AC">
      <w:pPr>
        <w:pStyle w:val="ListParagraph"/>
        <w:numPr>
          <w:ilvl w:val="0"/>
          <w:numId w:val="60"/>
        </w:numPr>
        <w:snapToGrid w:val="0"/>
        <w:spacing w:after="120"/>
        <w:ind w:left="1134" w:hanging="567"/>
        <w:contextualSpacing w:val="0"/>
        <w:jc w:val="both"/>
        <w:rPr>
          <w:rFonts w:asciiTheme="minorBidi" w:hAnsiTheme="minorBidi" w:cstheme="minorBidi"/>
          <w:sz w:val="22"/>
          <w:szCs w:val="22"/>
          <w:lang w:val="en-GB"/>
        </w:rPr>
      </w:pPr>
      <w:r w:rsidRPr="002518AC">
        <w:rPr>
          <w:rFonts w:asciiTheme="minorBidi" w:hAnsiTheme="minorBidi" w:cstheme="minorBidi"/>
          <w:sz w:val="22"/>
          <w:szCs w:val="22"/>
          <w:lang w:val="en-GB"/>
        </w:rPr>
        <w:t>All States are expected to submit their reports using the designated forms that are currently undergoing revisions to simplify them (Form ICH-10 and Form ICH-11). Further to the submission, the Governing Bodies of the Convention will continue to examine the reports, which will then be brought to the attention of the General Conference of UNESCO, pursuant to Article 30 of the Convention.</w:t>
      </w:r>
    </w:p>
    <w:p w14:paraId="5BA09FBC" w14:textId="7BB2B9D1" w:rsidR="00660938" w:rsidRPr="002518AC" w:rsidRDefault="00660938" w:rsidP="002518AC">
      <w:pPr>
        <w:pStyle w:val="ListParagraph"/>
        <w:numPr>
          <w:ilvl w:val="0"/>
          <w:numId w:val="60"/>
        </w:numPr>
        <w:snapToGrid w:val="0"/>
        <w:spacing w:after="120"/>
        <w:ind w:left="1134" w:hanging="567"/>
        <w:contextualSpacing w:val="0"/>
        <w:jc w:val="both"/>
        <w:rPr>
          <w:rFonts w:asciiTheme="minorBidi" w:hAnsiTheme="minorBidi" w:cstheme="minorBidi"/>
          <w:sz w:val="22"/>
          <w:szCs w:val="22"/>
          <w:lang w:val="en-GB"/>
        </w:rPr>
      </w:pPr>
      <w:r w:rsidRPr="002518AC">
        <w:rPr>
          <w:rFonts w:asciiTheme="minorBidi" w:hAnsiTheme="minorBidi" w:cstheme="minorBidi"/>
          <w:sz w:val="22"/>
          <w:szCs w:val="22"/>
          <w:lang w:val="en-GB"/>
        </w:rPr>
        <w:t>In the meantime, the submission of all types of reports for the deadline of 15 December 2026 is suspended, including for overdue reports.</w:t>
      </w:r>
    </w:p>
    <w:p w14:paraId="6DDDB7F8" w14:textId="0944F62D" w:rsidR="00D04E4B" w:rsidRDefault="00FB357B">
      <w:pPr>
        <w:pStyle w:val="COMPara"/>
        <w:ind w:left="360"/>
        <w:jc w:val="both"/>
        <w:rPr>
          <w:lang w:val="en-US"/>
        </w:rPr>
      </w:pPr>
      <w:r w:rsidRPr="00FB357B">
        <w:rPr>
          <w:lang w:val="en-US"/>
        </w:rPr>
        <w:t xml:space="preserve">The Committee will continue to examine periodic reports on the implementation of the Convention </w:t>
      </w:r>
      <w:r w:rsidR="00293DC7" w:rsidRPr="00E85DC1">
        <w:rPr>
          <w:rFonts w:asciiTheme="minorBidi" w:hAnsiTheme="minorBidi" w:cstheme="minorBidi"/>
        </w:rPr>
        <w:t xml:space="preserve">and on the status of elements inscribed on the Representative List </w:t>
      </w:r>
      <w:r w:rsidRPr="00FB357B">
        <w:rPr>
          <w:lang w:val="en-US"/>
        </w:rPr>
        <w:t xml:space="preserve">submitted by States Parties (in compliance with Article 29 of the Convention) and on the status of elements inscribed on the Urgent Safeguarding List. Similarly, periodic reports will continue to be submitted by the Committee to the General Assembly </w:t>
      </w:r>
      <w:proofErr w:type="gramStart"/>
      <w:r w:rsidRPr="00FB357B">
        <w:rPr>
          <w:lang w:val="en-US"/>
        </w:rPr>
        <w:t>and also</w:t>
      </w:r>
      <w:proofErr w:type="gramEnd"/>
      <w:r w:rsidRPr="00FB357B">
        <w:rPr>
          <w:lang w:val="en-US"/>
        </w:rPr>
        <w:t xml:space="preserve"> brought to the attention of the General Conference of UNESCO (in compliance with Article 30 of the Convention)</w:t>
      </w:r>
      <w:r>
        <w:rPr>
          <w:lang w:val="en-US"/>
        </w:rPr>
        <w:t>.</w:t>
      </w:r>
    </w:p>
    <w:p w14:paraId="7AC274EE" w14:textId="0717A60B" w:rsidR="005208F3" w:rsidRPr="00114132" w:rsidRDefault="005208F3" w:rsidP="002518AC">
      <w:pPr>
        <w:pStyle w:val="COMPara"/>
        <w:numPr>
          <w:ilvl w:val="0"/>
          <w:numId w:val="26"/>
        </w:numPr>
        <w:spacing w:before="120"/>
        <w:ind w:left="357" w:hanging="357"/>
        <w:jc w:val="both"/>
        <w:rPr>
          <w:b/>
          <w:bCs/>
          <w:color w:val="000000" w:themeColor="text1"/>
        </w:rPr>
      </w:pPr>
      <w:r>
        <w:rPr>
          <w:b/>
          <w:bCs/>
          <w:color w:val="000000" w:themeColor="text1"/>
        </w:rPr>
        <w:t>Reporting under the Convention: overview of current modalities and areas for improvement</w:t>
      </w:r>
    </w:p>
    <w:p w14:paraId="54FBF3CA" w14:textId="5EF5C249" w:rsidR="00883E34" w:rsidRPr="002518AC" w:rsidRDefault="00883E34" w:rsidP="002E3B67">
      <w:pPr>
        <w:pStyle w:val="COMPara"/>
        <w:ind w:left="360"/>
        <w:jc w:val="both"/>
        <w:rPr>
          <w:lang w:val="en-US"/>
        </w:rPr>
      </w:pPr>
      <w:r w:rsidRPr="00883E34">
        <w:rPr>
          <w:lang w:val="en-US"/>
        </w:rPr>
        <w:t xml:space="preserve">The Secretariat organized </w:t>
      </w:r>
      <w:hyperlink r:id="rId16" w:history="1">
        <w:r w:rsidRPr="00883E34">
          <w:rPr>
            <w:rStyle w:val="Hyperlink"/>
            <w:lang w:val="en-US"/>
          </w:rPr>
          <w:t>five online regional consultations</w:t>
        </w:r>
      </w:hyperlink>
      <w:r w:rsidRPr="00883E34">
        <w:rPr>
          <w:lang w:val="en-US"/>
        </w:rPr>
        <w:t xml:space="preserve">, each preceded by a </w:t>
      </w:r>
      <w:r w:rsidR="004B012B">
        <w:rPr>
          <w:lang w:val="en-US"/>
        </w:rPr>
        <w:t xml:space="preserve">dedicated </w:t>
      </w:r>
      <w:r w:rsidRPr="00883E34">
        <w:rPr>
          <w:lang w:val="en-US"/>
        </w:rPr>
        <w:t>survey, between April and May 2025 in preparation for the reflection year</w:t>
      </w:r>
      <w:r w:rsidR="00084E63">
        <w:rPr>
          <w:lang w:val="en-US"/>
        </w:rPr>
        <w:t xml:space="preserve"> in question</w:t>
      </w:r>
      <w:r w:rsidRPr="00883E34">
        <w:rPr>
          <w:lang w:val="en-US"/>
        </w:rPr>
        <w:t xml:space="preserve">. A total of 290 participants took part, including periodic reporting focal points, facilitators from UNESCO’s global network, and representatives of category 2 </w:t>
      </w:r>
      <w:proofErr w:type="spellStart"/>
      <w:r w:rsidRPr="00883E34">
        <w:rPr>
          <w:lang w:val="en-US"/>
        </w:rPr>
        <w:t>centres</w:t>
      </w:r>
      <w:proofErr w:type="spellEnd"/>
      <w:r w:rsidRPr="00883E34">
        <w:rPr>
          <w:lang w:val="en-US"/>
        </w:rPr>
        <w:t xml:space="preserve"> working in</w:t>
      </w:r>
      <w:r w:rsidR="00BE32BE">
        <w:rPr>
          <w:lang w:val="en-US"/>
        </w:rPr>
        <w:t xml:space="preserve"> the field of</w:t>
      </w:r>
      <w:r w:rsidRPr="00883E34">
        <w:rPr>
          <w:lang w:val="en-US"/>
        </w:rPr>
        <w:t xml:space="preserve"> living heritage.</w:t>
      </w:r>
      <w:r>
        <w:rPr>
          <w:lang w:val="en-US"/>
        </w:rPr>
        <w:t xml:space="preserve"> </w:t>
      </w:r>
      <w:r w:rsidRPr="00883E34">
        <w:rPr>
          <w:lang w:val="en-US"/>
        </w:rPr>
        <w:t>Key recommendations included simplifying reporting forms</w:t>
      </w:r>
      <w:r w:rsidR="005918E0">
        <w:rPr>
          <w:lang w:val="en-US"/>
        </w:rPr>
        <w:t xml:space="preserve"> and</w:t>
      </w:r>
      <w:r w:rsidRPr="00883E34">
        <w:rPr>
          <w:lang w:val="en-US"/>
        </w:rPr>
        <w:t xml:space="preserve"> improving online reporting tool</w:t>
      </w:r>
      <w:r w:rsidR="005918E0">
        <w:rPr>
          <w:lang w:val="en-US"/>
        </w:rPr>
        <w:t>s</w:t>
      </w:r>
      <w:r w:rsidRPr="00883E34">
        <w:rPr>
          <w:lang w:val="en-US"/>
        </w:rPr>
        <w:t>.</w:t>
      </w:r>
      <w:r>
        <w:rPr>
          <w:lang w:val="en-US"/>
        </w:rPr>
        <w:t xml:space="preserve"> </w:t>
      </w:r>
      <w:r w:rsidRPr="00883E34">
        <w:rPr>
          <w:lang w:val="en-US"/>
        </w:rPr>
        <w:t xml:space="preserve">Main suggestions focused on simplifying </w:t>
      </w:r>
      <w:r w:rsidR="004B012B">
        <w:rPr>
          <w:lang w:val="en-US"/>
        </w:rPr>
        <w:t>the</w:t>
      </w:r>
      <w:r w:rsidR="00EA7C27">
        <w:rPr>
          <w:lang w:val="en-US"/>
        </w:rPr>
        <w:t xml:space="preserve"> forms </w:t>
      </w:r>
      <w:r w:rsidRPr="00883E34">
        <w:rPr>
          <w:lang w:val="en-US"/>
        </w:rPr>
        <w:t>by reducing and merging questions and removing redundancies</w:t>
      </w:r>
      <w:r>
        <w:rPr>
          <w:lang w:val="en-US"/>
        </w:rPr>
        <w:t>.</w:t>
      </w:r>
      <w:r w:rsidR="005C1CCA">
        <w:rPr>
          <w:lang w:val="en-US"/>
        </w:rPr>
        <w:t xml:space="preserve"> </w:t>
      </w:r>
      <w:r w:rsidR="005C1CCA" w:rsidRPr="005868AA">
        <w:t xml:space="preserve">Further improvements may include optional responses for certain subsections, technical handbook for step-by-step guidance, and user-friendly design improvements. </w:t>
      </w:r>
    </w:p>
    <w:p w14:paraId="339C5750" w14:textId="0A9710C4" w:rsidR="00CC6225" w:rsidRPr="00CC6225" w:rsidRDefault="00CC6225" w:rsidP="002518AC">
      <w:pPr>
        <w:pStyle w:val="COMPara"/>
        <w:ind w:left="360"/>
        <w:jc w:val="both"/>
        <w:rPr>
          <w:lang w:val="en-US"/>
        </w:rPr>
      </w:pPr>
      <w:r w:rsidRPr="00CC6225">
        <w:rPr>
          <w:lang w:val="en-US"/>
        </w:rPr>
        <w:t xml:space="preserve">The approach to simplifying the Form ICH-10 for reporting on </w:t>
      </w:r>
      <w:r w:rsidRPr="002518AC">
        <w:rPr>
          <w:u w:val="single"/>
          <w:lang w:val="en-US"/>
        </w:rPr>
        <w:t>the implementation of the Convention and on the status of elements inscribed on the Representative List</w:t>
      </w:r>
      <w:r w:rsidRPr="00CC6225">
        <w:rPr>
          <w:lang w:val="en-US"/>
        </w:rPr>
        <w:t xml:space="preserve"> needs to be undertaken in a careful balance between structural reduction and the preservation of analytical integrity. The form currently consists of three main sections, with Section B representing the most complex component as it captures reporting against the Overall Results Framework through thematic areas, indicators, and assessment factors, alongside automatically calculated baselines. The proposed simplification therefore concentrates primarily on this section, while also reviewing Section A and Section C to eliminate duplication. The objective is to significantly reduce the number of questions, aiming for a substantial decrease through the deletion, merging, rephrasing, and regrouping of items, while maintaining clear alignment with the Overall Results Framework. </w:t>
      </w:r>
      <w:proofErr w:type="gramStart"/>
      <w:r w:rsidRPr="00CC6225">
        <w:rPr>
          <w:lang w:val="en-US"/>
        </w:rPr>
        <w:t>Particular attention</w:t>
      </w:r>
      <w:proofErr w:type="gramEnd"/>
      <w:r w:rsidRPr="00CC6225">
        <w:rPr>
          <w:lang w:val="en-US"/>
        </w:rPr>
        <w:t xml:space="preserve"> is given to improving the quality of responses by encouraging the use of scaled questions instead of binary formats, and to addressing limitations in the current baselines calculation system. At the same time, a need </w:t>
      </w:r>
      <w:r w:rsidR="004D7F6E">
        <w:rPr>
          <w:lang w:val="en-US"/>
        </w:rPr>
        <w:t>has been identified</w:t>
      </w:r>
      <w:r w:rsidR="004D7F6E" w:rsidRPr="00CC6225">
        <w:rPr>
          <w:lang w:val="en-US"/>
        </w:rPr>
        <w:t xml:space="preserve"> </w:t>
      </w:r>
      <w:r w:rsidRPr="00CC6225">
        <w:rPr>
          <w:lang w:val="en-US"/>
        </w:rPr>
        <w:t>to retain continuity with existing baselines, when and where meaningful.</w:t>
      </w:r>
    </w:p>
    <w:p w14:paraId="652A2586" w14:textId="0DDEC564" w:rsidR="00CC6225" w:rsidRPr="002518AC" w:rsidRDefault="005F270F" w:rsidP="00DD710E">
      <w:pPr>
        <w:pStyle w:val="COMPara"/>
        <w:ind w:left="360"/>
        <w:jc w:val="both"/>
        <w:rPr>
          <w:lang w:val="en-US"/>
        </w:rPr>
      </w:pPr>
      <w:r w:rsidRPr="00AA09C7">
        <w:rPr>
          <w:lang w:val="en-US"/>
        </w:rPr>
        <w:t xml:space="preserve">The approach to simplifying the </w:t>
      </w:r>
      <w:r>
        <w:rPr>
          <w:lang w:val="en-US"/>
        </w:rPr>
        <w:t>F</w:t>
      </w:r>
      <w:r w:rsidRPr="00AA09C7">
        <w:rPr>
          <w:lang w:val="en-US"/>
        </w:rPr>
        <w:t xml:space="preserve">orm ICH-11 </w:t>
      </w:r>
      <w:r w:rsidR="00D2720E">
        <w:rPr>
          <w:lang w:val="en-US"/>
        </w:rPr>
        <w:t xml:space="preserve">for reporting on </w:t>
      </w:r>
      <w:r w:rsidR="00D2720E" w:rsidRPr="002518AC">
        <w:rPr>
          <w:u w:val="single"/>
          <w:lang w:val="en-US"/>
        </w:rPr>
        <w:t>the status of elements inscribed on the Urgent Safeguarding</w:t>
      </w:r>
      <w:r w:rsidR="001654F0">
        <w:rPr>
          <w:u w:val="single"/>
          <w:lang w:val="en-US"/>
        </w:rPr>
        <w:t xml:space="preserve"> List</w:t>
      </w:r>
      <w:r w:rsidR="00D2720E">
        <w:rPr>
          <w:lang w:val="en-US"/>
        </w:rPr>
        <w:t xml:space="preserve"> </w:t>
      </w:r>
      <w:r w:rsidRPr="00AA09C7">
        <w:rPr>
          <w:lang w:val="en-US"/>
        </w:rPr>
        <w:t xml:space="preserve">will build on the proposed revisions to Section C of </w:t>
      </w:r>
      <w:r>
        <w:rPr>
          <w:lang w:val="en-US"/>
        </w:rPr>
        <w:t>F</w:t>
      </w:r>
      <w:r w:rsidRPr="00AA09C7">
        <w:rPr>
          <w:lang w:val="en-US"/>
        </w:rPr>
        <w:t>orm ICH-10</w:t>
      </w:r>
      <w:r>
        <w:rPr>
          <w:lang w:val="en-US"/>
        </w:rPr>
        <w:t xml:space="preserve"> dedicated to elements inscribed on the Representative List</w:t>
      </w:r>
      <w:r w:rsidRPr="00AA09C7">
        <w:rPr>
          <w:lang w:val="en-US"/>
        </w:rPr>
        <w:t xml:space="preserve">, while preserving the distinct objectives and </w:t>
      </w:r>
      <w:r w:rsidR="00D2720E">
        <w:rPr>
          <w:lang w:val="en-US"/>
        </w:rPr>
        <w:t xml:space="preserve">element-based </w:t>
      </w:r>
      <w:r w:rsidRPr="00AA09C7">
        <w:rPr>
          <w:lang w:val="en-US"/>
        </w:rPr>
        <w:t>specificities of each reporting tool. At the same time, the revision must be undertaken with particular care to maintain alignment with Form ICH-02</w:t>
      </w:r>
      <w:r>
        <w:rPr>
          <w:lang w:val="en-US"/>
        </w:rPr>
        <w:t xml:space="preserve"> USL to RL</w:t>
      </w:r>
      <w:r w:rsidRPr="00AA09C7">
        <w:rPr>
          <w:lang w:val="en-US"/>
        </w:rPr>
        <w:t>, used for requests to transfer elements from the Urgent Safeguarding List to the Representative List, thereby ensuring continuity and compatibility between these interconnected mechanisms</w:t>
      </w:r>
      <w:r w:rsidR="00CB2561">
        <w:rPr>
          <w:lang w:val="en-US"/>
        </w:rPr>
        <w:t xml:space="preserve"> </w:t>
      </w:r>
      <w:r w:rsidR="001654F0">
        <w:rPr>
          <w:lang w:val="en-US"/>
        </w:rPr>
        <w:t xml:space="preserve">because </w:t>
      </w:r>
      <w:r w:rsidR="00D2720E">
        <w:rPr>
          <w:rFonts w:eastAsia="MS Mincho"/>
        </w:rPr>
        <w:t>t</w:t>
      </w:r>
      <w:r w:rsidR="00D2720E" w:rsidRPr="005F270F">
        <w:rPr>
          <w:rFonts w:eastAsia="MS Mincho"/>
        </w:rPr>
        <w:t xml:space="preserve">he move to the single submission system would impact the process for </w:t>
      </w:r>
      <w:r w:rsidR="00D2720E" w:rsidRPr="00EC14BB">
        <w:rPr>
          <w:rFonts w:eastAsia="MS Mincho"/>
          <w:u w:val="single"/>
        </w:rPr>
        <w:t>transferring elements from the Urgent Safeguarding List to the Representative List</w:t>
      </w:r>
      <w:r w:rsidR="00D2720E" w:rsidRPr="005F270F">
        <w:rPr>
          <w:rFonts w:eastAsia="MS Mincho"/>
        </w:rPr>
        <w:t xml:space="preserve"> which became linked to periodic reporting as one of the outcomes of the Global Reflection on the Listing Mechanisms of the </w:t>
      </w:r>
      <w:r w:rsidR="00D2720E" w:rsidRPr="00EC14BB">
        <w:rPr>
          <w:lang w:val="en-US"/>
        </w:rPr>
        <w:t>Convention</w:t>
      </w:r>
      <w:r w:rsidR="00D2720E" w:rsidRPr="005F270F">
        <w:rPr>
          <w:rFonts w:eastAsia="MS Mincho"/>
        </w:rPr>
        <w:t xml:space="preserve"> (2018–2022).</w:t>
      </w:r>
      <w:r w:rsidR="00D2720E">
        <w:rPr>
          <w:rFonts w:eastAsia="MS Mincho"/>
        </w:rPr>
        <w:t xml:space="preserve"> W</w:t>
      </w:r>
      <w:r w:rsidR="00D2720E" w:rsidRPr="005F270F">
        <w:rPr>
          <w:rFonts w:eastAsia="MS Mincho"/>
        </w:rPr>
        <w:t xml:space="preserve">hen moving to the new system, requests to transfer elements from the Urgent Safeguarding List to the Representative List may be submitted by the single submission date of 30 June 2027 and every four years thereafter. </w:t>
      </w:r>
      <w:r w:rsidR="00C846D4">
        <w:rPr>
          <w:rFonts w:eastAsia="MS Mincho"/>
        </w:rPr>
        <w:t>Nonetheless</w:t>
      </w:r>
      <w:r w:rsidR="001654F0">
        <w:rPr>
          <w:rFonts w:eastAsia="MS Mincho"/>
        </w:rPr>
        <w:t>, n</w:t>
      </w:r>
      <w:r w:rsidR="00D2720E" w:rsidRPr="005F270F">
        <w:rPr>
          <w:rFonts w:eastAsia="MS Mincho"/>
        </w:rPr>
        <w:t xml:space="preserve">o substantial </w:t>
      </w:r>
      <w:r w:rsidR="00D2720E" w:rsidRPr="001E436D">
        <w:t>revisions</w:t>
      </w:r>
      <w:r w:rsidR="00D2720E" w:rsidRPr="005F270F">
        <w:rPr>
          <w:rFonts w:eastAsia="MS Mincho"/>
        </w:rPr>
        <w:t xml:space="preserve"> to Form ICH-02 USL to RL are expected. </w:t>
      </w:r>
      <w:r w:rsidR="00403B9D">
        <w:rPr>
          <w:rFonts w:eastAsia="MS Mincho"/>
        </w:rPr>
        <w:t>Furthermore, t</w:t>
      </w:r>
      <w:r w:rsidR="00D2720E" w:rsidRPr="005F270F">
        <w:rPr>
          <w:rFonts w:eastAsia="MS Mincho"/>
        </w:rPr>
        <w:t>he process to transfer an element from the Representative List to the Urgent Safeguarding List</w:t>
      </w:r>
      <w:r w:rsidR="00403B9D">
        <w:rPr>
          <w:rFonts w:eastAsia="MS Mincho"/>
        </w:rPr>
        <w:t>, for which the statutory deadline is 31 January,</w:t>
      </w:r>
      <w:r w:rsidR="00D2720E" w:rsidRPr="005F270F">
        <w:rPr>
          <w:rFonts w:eastAsia="MS Mincho"/>
        </w:rPr>
        <w:t xml:space="preserve"> is not expected to be impacted by the move to the new reporting system</w:t>
      </w:r>
      <w:r>
        <w:rPr>
          <w:lang w:val="en-US"/>
        </w:rPr>
        <w:t>.</w:t>
      </w:r>
    </w:p>
    <w:p w14:paraId="40F7308B" w14:textId="44ECEE06" w:rsidR="006D4510" w:rsidRDefault="003D324B" w:rsidP="006D4510">
      <w:pPr>
        <w:pStyle w:val="COMPara"/>
        <w:ind w:left="360"/>
        <w:jc w:val="both"/>
        <w:rPr>
          <w:lang w:val="en-US"/>
        </w:rPr>
      </w:pPr>
      <w:r w:rsidRPr="005868AA">
        <w:t xml:space="preserve">The </w:t>
      </w:r>
      <w:r w:rsidR="0088046D">
        <w:t xml:space="preserve">above-mentioned </w:t>
      </w:r>
      <w:r w:rsidRPr="005868AA">
        <w:t>consultation</w:t>
      </w:r>
      <w:r>
        <w:t>s</w:t>
      </w:r>
      <w:r w:rsidRPr="005868AA">
        <w:t xml:space="preserve"> </w:t>
      </w:r>
      <w:r>
        <w:t xml:space="preserve">also </w:t>
      </w:r>
      <w:r w:rsidRPr="005868AA">
        <w:t xml:space="preserve">highlighted the need for the periodic reporting system to cover the status of programmes, projects and activities </w:t>
      </w:r>
      <w:r w:rsidR="00912296">
        <w:t>selected</w:t>
      </w:r>
      <w:r w:rsidR="00912296" w:rsidRPr="005868AA">
        <w:t xml:space="preserve"> </w:t>
      </w:r>
      <w:r w:rsidR="00912296">
        <w:t>for</w:t>
      </w:r>
      <w:r w:rsidR="00912296" w:rsidRPr="005868AA">
        <w:t xml:space="preserve"> </w:t>
      </w:r>
      <w:r w:rsidRPr="005868AA">
        <w:t xml:space="preserve">the </w:t>
      </w:r>
      <w:r w:rsidRPr="002518AC">
        <w:rPr>
          <w:u w:val="single"/>
        </w:rPr>
        <w:t>Register of Good Safeguarding Practices</w:t>
      </w:r>
      <w:r w:rsidRPr="005868AA">
        <w:t xml:space="preserve">, which is not the case under the current </w:t>
      </w:r>
      <w:r w:rsidR="00B658EA" w:rsidRPr="005868AA">
        <w:t>system</w:t>
      </w:r>
      <w:r w:rsidR="00B658EA">
        <w:t>.</w:t>
      </w:r>
      <w:r w:rsidR="00B658EA" w:rsidRPr="00084E63">
        <w:rPr>
          <w:lang w:val="en-US"/>
        </w:rPr>
        <w:t xml:space="preserve"> The</w:t>
      </w:r>
      <w:r w:rsidR="006D4510" w:rsidRPr="00084E63">
        <w:rPr>
          <w:lang w:val="en-US"/>
        </w:rPr>
        <w:t xml:space="preserve"> planned move would not have an immediate impact on the </w:t>
      </w:r>
      <w:proofErr w:type="spellStart"/>
      <w:r w:rsidR="006D4510" w:rsidRPr="00084E63">
        <w:rPr>
          <w:lang w:val="en-US"/>
        </w:rPr>
        <w:t>programmes</w:t>
      </w:r>
      <w:proofErr w:type="spellEnd"/>
      <w:r w:rsidR="006D4510" w:rsidRPr="00084E63">
        <w:rPr>
          <w:lang w:val="en-US"/>
        </w:rPr>
        <w:t xml:space="preserve">, projects and activities </w:t>
      </w:r>
      <w:r w:rsidR="00912296">
        <w:rPr>
          <w:lang w:val="en-US"/>
        </w:rPr>
        <w:t>selected for</w:t>
      </w:r>
      <w:r w:rsidR="006D4510" w:rsidRPr="00084E63">
        <w:rPr>
          <w:lang w:val="en-US"/>
        </w:rPr>
        <w:t xml:space="preserve"> the Register of Good Safeguarding Practices. This is mainly because the setup of the Register differs from that of the Representative List and the Urgent Safeguarding List, in that it recognizes ‘completed’ and ‘ongoing’ interventions. </w:t>
      </w:r>
      <w:r w:rsidR="00E446D1" w:rsidRPr="00084E63">
        <w:rPr>
          <w:lang w:val="en-US"/>
        </w:rPr>
        <w:t xml:space="preserve">As such, the reporting logic for the two Lists </w:t>
      </w:r>
      <w:r w:rsidR="00E446D1">
        <w:rPr>
          <w:lang w:val="en-US"/>
        </w:rPr>
        <w:t xml:space="preserve">may </w:t>
      </w:r>
      <w:r w:rsidR="00E446D1" w:rsidRPr="00084E63">
        <w:rPr>
          <w:lang w:val="en-US"/>
        </w:rPr>
        <w:t>not</w:t>
      </w:r>
      <w:r w:rsidR="00E446D1">
        <w:rPr>
          <w:lang w:val="en-US"/>
        </w:rPr>
        <w:t xml:space="preserve"> be</w:t>
      </w:r>
      <w:r w:rsidR="00E446D1" w:rsidRPr="00084E63">
        <w:rPr>
          <w:lang w:val="en-US"/>
        </w:rPr>
        <w:t xml:space="preserve"> automatically applicable to the Register.</w:t>
      </w:r>
      <w:r w:rsidR="00E446D1">
        <w:rPr>
          <w:lang w:val="en-US"/>
        </w:rPr>
        <w:t xml:space="preserve"> </w:t>
      </w:r>
      <w:r>
        <w:rPr>
          <w:lang w:val="en-US"/>
        </w:rPr>
        <w:t xml:space="preserve">In parallel, the </w:t>
      </w:r>
      <w:r w:rsidR="00F13B69">
        <w:rPr>
          <w:lang w:val="en-US"/>
        </w:rPr>
        <w:t>G</w:t>
      </w:r>
      <w:r>
        <w:rPr>
          <w:lang w:val="en-US"/>
        </w:rPr>
        <w:t xml:space="preserve">overning </w:t>
      </w:r>
      <w:r w:rsidR="00F13B69">
        <w:rPr>
          <w:lang w:val="en-US"/>
        </w:rPr>
        <w:t>B</w:t>
      </w:r>
      <w:r>
        <w:rPr>
          <w:lang w:val="en-US"/>
        </w:rPr>
        <w:t>odies of the Convention ha</w:t>
      </w:r>
      <w:r w:rsidR="00BE32BE">
        <w:rPr>
          <w:lang w:val="en-US"/>
        </w:rPr>
        <w:t>ve</w:t>
      </w:r>
      <w:r>
        <w:rPr>
          <w:lang w:val="en-US"/>
        </w:rPr>
        <w:t xml:space="preserve"> been undertaking the reflection on a broader implementation of Article 18 of the Convention to facilitate the sharing of good safeguarding experiences (see the </w:t>
      </w:r>
      <w:hyperlink r:id="rId17" w:history="1">
        <w:r w:rsidRPr="00C15B5E">
          <w:rPr>
            <w:rStyle w:val="Hyperlink"/>
            <w:lang w:val="en-US"/>
          </w:rPr>
          <w:t>preliminary version</w:t>
        </w:r>
      </w:hyperlink>
      <w:r>
        <w:rPr>
          <w:lang w:val="en-US"/>
        </w:rPr>
        <w:t xml:space="preserve"> of the online platform, launched in May 2025).</w:t>
      </w:r>
    </w:p>
    <w:p w14:paraId="40844A85" w14:textId="0AA720FB" w:rsidR="00B11417" w:rsidRPr="000B445A" w:rsidRDefault="00B11417" w:rsidP="000B445A">
      <w:pPr>
        <w:pStyle w:val="COMPara"/>
        <w:ind w:left="360"/>
        <w:jc w:val="both"/>
        <w:rPr>
          <w:lang w:val="en-US"/>
        </w:rPr>
      </w:pPr>
      <w:r w:rsidRPr="005868AA">
        <w:t xml:space="preserve">The technically complex work of simplifying the periodic reporting forms is expected to </w:t>
      </w:r>
      <w:r w:rsidR="000B445A">
        <w:t>benefit from the discussions to be undertaken during the</w:t>
      </w:r>
      <w:r w:rsidRPr="005868AA">
        <w:t xml:space="preserve"> </w:t>
      </w:r>
      <w:r w:rsidRPr="002518AC">
        <w:t xml:space="preserve">global reflection meeting </w:t>
      </w:r>
      <w:r w:rsidR="000B445A">
        <w:t>in question</w:t>
      </w:r>
      <w:r w:rsidRPr="005868AA">
        <w:t xml:space="preserve">, to fine-tune </w:t>
      </w:r>
      <w:r w:rsidRPr="000B445A">
        <w:t>the proposed revisions before the forms are made available to States Parties</w:t>
      </w:r>
      <w:r w:rsidR="000B445A" w:rsidRPr="000B445A">
        <w:t xml:space="preserve">. The aim is to release a </w:t>
      </w:r>
      <w:r w:rsidR="000B445A" w:rsidRPr="002518AC">
        <w:t>Word version of the revised forms by 30 June 2026 (target).</w:t>
      </w:r>
    </w:p>
    <w:p w14:paraId="6137255E" w14:textId="2F2BC413" w:rsidR="00410E1D" w:rsidRPr="00114132" w:rsidRDefault="005F270F" w:rsidP="002518AC">
      <w:pPr>
        <w:pStyle w:val="COMPara"/>
        <w:numPr>
          <w:ilvl w:val="0"/>
          <w:numId w:val="26"/>
        </w:numPr>
        <w:spacing w:before="120"/>
        <w:ind w:left="357" w:hanging="357"/>
        <w:jc w:val="both"/>
        <w:rPr>
          <w:b/>
          <w:bCs/>
          <w:color w:val="000000" w:themeColor="text1"/>
        </w:rPr>
      </w:pPr>
      <w:r w:rsidRPr="002518AC">
        <w:rPr>
          <w:b/>
          <w:bCs/>
          <w:color w:val="000000" w:themeColor="text1"/>
        </w:rPr>
        <w:t xml:space="preserve">Strengthening capacities for periodic </w:t>
      </w:r>
      <w:r>
        <w:rPr>
          <w:b/>
          <w:bCs/>
          <w:color w:val="000000" w:themeColor="text1"/>
        </w:rPr>
        <w:t>r</w:t>
      </w:r>
      <w:r w:rsidR="00410E1D">
        <w:rPr>
          <w:b/>
          <w:bCs/>
          <w:color w:val="000000" w:themeColor="text1"/>
        </w:rPr>
        <w:t>eporting</w:t>
      </w:r>
    </w:p>
    <w:p w14:paraId="09669400" w14:textId="58C45F6B" w:rsidR="00410E1D" w:rsidRDefault="00E01E4F" w:rsidP="00410E1D">
      <w:pPr>
        <w:pStyle w:val="COMPara"/>
        <w:ind w:left="360"/>
        <w:jc w:val="both"/>
      </w:pPr>
      <w:r>
        <w:rPr>
          <w:lang w:val="en-US"/>
        </w:rPr>
        <w:t xml:space="preserve">The shift towards the global submission system for periodic reporting will </w:t>
      </w:r>
      <w:r w:rsidR="00410E1D">
        <w:rPr>
          <w:lang w:val="en-US"/>
        </w:rPr>
        <w:t xml:space="preserve">require </w:t>
      </w:r>
      <w:r>
        <w:t>c</w:t>
      </w:r>
      <w:r w:rsidRPr="005868AA">
        <w:t>arefully planning a targeted capacity-building strategy, taking into account the financial and human resources required in light of the new reporting calendar, while keeping key cornerstones of the current strategy, such as the regional approach and the emphasis on peer learning, which proved effective during the first regional cycle of reporting. In this framework, capacity-building activities could benefit from strengthened cooperation and collaboration with category 2 centres, which have played a pivotal role in organizing and hosting training activities during the current cycle and have expressed readiness for a broader involvement in the periodic reporting exercise</w:t>
      </w:r>
      <w:r>
        <w:t>.</w:t>
      </w:r>
    </w:p>
    <w:p w14:paraId="677F226E" w14:textId="768C8F69" w:rsidR="002A3D81" w:rsidRDefault="00702B92" w:rsidP="00410E1D">
      <w:pPr>
        <w:pStyle w:val="COMPara"/>
        <w:ind w:left="360"/>
        <w:jc w:val="both"/>
      </w:pPr>
      <w:r w:rsidRPr="00702B92">
        <w:t xml:space="preserve">To date, the Secretariat has planned a series of activities at the global level with the support of category 2 centres. These comprise an online Training of Trainers, scheduled </w:t>
      </w:r>
      <w:r w:rsidR="000C50B4">
        <w:t>from</w:t>
      </w:r>
      <w:r w:rsidRPr="00702B92">
        <w:t xml:space="preserve"> 17</w:t>
      </w:r>
      <w:r w:rsidR="000C50B4">
        <w:t xml:space="preserve"> to </w:t>
      </w:r>
      <w:r w:rsidRPr="00702B92">
        <w:t xml:space="preserve">18 September 2026, and the publication of updated capacity-building </w:t>
      </w:r>
      <w:r w:rsidR="000C50B4">
        <w:t>materials</w:t>
      </w:r>
      <w:r w:rsidRPr="00702B92">
        <w:t xml:space="preserve"> for focal points on the Convention’s </w:t>
      </w:r>
      <w:r w:rsidR="000C50B4">
        <w:t xml:space="preserve">dedicated </w:t>
      </w:r>
      <w:hyperlink r:id="rId18" w:history="1">
        <w:r w:rsidRPr="000C50B4">
          <w:rPr>
            <w:rStyle w:val="Hyperlink"/>
          </w:rPr>
          <w:t>webpage</w:t>
        </w:r>
      </w:hyperlink>
      <w:r w:rsidR="000C50B4">
        <w:t>,</w:t>
      </w:r>
      <w:r w:rsidRPr="00702B92">
        <w:t xml:space="preserve"> between September and October 2026. At the same time, consultations with category 2 centre</w:t>
      </w:r>
      <w:r w:rsidR="000C50B4">
        <w:t>s</w:t>
      </w:r>
      <w:r w:rsidRPr="00702B92">
        <w:t xml:space="preserve"> </w:t>
      </w:r>
      <w:r w:rsidR="00CA77F7">
        <w:t>are</w:t>
      </w:r>
      <w:r w:rsidRPr="00702B92">
        <w:t xml:space="preserve"> ongoing to determine concrete modalities for cooperation at the regional level.</w:t>
      </w:r>
    </w:p>
    <w:p w14:paraId="4C8DE452" w14:textId="2C29FF16" w:rsidR="007D578F" w:rsidRDefault="007D578F" w:rsidP="00410E1D">
      <w:pPr>
        <w:pStyle w:val="COMPara"/>
        <w:ind w:left="360"/>
        <w:jc w:val="both"/>
      </w:pPr>
      <w:r w:rsidRPr="00B503CA">
        <w:rPr>
          <w:lang w:val="en-US"/>
        </w:rPr>
        <w:t>While these planned activities represent a significant and highly positive step forward in strengthening capacities for periodic reporting, they will not be sufficient on their own to ensure equitable capacity-building across all regions. Additional financial and human resources will be required to support a more sustained and inclusive implementation, with a view to ensuring that all regions are adequately covered. In this regard, further support would be important to consolidate and scale up these efforts.</w:t>
      </w:r>
    </w:p>
    <w:p w14:paraId="7C019C6E" w14:textId="250A5759" w:rsidR="00100D36" w:rsidRPr="002518AC" w:rsidRDefault="00100D36" w:rsidP="002518AC">
      <w:pPr>
        <w:pStyle w:val="COMPara"/>
        <w:numPr>
          <w:ilvl w:val="0"/>
          <w:numId w:val="26"/>
        </w:numPr>
        <w:spacing w:before="240"/>
        <w:ind w:left="357" w:hanging="357"/>
        <w:jc w:val="both"/>
        <w:rPr>
          <w:b/>
          <w:bCs/>
          <w:color w:val="000000" w:themeColor="text1"/>
        </w:rPr>
      </w:pPr>
      <w:r>
        <w:rPr>
          <w:b/>
          <w:bCs/>
          <w:color w:val="000000" w:themeColor="text1"/>
        </w:rPr>
        <w:t>Global reflection meeting</w:t>
      </w:r>
    </w:p>
    <w:p w14:paraId="212BB40E" w14:textId="77777777" w:rsidR="00FE620E" w:rsidRDefault="00100D36" w:rsidP="003D3FB6">
      <w:pPr>
        <w:pStyle w:val="COMPara"/>
        <w:ind w:left="360"/>
        <w:jc w:val="both"/>
      </w:pPr>
      <w:r w:rsidRPr="002518AC">
        <w:t xml:space="preserve">The reflection year, which concludes the current reporting cycle, will be instrumental in assessing lessons learned and identifying gaps, with a view to further reinforcing the Convention’s reporting mechanisms and enhancing results-based monitoring. As a milestone of the reflection year, the </w:t>
      </w:r>
      <w:r w:rsidR="00FE620E">
        <w:t xml:space="preserve">present </w:t>
      </w:r>
      <w:r w:rsidRPr="002518AC">
        <w:t xml:space="preserve">global reflection meeting will </w:t>
      </w:r>
      <w:r w:rsidR="0038130A" w:rsidRPr="002518AC">
        <w:t xml:space="preserve">take stock of lessons learned, while laying the groundwork for the cycles ahead </w:t>
      </w:r>
      <w:proofErr w:type="gramStart"/>
      <w:r w:rsidR="0038130A" w:rsidRPr="002518AC">
        <w:t>in light of</w:t>
      </w:r>
      <w:proofErr w:type="gramEnd"/>
      <w:r w:rsidR="0038130A" w:rsidRPr="002518AC">
        <w:t xml:space="preserve"> the move towards a single global submission system for periodic reporting.</w:t>
      </w:r>
      <w:r w:rsidR="003D3FB6" w:rsidRPr="002518AC">
        <w:t xml:space="preserve"> </w:t>
      </w:r>
    </w:p>
    <w:p w14:paraId="41093EDD" w14:textId="4F5893D0" w:rsidR="00FE620E" w:rsidRPr="00EF6FB6" w:rsidRDefault="004F1737" w:rsidP="003D3FB6">
      <w:pPr>
        <w:pStyle w:val="COMPara"/>
        <w:ind w:left="360"/>
        <w:jc w:val="both"/>
      </w:pPr>
      <w:r w:rsidRPr="002518AC">
        <w:t>B</w:t>
      </w:r>
      <w:r w:rsidR="0038130A" w:rsidRPr="002518AC">
        <w:t xml:space="preserve">ringing together focal points for periodic reporting (the Secretariat </w:t>
      </w:r>
      <w:r w:rsidR="00FE620E">
        <w:t>called for</w:t>
      </w:r>
      <w:r w:rsidR="0038130A" w:rsidRPr="002518AC">
        <w:t xml:space="preserve"> the designation of focal point through a circular letter of 13 March 2026) and key technical stakeholder</w:t>
      </w:r>
      <w:r w:rsidRPr="002518AC">
        <w:t>s</w:t>
      </w:r>
      <w:r w:rsidR="0038130A" w:rsidRPr="002518AC">
        <w:t xml:space="preserve"> the meeting </w:t>
      </w:r>
      <w:r w:rsidR="00C846D4">
        <w:t xml:space="preserve">has been designed to </w:t>
      </w:r>
      <w:r w:rsidR="0038130A" w:rsidRPr="002518AC">
        <w:t>serve as an important platform for refining revisions to the periodic reporting forms.</w:t>
      </w:r>
      <w:r w:rsidRPr="002518AC">
        <w:t xml:space="preserve"> </w:t>
      </w:r>
      <w:r w:rsidR="0038130A" w:rsidRPr="002518AC">
        <w:t>In addition, the meeting provide</w:t>
      </w:r>
      <w:r w:rsidR="00C846D4">
        <w:t>s</w:t>
      </w:r>
      <w:r w:rsidR="0038130A" w:rsidRPr="002518AC">
        <w:t xml:space="preserve"> an opportunity for the Secretariat to share information on the capacity-building approach for the future periodic </w:t>
      </w:r>
      <w:r w:rsidR="0038130A" w:rsidRPr="00EF6FB6">
        <w:t>reporting cycle</w:t>
      </w:r>
      <w:r w:rsidR="00A66CD3" w:rsidRPr="00EF6FB6">
        <w:t>s</w:t>
      </w:r>
      <w:r w:rsidR="0038130A" w:rsidRPr="00EF6FB6">
        <w:t>.</w:t>
      </w:r>
      <w:r w:rsidR="003D201B" w:rsidRPr="00EF6FB6">
        <w:t xml:space="preserve"> </w:t>
      </w:r>
    </w:p>
    <w:p w14:paraId="47AED555" w14:textId="75C39042" w:rsidR="00100D36" w:rsidRPr="002518AC" w:rsidRDefault="00FE620E" w:rsidP="003D3FB6">
      <w:pPr>
        <w:pStyle w:val="COMPara"/>
        <w:ind w:left="360"/>
        <w:jc w:val="both"/>
      </w:pPr>
      <w:r w:rsidRPr="00EF6FB6">
        <w:t>T</w:t>
      </w:r>
      <w:r w:rsidR="003D201B" w:rsidRPr="00EF6FB6">
        <w:t xml:space="preserve">he </w:t>
      </w:r>
      <w:hyperlink r:id="rId19" w:history="1">
        <w:r w:rsidR="003D201B" w:rsidRPr="008E05A5">
          <w:rPr>
            <w:rStyle w:val="Hyperlink"/>
          </w:rPr>
          <w:t>dedicated webpage</w:t>
        </w:r>
      </w:hyperlink>
      <w:r w:rsidR="003D201B" w:rsidRPr="00EF6FB6">
        <w:t xml:space="preserve"> </w:t>
      </w:r>
      <w:r w:rsidRPr="00EF6FB6">
        <w:t xml:space="preserve">provides </w:t>
      </w:r>
      <w:r w:rsidR="003D201B" w:rsidRPr="00EF6FB6">
        <w:t xml:space="preserve">the agenda and timetable, background information and the list of invitees, while </w:t>
      </w:r>
      <w:r w:rsidRPr="00EF6FB6">
        <w:t xml:space="preserve">the present </w:t>
      </w:r>
      <w:r w:rsidR="003D201B" w:rsidRPr="00EF6FB6">
        <w:t>document</w:t>
      </w:r>
      <w:r w:rsidR="003D201B" w:rsidRPr="002518AC">
        <w:t xml:space="preserve"> </w:t>
      </w:r>
      <w:r>
        <w:t>includes</w:t>
      </w:r>
      <w:r w:rsidR="003D201B" w:rsidRPr="002518AC">
        <w:t xml:space="preserve"> a list of </w:t>
      </w:r>
      <w:r>
        <w:t xml:space="preserve">main </w:t>
      </w:r>
      <w:r w:rsidR="003D201B" w:rsidRPr="002518AC">
        <w:t xml:space="preserve">statutory documents and decisions </w:t>
      </w:r>
      <w:r>
        <w:t xml:space="preserve">of the </w:t>
      </w:r>
      <w:r w:rsidR="00F13B69">
        <w:t>G</w:t>
      </w:r>
      <w:r>
        <w:t xml:space="preserve">overning </w:t>
      </w:r>
      <w:r w:rsidR="00F13B69">
        <w:t>B</w:t>
      </w:r>
      <w:r>
        <w:t xml:space="preserve">odies </w:t>
      </w:r>
      <w:r w:rsidR="003D201B" w:rsidRPr="002518AC">
        <w:t>related to periodic reporting under the 2003 Convention (</w:t>
      </w:r>
      <w:hyperlink w:anchor="AnnexI" w:history="1">
        <w:r w:rsidR="003D201B" w:rsidRPr="001D5494">
          <w:rPr>
            <w:rStyle w:val="Hyperlink"/>
          </w:rPr>
          <w:t>Annex I</w:t>
        </w:r>
      </w:hyperlink>
      <w:r w:rsidR="003D201B" w:rsidRPr="002518AC">
        <w:t>)</w:t>
      </w:r>
      <w:r>
        <w:t>,</w:t>
      </w:r>
      <w:r w:rsidR="003D201B" w:rsidRPr="002518AC">
        <w:t xml:space="preserve"> as well as the calendar and timeline for the move towards the single global submission system of periodic reporting</w:t>
      </w:r>
      <w:r>
        <w:t xml:space="preserve"> (</w:t>
      </w:r>
      <w:hyperlink w:anchor="AnnexII" w:history="1">
        <w:r w:rsidRPr="001D5494">
          <w:rPr>
            <w:rStyle w:val="Hyperlink"/>
          </w:rPr>
          <w:t>Annex II</w:t>
        </w:r>
      </w:hyperlink>
      <w:r>
        <w:t>)</w:t>
      </w:r>
      <w:r w:rsidR="003D201B" w:rsidRPr="002518AC">
        <w:t>.</w:t>
      </w:r>
    </w:p>
    <w:p w14:paraId="1C828916" w14:textId="77777777" w:rsidR="00FE620E" w:rsidRDefault="00FE620E">
      <w:pPr>
        <w:rPr>
          <w:rFonts w:ascii="Arial" w:hAnsi="Arial" w:cs="Arial"/>
          <w:b/>
          <w:bCs/>
          <w:snapToGrid w:val="0"/>
          <w:sz w:val="22"/>
          <w:szCs w:val="22"/>
          <w:lang w:val="en-US" w:eastAsia="en-US"/>
        </w:rPr>
      </w:pPr>
      <w:r>
        <w:rPr>
          <w:b/>
          <w:bCs/>
          <w:lang w:val="en-US"/>
        </w:rPr>
        <w:br w:type="page"/>
      </w:r>
    </w:p>
    <w:p w14:paraId="593DA637" w14:textId="7CAD3977" w:rsidR="00A94EF3" w:rsidRPr="002518AC" w:rsidRDefault="00FC582E" w:rsidP="00E01E4F">
      <w:pPr>
        <w:pStyle w:val="COMPara"/>
        <w:numPr>
          <w:ilvl w:val="0"/>
          <w:numId w:val="0"/>
        </w:numPr>
        <w:spacing w:before="120"/>
        <w:jc w:val="both"/>
        <w:rPr>
          <w:b/>
          <w:bCs/>
          <w:lang w:val="en-US"/>
        </w:rPr>
      </w:pPr>
      <w:bookmarkStart w:id="0" w:name="AnnexI"/>
      <w:bookmarkEnd w:id="0"/>
      <w:r w:rsidRPr="001D5494">
        <w:rPr>
          <w:rStyle w:val="Heading4Char"/>
        </w:rPr>
        <w:t>Annex I</w:t>
      </w:r>
      <w:r w:rsidRPr="002518AC">
        <w:rPr>
          <w:b/>
          <w:bCs/>
          <w:lang w:val="en-US"/>
        </w:rPr>
        <w:t xml:space="preserve">: </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84E63" w:rsidRPr="00B82A13" w14:paraId="353D5D13" w14:textId="77777777" w:rsidTr="00701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2F2F2" w:themeFill="background1" w:themeFillShade="F2"/>
          </w:tcPr>
          <w:p w14:paraId="542547B9" w14:textId="7AA17C32" w:rsidR="00084E63" w:rsidRPr="00AA09C7" w:rsidRDefault="00FE620E" w:rsidP="002C64EF">
            <w:pPr>
              <w:pStyle w:val="COMPara"/>
              <w:keepNext/>
              <w:numPr>
                <w:ilvl w:val="0"/>
                <w:numId w:val="0"/>
              </w:numPr>
              <w:spacing w:before="120"/>
              <w:jc w:val="both"/>
              <w:rPr>
                <w:lang w:val="en-US"/>
              </w:rPr>
            </w:pPr>
            <w:r>
              <w:rPr>
                <w:lang w:val="en-US"/>
              </w:rPr>
              <w:t xml:space="preserve">Statutory documents and </w:t>
            </w:r>
            <w:r w:rsidR="00951A36">
              <w:rPr>
                <w:lang w:val="en-US"/>
              </w:rPr>
              <w:t xml:space="preserve">decisions/resolutions of </w:t>
            </w:r>
            <w:r w:rsidR="004C6A7C">
              <w:rPr>
                <w:lang w:val="en-US"/>
              </w:rPr>
              <w:t xml:space="preserve">the </w:t>
            </w:r>
            <w:r w:rsidR="00F13B69">
              <w:rPr>
                <w:lang w:val="en-US"/>
              </w:rPr>
              <w:t>G</w:t>
            </w:r>
            <w:r w:rsidR="004C6A7C">
              <w:rPr>
                <w:lang w:val="en-US"/>
              </w:rPr>
              <w:t xml:space="preserve">overning </w:t>
            </w:r>
            <w:r w:rsidR="00F13B69">
              <w:rPr>
                <w:lang w:val="en-US"/>
              </w:rPr>
              <w:t>B</w:t>
            </w:r>
            <w:r w:rsidR="004C6A7C">
              <w:rPr>
                <w:lang w:val="en-US"/>
              </w:rPr>
              <w:t>odies of the 2003 Convention</w:t>
            </w:r>
            <w:r w:rsidR="00951A36">
              <w:rPr>
                <w:lang w:val="en-US"/>
              </w:rPr>
              <w:t xml:space="preserve"> related to periodic reporting</w:t>
            </w:r>
            <w:r w:rsidR="00951A36">
              <w:rPr>
                <w:rStyle w:val="FootnoteReference"/>
                <w:lang w:val="en-US"/>
              </w:rPr>
              <w:footnoteReference w:id="1"/>
            </w:r>
          </w:p>
        </w:tc>
      </w:tr>
    </w:tbl>
    <w:p w14:paraId="24346890" w14:textId="10C056E0" w:rsidR="00657E6B" w:rsidRPr="002518AC" w:rsidRDefault="00657E6B" w:rsidP="00E01E4F">
      <w:pPr>
        <w:pStyle w:val="COMPara"/>
        <w:numPr>
          <w:ilvl w:val="0"/>
          <w:numId w:val="0"/>
        </w:numPr>
        <w:spacing w:before="120"/>
        <w:jc w:val="both"/>
        <w:rPr>
          <w:sz w:val="18"/>
          <w:szCs w:val="18"/>
          <w:lang w:val="en-US"/>
        </w:rPr>
      </w:pPr>
    </w:p>
    <w:tbl>
      <w:tblPr>
        <w:tblStyle w:val="TableGrid"/>
        <w:tblW w:w="9678" w:type="dxa"/>
        <w:tblLayout w:type="fixed"/>
        <w:tblLook w:val="04A0" w:firstRow="1" w:lastRow="0" w:firstColumn="1" w:lastColumn="0" w:noHBand="0" w:noVBand="1"/>
      </w:tblPr>
      <w:tblGrid>
        <w:gridCol w:w="4815"/>
        <w:gridCol w:w="2410"/>
        <w:gridCol w:w="2453"/>
      </w:tblGrid>
      <w:tr w:rsidR="00967267" w14:paraId="79DA4E83" w14:textId="77777777" w:rsidTr="002518AC">
        <w:tc>
          <w:tcPr>
            <w:tcW w:w="4815" w:type="dxa"/>
            <w:shd w:val="clear" w:color="auto" w:fill="C6D9F1" w:themeFill="text2" w:themeFillTint="33"/>
          </w:tcPr>
          <w:p w14:paraId="185435B5" w14:textId="59B479B6" w:rsidR="00967267" w:rsidRPr="002518AC" w:rsidRDefault="00967267" w:rsidP="00AD5675">
            <w:pPr>
              <w:pStyle w:val="COMPara"/>
              <w:numPr>
                <w:ilvl w:val="0"/>
                <w:numId w:val="0"/>
              </w:numPr>
              <w:spacing w:beforeLines="60" w:before="144" w:afterLines="60" w:after="144"/>
              <w:jc w:val="both"/>
              <w:rPr>
                <w:b/>
                <w:bCs/>
                <w:lang w:val="en-US"/>
              </w:rPr>
            </w:pPr>
            <w:r w:rsidRPr="002518AC">
              <w:rPr>
                <w:b/>
                <w:bCs/>
                <w:lang w:val="en-US"/>
              </w:rPr>
              <w:t>Sessions</w:t>
            </w:r>
          </w:p>
        </w:tc>
        <w:tc>
          <w:tcPr>
            <w:tcW w:w="2410" w:type="dxa"/>
            <w:shd w:val="clear" w:color="auto" w:fill="C6D9F1" w:themeFill="text2" w:themeFillTint="33"/>
          </w:tcPr>
          <w:p w14:paraId="719D2323" w14:textId="29FB174A" w:rsidR="00967267" w:rsidRPr="002518AC" w:rsidRDefault="00967267" w:rsidP="00AD5675">
            <w:pPr>
              <w:pStyle w:val="COMPara"/>
              <w:numPr>
                <w:ilvl w:val="0"/>
                <w:numId w:val="0"/>
              </w:numPr>
              <w:spacing w:beforeLines="60" w:before="144" w:afterLines="60" w:after="144"/>
              <w:jc w:val="both"/>
              <w:rPr>
                <w:b/>
                <w:bCs/>
                <w:lang w:val="en-US"/>
              </w:rPr>
            </w:pPr>
            <w:r w:rsidRPr="002518AC">
              <w:rPr>
                <w:b/>
                <w:bCs/>
                <w:lang w:val="en-US"/>
              </w:rPr>
              <w:t>Documents</w:t>
            </w:r>
          </w:p>
        </w:tc>
        <w:tc>
          <w:tcPr>
            <w:tcW w:w="2453" w:type="dxa"/>
            <w:shd w:val="clear" w:color="auto" w:fill="C6D9F1" w:themeFill="text2" w:themeFillTint="33"/>
          </w:tcPr>
          <w:p w14:paraId="3459F35F" w14:textId="3EBBC182" w:rsidR="00967267" w:rsidRPr="002518AC" w:rsidRDefault="00967267" w:rsidP="00AD5675">
            <w:pPr>
              <w:pStyle w:val="COMPara"/>
              <w:numPr>
                <w:ilvl w:val="0"/>
                <w:numId w:val="0"/>
              </w:numPr>
              <w:spacing w:beforeLines="60" w:before="144" w:afterLines="60" w:after="144"/>
              <w:jc w:val="both"/>
              <w:rPr>
                <w:b/>
                <w:bCs/>
                <w:lang w:val="en-US"/>
              </w:rPr>
            </w:pPr>
            <w:r w:rsidRPr="002518AC">
              <w:rPr>
                <w:b/>
                <w:bCs/>
                <w:lang w:val="en-US"/>
              </w:rPr>
              <w:t>Outcomes</w:t>
            </w:r>
          </w:p>
        </w:tc>
      </w:tr>
      <w:tr w:rsidR="00D52D59" w:rsidRPr="00B82A13" w14:paraId="39C5F466" w14:textId="77777777" w:rsidTr="002518AC">
        <w:tc>
          <w:tcPr>
            <w:tcW w:w="9678" w:type="dxa"/>
            <w:gridSpan w:val="3"/>
            <w:shd w:val="clear" w:color="auto" w:fill="F2F2F2" w:themeFill="background1" w:themeFillShade="F2"/>
          </w:tcPr>
          <w:p w14:paraId="6C19EDD5" w14:textId="2A106BE3" w:rsidR="00D52D59" w:rsidRDefault="00D52D59" w:rsidP="00AD5675">
            <w:pPr>
              <w:pStyle w:val="COMPara"/>
              <w:numPr>
                <w:ilvl w:val="0"/>
                <w:numId w:val="0"/>
              </w:numPr>
              <w:spacing w:beforeLines="60" w:before="144" w:afterLines="60" w:after="144"/>
              <w:jc w:val="both"/>
              <w:rPr>
                <w:lang w:val="en-US"/>
              </w:rPr>
            </w:pPr>
            <w:r>
              <w:rPr>
                <w:b/>
                <w:bCs/>
                <w:lang w:val="en-US"/>
              </w:rPr>
              <w:t>Twelfth session of the Committee</w:t>
            </w:r>
            <w:r w:rsidR="00A07E6E">
              <w:rPr>
                <w:b/>
                <w:bCs/>
                <w:lang w:val="en-US"/>
              </w:rPr>
              <w:t xml:space="preserve"> </w:t>
            </w:r>
            <w:r w:rsidR="00A07E6E" w:rsidRPr="002518AC">
              <w:rPr>
                <w:lang w:val="en-US"/>
              </w:rPr>
              <w:t>(</w:t>
            </w:r>
            <w:r w:rsidR="00A07E6E">
              <w:rPr>
                <w:lang w:val="en-US"/>
              </w:rPr>
              <w:t>4 to 9 December 2017, Jeju Island, Republic of Korea</w:t>
            </w:r>
            <w:r w:rsidR="00A07E6E" w:rsidRPr="002518AC">
              <w:rPr>
                <w:lang w:val="en-US"/>
              </w:rPr>
              <w:t>)</w:t>
            </w:r>
          </w:p>
        </w:tc>
      </w:tr>
      <w:tr w:rsidR="00D52D59" w14:paraId="4A205B45" w14:textId="77777777" w:rsidTr="002518AC">
        <w:tc>
          <w:tcPr>
            <w:tcW w:w="4815" w:type="dxa"/>
          </w:tcPr>
          <w:p w14:paraId="4C6B331B" w14:textId="66B8B170" w:rsidR="00D52D59" w:rsidRDefault="00D52D59" w:rsidP="00AD5675">
            <w:pPr>
              <w:pStyle w:val="COMPara"/>
              <w:numPr>
                <w:ilvl w:val="0"/>
                <w:numId w:val="0"/>
              </w:numPr>
              <w:spacing w:beforeLines="60" w:before="144" w:afterLines="60" w:after="144"/>
              <w:jc w:val="both"/>
              <w:rPr>
                <w:b/>
                <w:bCs/>
                <w:lang w:val="en-US"/>
              </w:rPr>
            </w:pPr>
            <w:r w:rsidRPr="009656A6">
              <w:rPr>
                <w:lang w:val="en-US"/>
              </w:rPr>
              <w:t>Draft amendments to the Operational Directives on periodic reporting</w:t>
            </w:r>
          </w:p>
        </w:tc>
        <w:tc>
          <w:tcPr>
            <w:tcW w:w="2410" w:type="dxa"/>
          </w:tcPr>
          <w:p w14:paraId="479465C1" w14:textId="32C8B35D" w:rsidR="00D52D59" w:rsidRDefault="00D52D59" w:rsidP="00AD5675">
            <w:pPr>
              <w:pStyle w:val="COMPara"/>
              <w:numPr>
                <w:ilvl w:val="0"/>
                <w:numId w:val="0"/>
              </w:numPr>
              <w:spacing w:beforeLines="60" w:before="144" w:afterLines="60" w:after="144"/>
              <w:jc w:val="both"/>
            </w:pPr>
            <w:hyperlink r:id="rId20" w:history="1">
              <w:r w:rsidRPr="00AA09C7">
                <w:rPr>
                  <w:rStyle w:val="Hyperlink"/>
                  <w:lang w:val="en-US"/>
                </w:rPr>
                <w:t>ITH/17/12.COM/10</w:t>
              </w:r>
            </w:hyperlink>
          </w:p>
        </w:tc>
        <w:tc>
          <w:tcPr>
            <w:tcW w:w="2453" w:type="dxa"/>
          </w:tcPr>
          <w:p w14:paraId="231079E0" w14:textId="679391A6" w:rsidR="00D52D59" w:rsidRDefault="00A07E6E" w:rsidP="00AD5675">
            <w:pPr>
              <w:pStyle w:val="COMPara"/>
              <w:numPr>
                <w:ilvl w:val="0"/>
                <w:numId w:val="0"/>
              </w:numPr>
              <w:spacing w:beforeLines="60" w:before="144" w:afterLines="60" w:after="144"/>
              <w:jc w:val="both"/>
              <w:rPr>
                <w:lang w:val="en-US"/>
              </w:rPr>
            </w:pPr>
            <w:r>
              <w:rPr>
                <w:lang w:val="en-US"/>
              </w:rPr>
              <w:t xml:space="preserve">Decision </w:t>
            </w:r>
            <w:hyperlink r:id="rId21" w:history="1">
              <w:r w:rsidRPr="009C22BE">
                <w:rPr>
                  <w:rStyle w:val="Hyperlink"/>
                  <w:lang w:val="en-US"/>
                </w:rPr>
                <w:t>12.COM 10</w:t>
              </w:r>
            </w:hyperlink>
          </w:p>
        </w:tc>
      </w:tr>
      <w:tr w:rsidR="00D52D59" w:rsidRPr="00B82A13" w14:paraId="7BAB70BE" w14:textId="77777777" w:rsidTr="002518AC">
        <w:tc>
          <w:tcPr>
            <w:tcW w:w="9678" w:type="dxa"/>
            <w:gridSpan w:val="3"/>
            <w:shd w:val="clear" w:color="auto" w:fill="F2F2F2" w:themeFill="background1" w:themeFillShade="F2"/>
          </w:tcPr>
          <w:p w14:paraId="4969D209" w14:textId="6DE18DE7" w:rsidR="00D52D59" w:rsidRPr="007A3D93" w:rsidRDefault="00D52D59" w:rsidP="00AD5675">
            <w:pPr>
              <w:pStyle w:val="COMPara"/>
              <w:numPr>
                <w:ilvl w:val="0"/>
                <w:numId w:val="0"/>
              </w:numPr>
              <w:spacing w:beforeLines="60" w:before="144" w:afterLines="60" w:after="144"/>
              <w:jc w:val="both"/>
              <w:rPr>
                <w:lang w:val="en-US"/>
              </w:rPr>
            </w:pPr>
            <w:r>
              <w:rPr>
                <w:b/>
                <w:bCs/>
                <w:lang w:val="en-US"/>
              </w:rPr>
              <w:t xml:space="preserve">Seventh session of the </w:t>
            </w:r>
            <w:r w:rsidR="0008546C">
              <w:rPr>
                <w:b/>
                <w:bCs/>
                <w:lang w:val="en-US"/>
              </w:rPr>
              <w:t xml:space="preserve">General </w:t>
            </w:r>
            <w:r>
              <w:rPr>
                <w:b/>
                <w:bCs/>
                <w:lang w:val="en-US"/>
              </w:rPr>
              <w:t>Assembly</w:t>
            </w:r>
            <w:r w:rsidR="007A3D93">
              <w:rPr>
                <w:lang w:val="en-US"/>
              </w:rPr>
              <w:t xml:space="preserve"> (</w:t>
            </w:r>
            <w:r w:rsidR="00951A36">
              <w:rPr>
                <w:lang w:val="en-US"/>
              </w:rPr>
              <w:t xml:space="preserve">4 to 6 June 2018, </w:t>
            </w:r>
            <w:r w:rsidR="00A07E6E">
              <w:rPr>
                <w:lang w:val="en-US"/>
              </w:rPr>
              <w:t xml:space="preserve">UNESCO </w:t>
            </w:r>
            <w:r w:rsidR="00C846D4">
              <w:rPr>
                <w:lang w:val="en-US"/>
              </w:rPr>
              <w:t>H</w:t>
            </w:r>
            <w:r w:rsidR="00A07E6E">
              <w:rPr>
                <w:lang w:val="en-US"/>
              </w:rPr>
              <w:t>eadquarters</w:t>
            </w:r>
            <w:r w:rsidR="007A3D93">
              <w:rPr>
                <w:lang w:val="en-US"/>
              </w:rPr>
              <w:t>)</w:t>
            </w:r>
          </w:p>
        </w:tc>
      </w:tr>
      <w:tr w:rsidR="00D52D59" w14:paraId="7ABF47F1" w14:textId="77777777" w:rsidTr="002518AC">
        <w:tc>
          <w:tcPr>
            <w:tcW w:w="4815" w:type="dxa"/>
          </w:tcPr>
          <w:p w14:paraId="62A0D6A5" w14:textId="291030E4" w:rsidR="00D52D59" w:rsidRDefault="00D52D59" w:rsidP="00AD5675">
            <w:pPr>
              <w:pStyle w:val="COMPara"/>
              <w:numPr>
                <w:ilvl w:val="0"/>
                <w:numId w:val="0"/>
              </w:numPr>
              <w:spacing w:beforeLines="60" w:before="144" w:afterLines="60" w:after="144"/>
              <w:jc w:val="both"/>
              <w:rPr>
                <w:b/>
                <w:bCs/>
                <w:lang w:val="en-US"/>
              </w:rPr>
            </w:pPr>
            <w:r w:rsidRPr="009656A6">
              <w:rPr>
                <w:lang w:val="en-US"/>
              </w:rPr>
              <w:t>Draft overall results framework</w:t>
            </w:r>
          </w:p>
        </w:tc>
        <w:tc>
          <w:tcPr>
            <w:tcW w:w="2410" w:type="dxa"/>
          </w:tcPr>
          <w:p w14:paraId="4F576184" w14:textId="6D579DCC" w:rsidR="00D52D59" w:rsidRDefault="00D52D59" w:rsidP="00AD5675">
            <w:pPr>
              <w:pStyle w:val="COMPara"/>
              <w:numPr>
                <w:ilvl w:val="0"/>
                <w:numId w:val="0"/>
              </w:numPr>
              <w:spacing w:beforeLines="60" w:before="144" w:afterLines="60" w:after="144"/>
              <w:jc w:val="both"/>
              <w:rPr>
                <w:lang w:val="en-US"/>
              </w:rPr>
            </w:pPr>
            <w:hyperlink r:id="rId22" w:history="1">
              <w:r w:rsidRPr="00AA09C7">
                <w:rPr>
                  <w:rStyle w:val="Hyperlink"/>
                  <w:lang w:val="en-US"/>
                </w:rPr>
                <w:t>ITH/18/7.GA/9</w:t>
              </w:r>
            </w:hyperlink>
          </w:p>
        </w:tc>
        <w:tc>
          <w:tcPr>
            <w:tcW w:w="2453" w:type="dxa"/>
          </w:tcPr>
          <w:p w14:paraId="6644DC2B" w14:textId="0905AE5D" w:rsidR="00D52D59" w:rsidRDefault="00B6049F" w:rsidP="00AD5675">
            <w:pPr>
              <w:pStyle w:val="COMPara"/>
              <w:numPr>
                <w:ilvl w:val="0"/>
                <w:numId w:val="0"/>
              </w:numPr>
              <w:spacing w:beforeLines="60" w:before="144" w:afterLines="60" w:after="144"/>
              <w:jc w:val="both"/>
              <w:rPr>
                <w:lang w:val="en-US"/>
              </w:rPr>
            </w:pPr>
            <w:r>
              <w:rPr>
                <w:lang w:val="en-US"/>
              </w:rPr>
              <w:t xml:space="preserve">Resolution </w:t>
            </w:r>
            <w:hyperlink r:id="rId23" w:history="1">
              <w:r w:rsidRPr="00B2083D">
                <w:rPr>
                  <w:rStyle w:val="Hyperlink"/>
                  <w:lang w:val="en-US"/>
                </w:rPr>
                <w:t>7.GA 9</w:t>
              </w:r>
            </w:hyperlink>
          </w:p>
        </w:tc>
      </w:tr>
      <w:tr w:rsidR="00D52D59" w:rsidRPr="00B82A13" w14:paraId="66A1DFC3" w14:textId="77777777" w:rsidTr="002518AC">
        <w:tc>
          <w:tcPr>
            <w:tcW w:w="9678" w:type="dxa"/>
            <w:gridSpan w:val="3"/>
            <w:shd w:val="clear" w:color="auto" w:fill="F2F2F2" w:themeFill="background1" w:themeFillShade="F2"/>
          </w:tcPr>
          <w:p w14:paraId="73282860" w14:textId="2752D8E6" w:rsidR="00D52D59" w:rsidRDefault="00D52D59" w:rsidP="00AD5675">
            <w:pPr>
              <w:pStyle w:val="COMPara"/>
              <w:numPr>
                <w:ilvl w:val="0"/>
                <w:numId w:val="0"/>
              </w:numPr>
              <w:spacing w:beforeLines="60" w:before="144" w:afterLines="60" w:after="144"/>
              <w:jc w:val="both"/>
              <w:rPr>
                <w:lang w:val="en-US"/>
              </w:rPr>
            </w:pPr>
            <w:r>
              <w:rPr>
                <w:b/>
                <w:bCs/>
                <w:lang w:val="en-US"/>
              </w:rPr>
              <w:t>Thirteenth session of the Committee</w:t>
            </w:r>
            <w:r w:rsidR="00ED711D">
              <w:rPr>
                <w:b/>
                <w:bCs/>
                <w:lang w:val="en-US"/>
              </w:rPr>
              <w:t xml:space="preserve"> </w:t>
            </w:r>
            <w:r w:rsidR="00ED711D" w:rsidRPr="002518AC">
              <w:rPr>
                <w:lang w:val="en-US"/>
              </w:rPr>
              <w:t>(26 November to 1 December 2018, Port Louis, Republic of Mauritius)</w:t>
            </w:r>
          </w:p>
        </w:tc>
      </w:tr>
      <w:tr w:rsidR="00D52D59" w14:paraId="641107EE" w14:textId="77777777" w:rsidTr="002518AC">
        <w:tc>
          <w:tcPr>
            <w:tcW w:w="4815" w:type="dxa"/>
          </w:tcPr>
          <w:p w14:paraId="3C245F2A" w14:textId="2D56565B" w:rsidR="00D52D59" w:rsidRDefault="00D52D59" w:rsidP="00AD5675">
            <w:pPr>
              <w:pStyle w:val="COMPara"/>
              <w:numPr>
                <w:ilvl w:val="0"/>
                <w:numId w:val="0"/>
              </w:numPr>
              <w:spacing w:beforeLines="60" w:before="144" w:afterLines="60" w:after="144"/>
              <w:jc w:val="both"/>
              <w:rPr>
                <w:b/>
                <w:bCs/>
                <w:lang w:val="en-US"/>
              </w:rPr>
            </w:pPr>
            <w:r w:rsidRPr="009656A6">
              <w:rPr>
                <w:lang w:val="en-US"/>
              </w:rPr>
              <w:t>Reform of the periodic reporting mechanism</w:t>
            </w:r>
          </w:p>
        </w:tc>
        <w:tc>
          <w:tcPr>
            <w:tcW w:w="2410" w:type="dxa"/>
          </w:tcPr>
          <w:p w14:paraId="5A63B582" w14:textId="38E47D73" w:rsidR="00D52D59" w:rsidRDefault="00D52D59" w:rsidP="00AD5675">
            <w:pPr>
              <w:pStyle w:val="COMPara"/>
              <w:numPr>
                <w:ilvl w:val="0"/>
                <w:numId w:val="0"/>
              </w:numPr>
              <w:spacing w:beforeLines="60" w:before="144" w:afterLines="60" w:after="144"/>
              <w:jc w:val="both"/>
              <w:rPr>
                <w:lang w:val="en-US"/>
              </w:rPr>
            </w:pPr>
            <w:hyperlink r:id="rId24" w:history="1">
              <w:r w:rsidRPr="00AA09C7">
                <w:rPr>
                  <w:rStyle w:val="Hyperlink"/>
                  <w:lang w:val="en-US"/>
                </w:rPr>
                <w:t>ITH/18/13.COM/8</w:t>
              </w:r>
            </w:hyperlink>
          </w:p>
        </w:tc>
        <w:tc>
          <w:tcPr>
            <w:tcW w:w="2453" w:type="dxa"/>
          </w:tcPr>
          <w:p w14:paraId="3E37219B" w14:textId="7C4D011E" w:rsidR="00D52D59"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25" w:history="1">
              <w:r w:rsidR="0029479B" w:rsidRPr="0029479B">
                <w:rPr>
                  <w:rStyle w:val="Hyperlink"/>
                  <w:lang w:val="en-US"/>
                </w:rPr>
                <w:t>13.COM 8</w:t>
              </w:r>
            </w:hyperlink>
          </w:p>
        </w:tc>
      </w:tr>
      <w:tr w:rsidR="00D52D59" w:rsidRPr="00B82A13" w14:paraId="07569D80" w14:textId="77777777" w:rsidTr="002518AC">
        <w:tc>
          <w:tcPr>
            <w:tcW w:w="9678" w:type="dxa"/>
            <w:gridSpan w:val="3"/>
            <w:shd w:val="clear" w:color="auto" w:fill="F2F2F2" w:themeFill="background1" w:themeFillShade="F2"/>
          </w:tcPr>
          <w:p w14:paraId="3507CD2A" w14:textId="1DF27B25" w:rsidR="00D52D59" w:rsidRDefault="00D52D59" w:rsidP="00AD5675">
            <w:pPr>
              <w:pStyle w:val="COMPara"/>
              <w:numPr>
                <w:ilvl w:val="0"/>
                <w:numId w:val="0"/>
              </w:numPr>
              <w:spacing w:beforeLines="60" w:before="144" w:afterLines="60" w:after="144"/>
              <w:jc w:val="both"/>
              <w:rPr>
                <w:lang w:val="en-US"/>
              </w:rPr>
            </w:pPr>
            <w:r>
              <w:rPr>
                <w:b/>
                <w:bCs/>
                <w:lang w:val="en-US"/>
              </w:rPr>
              <w:t>Fourteenth session of the Committee</w:t>
            </w:r>
            <w:r w:rsidR="00ED711D">
              <w:rPr>
                <w:b/>
                <w:bCs/>
                <w:lang w:val="en-US"/>
              </w:rPr>
              <w:t xml:space="preserve"> </w:t>
            </w:r>
            <w:r w:rsidR="00ED711D" w:rsidRPr="002518AC">
              <w:rPr>
                <w:lang w:val="en-US"/>
              </w:rPr>
              <w:t>(9 to 14 December 2019, Bogota, Colombia)</w:t>
            </w:r>
          </w:p>
        </w:tc>
      </w:tr>
      <w:tr w:rsidR="00B86B73" w14:paraId="0808BCAE" w14:textId="77777777" w:rsidTr="002C64EF">
        <w:tc>
          <w:tcPr>
            <w:tcW w:w="4815" w:type="dxa"/>
          </w:tcPr>
          <w:p w14:paraId="45B8EA3F" w14:textId="31D7144F" w:rsidR="00B86B73" w:rsidRPr="00B86B73" w:rsidRDefault="00B86B73" w:rsidP="00AD5675">
            <w:pPr>
              <w:pStyle w:val="COMPara"/>
              <w:numPr>
                <w:ilvl w:val="0"/>
                <w:numId w:val="0"/>
              </w:numPr>
              <w:spacing w:beforeLines="60" w:before="144" w:afterLines="60" w:after="144"/>
              <w:jc w:val="both"/>
              <w:rPr>
                <w:lang w:val="en-US"/>
              </w:rPr>
            </w:pPr>
            <w:r w:rsidRPr="009656A6">
              <w:rPr>
                <w:lang w:val="en-US"/>
              </w:rPr>
              <w:t>Reform of the periodic reporting mechanism</w:t>
            </w:r>
          </w:p>
        </w:tc>
        <w:tc>
          <w:tcPr>
            <w:tcW w:w="2410" w:type="dxa"/>
          </w:tcPr>
          <w:p w14:paraId="61FF505C" w14:textId="2332FAD6" w:rsidR="00B86B73" w:rsidRDefault="00B86B73" w:rsidP="00AD5675">
            <w:pPr>
              <w:pStyle w:val="COMPara"/>
              <w:numPr>
                <w:ilvl w:val="0"/>
                <w:numId w:val="0"/>
              </w:numPr>
              <w:spacing w:beforeLines="60" w:before="144" w:afterLines="60" w:after="144"/>
              <w:jc w:val="both"/>
            </w:pPr>
            <w:hyperlink r:id="rId26" w:history="1">
              <w:r w:rsidRPr="00AA09C7">
                <w:rPr>
                  <w:rStyle w:val="Hyperlink"/>
                  <w:lang w:val="en-US"/>
                </w:rPr>
                <w:t>LHE/19/14.COM/8</w:t>
              </w:r>
            </w:hyperlink>
          </w:p>
        </w:tc>
        <w:tc>
          <w:tcPr>
            <w:tcW w:w="2453" w:type="dxa"/>
          </w:tcPr>
          <w:p w14:paraId="1ABAB6EF" w14:textId="39F56CBA"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27" w:history="1">
              <w:r w:rsidR="00B86B73" w:rsidRPr="00ED711D">
                <w:rPr>
                  <w:rStyle w:val="Hyperlink"/>
                  <w:lang w:val="en-US"/>
                </w:rPr>
                <w:t>14.COM 8</w:t>
              </w:r>
            </w:hyperlink>
          </w:p>
        </w:tc>
      </w:tr>
      <w:tr w:rsidR="00B86B73" w:rsidRPr="00B82A13" w14:paraId="332A7BA6" w14:textId="77777777" w:rsidTr="002518AC">
        <w:tc>
          <w:tcPr>
            <w:tcW w:w="9678" w:type="dxa"/>
            <w:gridSpan w:val="3"/>
            <w:shd w:val="clear" w:color="auto" w:fill="F2F2F2" w:themeFill="background1" w:themeFillShade="F2"/>
          </w:tcPr>
          <w:p w14:paraId="05915304" w14:textId="303A3AF2" w:rsidR="00B86B73" w:rsidRDefault="00B86B73" w:rsidP="00AD5675">
            <w:pPr>
              <w:pStyle w:val="COMPara"/>
              <w:numPr>
                <w:ilvl w:val="0"/>
                <w:numId w:val="0"/>
              </w:numPr>
              <w:spacing w:beforeLines="60" w:before="144" w:afterLines="60" w:after="144"/>
              <w:jc w:val="both"/>
              <w:rPr>
                <w:lang w:val="en-US"/>
              </w:rPr>
            </w:pPr>
            <w:r>
              <w:rPr>
                <w:b/>
                <w:bCs/>
                <w:lang w:val="en-US"/>
              </w:rPr>
              <w:t xml:space="preserve">Sixteenth session of the Committee </w:t>
            </w:r>
            <w:r w:rsidRPr="002518AC">
              <w:rPr>
                <w:lang w:val="en-US"/>
              </w:rPr>
              <w:t>(13 to 18 December 2021, Online)</w:t>
            </w:r>
          </w:p>
        </w:tc>
      </w:tr>
      <w:tr w:rsidR="00B86B73" w:rsidRPr="00B82A13" w14:paraId="3AA6E7D0" w14:textId="77777777" w:rsidTr="002518AC">
        <w:tc>
          <w:tcPr>
            <w:tcW w:w="4815" w:type="dxa"/>
          </w:tcPr>
          <w:p w14:paraId="5260D1B9" w14:textId="335F4515"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by States Parties on the </w:t>
            </w:r>
            <w:proofErr w:type="gramStart"/>
            <w:r w:rsidRPr="009656A6">
              <w:rPr>
                <w:lang w:val="en-US"/>
              </w:rPr>
              <w:t>current status</w:t>
            </w:r>
            <w:proofErr w:type="gramEnd"/>
            <w:r w:rsidRPr="009656A6">
              <w:rPr>
                <w:lang w:val="en-US"/>
              </w:rPr>
              <w:t xml:space="preserve"> of elements inscribed on the List of Intangible Cultural Heritage in Need of Urgent Safeguarding</w:t>
            </w:r>
          </w:p>
        </w:tc>
        <w:tc>
          <w:tcPr>
            <w:tcW w:w="2410" w:type="dxa"/>
          </w:tcPr>
          <w:p w14:paraId="675A831E" w14:textId="1C45BA97" w:rsidR="00B86B73" w:rsidRDefault="00B86B73" w:rsidP="00AD5675">
            <w:pPr>
              <w:pStyle w:val="COMPara"/>
              <w:numPr>
                <w:ilvl w:val="0"/>
                <w:numId w:val="0"/>
              </w:numPr>
              <w:spacing w:beforeLines="60" w:before="144" w:afterLines="60" w:after="144"/>
              <w:jc w:val="both"/>
              <w:rPr>
                <w:lang w:val="en-US"/>
              </w:rPr>
            </w:pPr>
            <w:hyperlink r:id="rId28" w:history="1">
              <w:r w:rsidRPr="00AA09C7">
                <w:rPr>
                  <w:rStyle w:val="Hyperlink"/>
                  <w:lang w:val="en-US"/>
                </w:rPr>
                <w:t>LHE/21/16.COM/</w:t>
              </w:r>
              <w:proofErr w:type="gramStart"/>
              <w:r w:rsidRPr="00AA09C7">
                <w:rPr>
                  <w:rStyle w:val="Hyperlink"/>
                  <w:lang w:val="en-US"/>
                </w:rPr>
                <w:t>7.a</w:t>
              </w:r>
              <w:proofErr w:type="gramEnd"/>
            </w:hyperlink>
          </w:p>
        </w:tc>
        <w:tc>
          <w:tcPr>
            <w:tcW w:w="2453" w:type="dxa"/>
          </w:tcPr>
          <w:p w14:paraId="6B9A1DD7" w14:textId="1F008CA2"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29" w:history="1">
              <w:r w:rsidR="00B86B73" w:rsidRPr="00C2407D">
                <w:rPr>
                  <w:rStyle w:val="Hyperlink"/>
                  <w:lang w:val="en-US"/>
                </w:rPr>
                <w:t xml:space="preserve">16.COM </w:t>
              </w:r>
              <w:proofErr w:type="gramStart"/>
              <w:r w:rsidR="00B86B73" w:rsidRPr="00C2407D">
                <w:rPr>
                  <w:rStyle w:val="Hyperlink"/>
                  <w:lang w:val="en-US"/>
                </w:rPr>
                <w:t>7.a</w:t>
              </w:r>
              <w:proofErr w:type="gramEnd"/>
            </w:hyperlink>
          </w:p>
          <w:p w14:paraId="1664F8BB" w14:textId="6FABE204" w:rsidR="00B86B73" w:rsidRDefault="00B86B73" w:rsidP="00AD5675">
            <w:pPr>
              <w:pStyle w:val="COMPara"/>
              <w:numPr>
                <w:ilvl w:val="0"/>
                <w:numId w:val="0"/>
              </w:numPr>
              <w:spacing w:beforeLines="60" w:before="144" w:afterLines="60" w:after="144"/>
              <w:jc w:val="both"/>
              <w:rPr>
                <w:lang w:val="en-US"/>
              </w:rPr>
            </w:pPr>
            <w:r>
              <w:rPr>
                <w:lang w:val="en-US"/>
              </w:rPr>
              <w:t xml:space="preserve">See also </w:t>
            </w:r>
            <w:hyperlink r:id="rId30" w:history="1">
              <w:r w:rsidRPr="00B86B73">
                <w:rPr>
                  <w:rStyle w:val="Hyperlink"/>
                  <w:lang w:val="en-US"/>
                </w:rPr>
                <w:t>individual decisions</w:t>
              </w:r>
            </w:hyperlink>
            <w:r>
              <w:rPr>
                <w:lang w:val="en-US"/>
              </w:rPr>
              <w:t xml:space="preserve"> under Item </w:t>
            </w:r>
            <w:proofErr w:type="gramStart"/>
            <w:r>
              <w:rPr>
                <w:lang w:val="en-US"/>
              </w:rPr>
              <w:t>7.a</w:t>
            </w:r>
            <w:proofErr w:type="gramEnd"/>
          </w:p>
        </w:tc>
      </w:tr>
      <w:tr w:rsidR="00B86B73" w14:paraId="1A3C91F5" w14:textId="77777777" w:rsidTr="002518AC">
        <w:tc>
          <w:tcPr>
            <w:tcW w:w="4815" w:type="dxa"/>
          </w:tcPr>
          <w:p w14:paraId="1537D3C7" w14:textId="4B93049B"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of the first cycle of periodic reporting on the implementation of the Convention and </w:t>
            </w:r>
            <w:r w:rsidRPr="00FC582E">
              <w:rPr>
                <w:lang w:val="en-US"/>
              </w:rPr>
              <w:t xml:space="preserve">on the </w:t>
            </w:r>
            <w:proofErr w:type="gramStart"/>
            <w:r w:rsidRPr="00FC582E">
              <w:rPr>
                <w:lang w:val="en-US"/>
              </w:rPr>
              <w:t>current status</w:t>
            </w:r>
            <w:proofErr w:type="gramEnd"/>
            <w:r w:rsidRPr="00FC582E">
              <w:rPr>
                <w:lang w:val="en-US"/>
              </w:rPr>
              <w:t xml:space="preserve"> of elements inscribed on the Representative List of the Intangible Cultural Heritage of Humanity by States Parties in Latin America and the Caribbean</w:t>
            </w:r>
          </w:p>
        </w:tc>
        <w:tc>
          <w:tcPr>
            <w:tcW w:w="2410" w:type="dxa"/>
          </w:tcPr>
          <w:p w14:paraId="19C42654" w14:textId="6C2FE728" w:rsidR="00B86B73" w:rsidRDefault="00B86B73" w:rsidP="00AD5675">
            <w:pPr>
              <w:pStyle w:val="COMPara"/>
              <w:numPr>
                <w:ilvl w:val="0"/>
                <w:numId w:val="0"/>
              </w:numPr>
              <w:spacing w:beforeLines="60" w:before="144" w:afterLines="60" w:after="144"/>
              <w:jc w:val="both"/>
              <w:rPr>
                <w:lang w:val="en-US"/>
              </w:rPr>
            </w:pPr>
            <w:hyperlink r:id="rId31" w:history="1">
              <w:r w:rsidRPr="00AA09C7">
                <w:rPr>
                  <w:rStyle w:val="Hyperlink"/>
                  <w:lang w:val="en-US"/>
                </w:rPr>
                <w:t>LHE/21/16.COM/</w:t>
              </w:r>
              <w:proofErr w:type="gramStart"/>
              <w:r w:rsidRPr="00AA09C7">
                <w:rPr>
                  <w:rStyle w:val="Hyperlink"/>
                  <w:lang w:val="en-US"/>
                </w:rPr>
                <w:t>7.b</w:t>
              </w:r>
              <w:proofErr w:type="gramEnd"/>
            </w:hyperlink>
          </w:p>
        </w:tc>
        <w:tc>
          <w:tcPr>
            <w:tcW w:w="2453" w:type="dxa"/>
          </w:tcPr>
          <w:p w14:paraId="14FF1E5D" w14:textId="206669D9"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32" w:history="1">
              <w:r w:rsidR="00B86B73" w:rsidRPr="00C2407D">
                <w:rPr>
                  <w:rStyle w:val="Hyperlink"/>
                  <w:lang w:val="en-US"/>
                </w:rPr>
                <w:t xml:space="preserve">16.COM </w:t>
              </w:r>
              <w:proofErr w:type="gramStart"/>
              <w:r w:rsidR="00B86B73" w:rsidRPr="00C2407D">
                <w:rPr>
                  <w:rStyle w:val="Hyperlink"/>
                  <w:lang w:val="en-US"/>
                </w:rPr>
                <w:t>7.b</w:t>
              </w:r>
              <w:proofErr w:type="gramEnd"/>
            </w:hyperlink>
          </w:p>
        </w:tc>
      </w:tr>
      <w:tr w:rsidR="00B86B73" w14:paraId="65BC3DA6" w14:textId="77777777" w:rsidTr="002518AC">
        <w:tc>
          <w:tcPr>
            <w:tcW w:w="4815" w:type="dxa"/>
          </w:tcPr>
          <w:p w14:paraId="6C86F051" w14:textId="622F462B"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by States </w:t>
            </w:r>
            <w:proofErr w:type="spellStart"/>
            <w:proofErr w:type="gramStart"/>
            <w:r w:rsidRPr="009656A6">
              <w:rPr>
                <w:lang w:val="en-US"/>
              </w:rPr>
              <w:t>non party</w:t>
            </w:r>
            <w:proofErr w:type="spellEnd"/>
            <w:proofErr w:type="gramEnd"/>
            <w:r w:rsidRPr="009656A6">
              <w:rPr>
                <w:lang w:val="en-US"/>
              </w:rPr>
              <w:t xml:space="preserve">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w:t>
            </w:r>
          </w:p>
        </w:tc>
        <w:tc>
          <w:tcPr>
            <w:tcW w:w="2410" w:type="dxa"/>
          </w:tcPr>
          <w:p w14:paraId="0FBE4C70" w14:textId="18D29710" w:rsidR="00B86B73" w:rsidRDefault="00B86B73" w:rsidP="00AD5675">
            <w:pPr>
              <w:pStyle w:val="COMPara"/>
              <w:numPr>
                <w:ilvl w:val="0"/>
                <w:numId w:val="0"/>
              </w:numPr>
              <w:spacing w:beforeLines="60" w:before="144" w:afterLines="60" w:after="144"/>
              <w:jc w:val="both"/>
              <w:rPr>
                <w:lang w:val="en-US"/>
              </w:rPr>
            </w:pPr>
            <w:hyperlink r:id="rId33" w:history="1">
              <w:r w:rsidRPr="00AA09C7">
                <w:rPr>
                  <w:rStyle w:val="Hyperlink"/>
                  <w:lang w:val="en-US"/>
                </w:rPr>
                <w:t>LHE/21/16.COM/7.c</w:t>
              </w:r>
            </w:hyperlink>
          </w:p>
        </w:tc>
        <w:tc>
          <w:tcPr>
            <w:tcW w:w="2453" w:type="dxa"/>
          </w:tcPr>
          <w:p w14:paraId="128725A7" w14:textId="2A02BB59"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34" w:history="1">
              <w:r w:rsidR="00B86B73" w:rsidRPr="00C2407D">
                <w:rPr>
                  <w:rStyle w:val="Hyperlink"/>
                  <w:lang w:val="en-US"/>
                </w:rPr>
                <w:t>16.COM 7.c</w:t>
              </w:r>
            </w:hyperlink>
          </w:p>
        </w:tc>
      </w:tr>
      <w:tr w:rsidR="00B86B73" w:rsidRPr="00B82A13" w14:paraId="4144DBE0" w14:textId="77777777" w:rsidTr="002518AC">
        <w:tc>
          <w:tcPr>
            <w:tcW w:w="9678" w:type="dxa"/>
            <w:gridSpan w:val="3"/>
            <w:shd w:val="clear" w:color="auto" w:fill="F2F2F2" w:themeFill="background1" w:themeFillShade="F2"/>
          </w:tcPr>
          <w:p w14:paraId="41179891" w14:textId="7A12147B" w:rsidR="00B86B73" w:rsidRDefault="00B86B73" w:rsidP="008E05A5">
            <w:pPr>
              <w:pStyle w:val="COMPara"/>
              <w:keepNext/>
              <w:numPr>
                <w:ilvl w:val="0"/>
                <w:numId w:val="0"/>
              </w:numPr>
              <w:spacing w:beforeLines="60" w:before="144" w:afterLines="60" w:after="144"/>
              <w:jc w:val="both"/>
              <w:rPr>
                <w:lang w:val="en-US"/>
              </w:rPr>
            </w:pPr>
            <w:r>
              <w:rPr>
                <w:b/>
                <w:bCs/>
                <w:lang w:val="en-US"/>
              </w:rPr>
              <w:t xml:space="preserve">Seventeenth session of </w:t>
            </w:r>
            <w:r w:rsidRPr="00BD7836">
              <w:rPr>
                <w:b/>
                <w:bCs/>
                <w:lang w:val="en-US"/>
              </w:rPr>
              <w:t xml:space="preserve">the </w:t>
            </w:r>
            <w:r w:rsidRPr="002518AC">
              <w:rPr>
                <w:b/>
                <w:bCs/>
                <w:lang w:val="en-US"/>
              </w:rPr>
              <w:t>Committee</w:t>
            </w:r>
            <w:r w:rsidRPr="002518AC">
              <w:rPr>
                <w:lang w:val="en-US"/>
              </w:rPr>
              <w:t xml:space="preserve"> (28 November to 3 December 2022, Rabat, Kingdom of Morocco)</w:t>
            </w:r>
          </w:p>
        </w:tc>
      </w:tr>
      <w:tr w:rsidR="00B86B73" w:rsidRPr="00B82A13" w14:paraId="42385726" w14:textId="77777777" w:rsidTr="002518AC">
        <w:tc>
          <w:tcPr>
            <w:tcW w:w="4815" w:type="dxa"/>
          </w:tcPr>
          <w:p w14:paraId="4D027D16" w14:textId="07150695"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by States Parties on the </w:t>
            </w:r>
            <w:proofErr w:type="gramStart"/>
            <w:r w:rsidRPr="009656A6">
              <w:rPr>
                <w:lang w:val="en-US"/>
              </w:rPr>
              <w:t>current status</w:t>
            </w:r>
            <w:proofErr w:type="gramEnd"/>
            <w:r w:rsidRPr="009656A6">
              <w:rPr>
                <w:lang w:val="en-US"/>
              </w:rPr>
              <w:t xml:space="preserve"> of elements inscribed on the List of Intangible Cultural Heritage in Need of Urgent Safeguarding</w:t>
            </w:r>
          </w:p>
        </w:tc>
        <w:tc>
          <w:tcPr>
            <w:tcW w:w="2410" w:type="dxa"/>
          </w:tcPr>
          <w:p w14:paraId="738599C5" w14:textId="49CF8EA5" w:rsidR="00B86B73" w:rsidRDefault="00B86B73" w:rsidP="00AD5675">
            <w:pPr>
              <w:pStyle w:val="COMPara"/>
              <w:numPr>
                <w:ilvl w:val="0"/>
                <w:numId w:val="0"/>
              </w:numPr>
              <w:spacing w:beforeLines="60" w:before="144" w:afterLines="60" w:after="144"/>
              <w:jc w:val="both"/>
              <w:rPr>
                <w:lang w:val="en-US"/>
              </w:rPr>
            </w:pPr>
            <w:hyperlink r:id="rId35" w:history="1">
              <w:r w:rsidRPr="00AA09C7">
                <w:rPr>
                  <w:rStyle w:val="Hyperlink"/>
                  <w:lang w:val="en-US"/>
                </w:rPr>
                <w:t>LHE/22/17.COM/</w:t>
              </w:r>
              <w:proofErr w:type="gramStart"/>
              <w:r w:rsidRPr="00AA09C7">
                <w:rPr>
                  <w:rStyle w:val="Hyperlink"/>
                  <w:lang w:val="en-US"/>
                </w:rPr>
                <w:t>6.a</w:t>
              </w:r>
              <w:proofErr w:type="gramEnd"/>
              <w:r w:rsidRPr="00AA09C7">
                <w:rPr>
                  <w:rStyle w:val="Hyperlink"/>
                  <w:lang w:val="en-US"/>
                </w:rPr>
                <w:t xml:space="preserve"> Rev.</w:t>
              </w:r>
            </w:hyperlink>
          </w:p>
        </w:tc>
        <w:tc>
          <w:tcPr>
            <w:tcW w:w="2453" w:type="dxa"/>
          </w:tcPr>
          <w:p w14:paraId="35676311" w14:textId="1F3FBF4A"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36" w:history="1">
              <w:r w:rsidR="00B86B73" w:rsidRPr="00663191">
                <w:rPr>
                  <w:rStyle w:val="Hyperlink"/>
                  <w:lang w:val="en-US"/>
                </w:rPr>
                <w:t xml:space="preserve">17.COM </w:t>
              </w:r>
              <w:proofErr w:type="gramStart"/>
              <w:r w:rsidR="00B86B73" w:rsidRPr="00663191">
                <w:rPr>
                  <w:rStyle w:val="Hyperlink"/>
                  <w:lang w:val="en-US"/>
                </w:rPr>
                <w:t>6.a</w:t>
              </w:r>
              <w:proofErr w:type="gramEnd"/>
            </w:hyperlink>
          </w:p>
          <w:p w14:paraId="6769002B" w14:textId="63156E84" w:rsidR="00B86B73" w:rsidRDefault="00B86B73" w:rsidP="00AD5675">
            <w:pPr>
              <w:pStyle w:val="COMPara"/>
              <w:numPr>
                <w:ilvl w:val="0"/>
                <w:numId w:val="0"/>
              </w:numPr>
              <w:spacing w:beforeLines="60" w:before="144" w:afterLines="60" w:after="144"/>
              <w:jc w:val="both"/>
              <w:rPr>
                <w:lang w:val="en-US"/>
              </w:rPr>
            </w:pPr>
            <w:r>
              <w:rPr>
                <w:lang w:val="en-US"/>
              </w:rPr>
              <w:t xml:space="preserve">See also </w:t>
            </w:r>
            <w:hyperlink r:id="rId37" w:history="1">
              <w:r w:rsidRPr="00663191">
                <w:rPr>
                  <w:rStyle w:val="Hyperlink"/>
                  <w:lang w:val="en-US"/>
                </w:rPr>
                <w:t>individual decisions</w:t>
              </w:r>
            </w:hyperlink>
            <w:r>
              <w:rPr>
                <w:lang w:val="en-US"/>
              </w:rPr>
              <w:t xml:space="preserve"> under item -</w:t>
            </w:r>
            <w:proofErr w:type="gramStart"/>
            <w:r>
              <w:rPr>
                <w:lang w:val="en-US"/>
              </w:rPr>
              <w:t>6.a</w:t>
            </w:r>
            <w:proofErr w:type="gramEnd"/>
          </w:p>
        </w:tc>
      </w:tr>
      <w:tr w:rsidR="00B86B73" w14:paraId="0583E0BD" w14:textId="77777777" w:rsidTr="002518AC">
        <w:tc>
          <w:tcPr>
            <w:tcW w:w="4815" w:type="dxa"/>
          </w:tcPr>
          <w:p w14:paraId="29141036" w14:textId="54C31F81"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of the first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w:t>
            </w:r>
            <w:r w:rsidRPr="00FC582E">
              <w:rPr>
                <w:lang w:val="en-US"/>
              </w:rPr>
              <w:t>Representative List of the Intangible Cultural Heritage of Humanity by States Parties in Europe</w:t>
            </w:r>
          </w:p>
        </w:tc>
        <w:tc>
          <w:tcPr>
            <w:tcW w:w="2410" w:type="dxa"/>
          </w:tcPr>
          <w:p w14:paraId="01BEB7DF" w14:textId="49BD39C7" w:rsidR="00B86B73" w:rsidRDefault="00B86B73" w:rsidP="00AD5675">
            <w:pPr>
              <w:pStyle w:val="COMPara"/>
              <w:numPr>
                <w:ilvl w:val="0"/>
                <w:numId w:val="0"/>
              </w:numPr>
              <w:spacing w:beforeLines="60" w:before="144" w:afterLines="60" w:after="144"/>
              <w:jc w:val="both"/>
              <w:rPr>
                <w:lang w:val="en-US"/>
              </w:rPr>
            </w:pPr>
            <w:hyperlink r:id="rId38" w:history="1">
              <w:r w:rsidRPr="00AA09C7">
                <w:rPr>
                  <w:rStyle w:val="Hyperlink"/>
                  <w:lang w:val="en-US"/>
                </w:rPr>
                <w:t>LHE/22/17.COM/</w:t>
              </w:r>
              <w:proofErr w:type="gramStart"/>
              <w:r w:rsidRPr="00AA09C7">
                <w:rPr>
                  <w:rStyle w:val="Hyperlink"/>
                  <w:lang w:val="en-US"/>
                </w:rPr>
                <w:t>6.b</w:t>
              </w:r>
              <w:proofErr w:type="gramEnd"/>
              <w:r w:rsidRPr="00AA09C7">
                <w:rPr>
                  <w:rStyle w:val="Hyperlink"/>
                  <w:lang w:val="en-US"/>
                </w:rPr>
                <w:t xml:space="preserve"> Rev. </w:t>
              </w:r>
            </w:hyperlink>
          </w:p>
        </w:tc>
        <w:tc>
          <w:tcPr>
            <w:tcW w:w="2453" w:type="dxa"/>
          </w:tcPr>
          <w:p w14:paraId="0CA087BC" w14:textId="60A477B5"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39" w:history="1">
              <w:r w:rsidR="00B86B73" w:rsidRPr="00663191">
                <w:rPr>
                  <w:rStyle w:val="Hyperlink"/>
                  <w:lang w:val="en-US"/>
                </w:rPr>
                <w:t xml:space="preserve">17.COM </w:t>
              </w:r>
              <w:proofErr w:type="gramStart"/>
              <w:r w:rsidR="00B86B73" w:rsidRPr="00663191">
                <w:rPr>
                  <w:rStyle w:val="Hyperlink"/>
                  <w:lang w:val="en-US"/>
                </w:rPr>
                <w:t>6.b</w:t>
              </w:r>
              <w:proofErr w:type="gramEnd"/>
            </w:hyperlink>
          </w:p>
        </w:tc>
      </w:tr>
      <w:tr w:rsidR="00B86B73" w14:paraId="36799F47" w14:textId="77777777" w:rsidTr="002518AC">
        <w:tc>
          <w:tcPr>
            <w:tcW w:w="4815" w:type="dxa"/>
          </w:tcPr>
          <w:p w14:paraId="110741BF" w14:textId="283A4862"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Update on the first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Latin America and the Caribbean (2021 Cycle), in the Arab States (2023 Cycle) and in Africa (2024 Cycle)</w:t>
            </w:r>
          </w:p>
        </w:tc>
        <w:tc>
          <w:tcPr>
            <w:tcW w:w="2410" w:type="dxa"/>
          </w:tcPr>
          <w:p w14:paraId="5E720271" w14:textId="38F66811" w:rsidR="00B86B73" w:rsidRDefault="00B86B73" w:rsidP="00AD5675">
            <w:pPr>
              <w:pStyle w:val="COMPara"/>
              <w:numPr>
                <w:ilvl w:val="0"/>
                <w:numId w:val="0"/>
              </w:numPr>
              <w:spacing w:beforeLines="60" w:before="144" w:afterLines="60" w:after="144"/>
              <w:jc w:val="both"/>
              <w:rPr>
                <w:lang w:val="en-US"/>
              </w:rPr>
            </w:pPr>
            <w:hyperlink r:id="rId40" w:history="1">
              <w:r w:rsidRPr="00AA09C7">
                <w:rPr>
                  <w:rStyle w:val="Hyperlink"/>
                  <w:lang w:val="en-US"/>
                </w:rPr>
                <w:t>LHE/22/17.COM/6.c</w:t>
              </w:r>
            </w:hyperlink>
          </w:p>
        </w:tc>
        <w:tc>
          <w:tcPr>
            <w:tcW w:w="2453" w:type="dxa"/>
          </w:tcPr>
          <w:p w14:paraId="56D4A2E2" w14:textId="0B25ADF4"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41" w:history="1">
              <w:r w:rsidR="00B86B73" w:rsidRPr="00663191">
                <w:rPr>
                  <w:rStyle w:val="Hyperlink"/>
                  <w:lang w:val="en-US"/>
                </w:rPr>
                <w:t>17.COM 6.c</w:t>
              </w:r>
            </w:hyperlink>
          </w:p>
        </w:tc>
      </w:tr>
      <w:tr w:rsidR="00B86B73" w:rsidRPr="00E634DB" w14:paraId="3662347A" w14:textId="77777777" w:rsidTr="002518AC">
        <w:tc>
          <w:tcPr>
            <w:tcW w:w="4815" w:type="dxa"/>
          </w:tcPr>
          <w:p w14:paraId="48329D88" w14:textId="5A9FC236"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Analytical Report of the first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Latin America and the Caribbean</w:t>
            </w:r>
          </w:p>
        </w:tc>
        <w:tc>
          <w:tcPr>
            <w:tcW w:w="2410" w:type="dxa"/>
          </w:tcPr>
          <w:p w14:paraId="58D240B9" w14:textId="6B77EBC4" w:rsidR="00B86B73" w:rsidRPr="002518AC" w:rsidRDefault="00B86B73" w:rsidP="00AD5675">
            <w:pPr>
              <w:pStyle w:val="COMPara"/>
              <w:numPr>
                <w:ilvl w:val="0"/>
                <w:numId w:val="0"/>
              </w:numPr>
              <w:spacing w:beforeLines="60" w:before="144" w:afterLines="60" w:after="144"/>
              <w:jc w:val="both"/>
              <w:rPr>
                <w:lang w:val="pt-PT"/>
              </w:rPr>
            </w:pPr>
            <w:hyperlink r:id="rId42" w:history="1">
              <w:r w:rsidRPr="00AA09C7">
                <w:rPr>
                  <w:rStyle w:val="Hyperlink"/>
                  <w:lang w:val="pt-PT"/>
                </w:rPr>
                <w:t>LHE/22/17.COM/INF.6.c Rev.</w:t>
              </w:r>
            </w:hyperlink>
          </w:p>
        </w:tc>
        <w:tc>
          <w:tcPr>
            <w:tcW w:w="2453" w:type="dxa"/>
          </w:tcPr>
          <w:p w14:paraId="1509DCA4" w14:textId="243294AD" w:rsidR="00B86B73" w:rsidRPr="002518AC" w:rsidRDefault="003E3AEE" w:rsidP="00AD5675">
            <w:pPr>
              <w:pStyle w:val="COMPara"/>
              <w:numPr>
                <w:ilvl w:val="0"/>
                <w:numId w:val="0"/>
              </w:numPr>
              <w:spacing w:beforeLines="60" w:before="144" w:afterLines="60" w:after="144"/>
              <w:jc w:val="both"/>
              <w:rPr>
                <w:lang w:val="pt-PT"/>
              </w:rPr>
            </w:pPr>
            <w:r>
              <w:rPr>
                <w:lang w:val="en-US"/>
              </w:rPr>
              <w:t xml:space="preserve">Decision </w:t>
            </w:r>
            <w:hyperlink r:id="rId43" w:history="1">
              <w:r w:rsidRPr="00663191">
                <w:rPr>
                  <w:rStyle w:val="Hyperlink"/>
                  <w:lang w:val="en-US"/>
                </w:rPr>
                <w:t>17.COM 6.c</w:t>
              </w:r>
            </w:hyperlink>
          </w:p>
        </w:tc>
      </w:tr>
      <w:tr w:rsidR="00B86B73" w:rsidRPr="00B82A13" w14:paraId="4E32316E" w14:textId="77777777" w:rsidTr="002518AC">
        <w:tc>
          <w:tcPr>
            <w:tcW w:w="9678" w:type="dxa"/>
            <w:gridSpan w:val="3"/>
            <w:shd w:val="clear" w:color="auto" w:fill="F2F2F2" w:themeFill="background1" w:themeFillShade="F2"/>
          </w:tcPr>
          <w:p w14:paraId="774C890A" w14:textId="4577E2D5" w:rsidR="00B86B73" w:rsidRDefault="00B86B73" w:rsidP="00AD5675">
            <w:pPr>
              <w:pStyle w:val="COMPara"/>
              <w:numPr>
                <w:ilvl w:val="0"/>
                <w:numId w:val="0"/>
              </w:numPr>
              <w:spacing w:beforeLines="60" w:before="144" w:afterLines="60" w:after="144"/>
              <w:jc w:val="both"/>
              <w:rPr>
                <w:lang w:val="en-US"/>
              </w:rPr>
            </w:pPr>
            <w:r>
              <w:rPr>
                <w:b/>
                <w:bCs/>
                <w:lang w:val="en-US"/>
              </w:rPr>
              <w:t xml:space="preserve">Eighteenth session </w:t>
            </w:r>
            <w:r w:rsidRPr="00162C7F">
              <w:rPr>
                <w:b/>
                <w:bCs/>
                <w:lang w:val="en-US"/>
              </w:rPr>
              <w:t xml:space="preserve">of the Committee </w:t>
            </w:r>
            <w:r w:rsidRPr="002518AC">
              <w:rPr>
                <w:lang w:val="en-US"/>
              </w:rPr>
              <w:t>(5 to 8 December 2023, Kasane, Republic of Botswana)</w:t>
            </w:r>
          </w:p>
        </w:tc>
      </w:tr>
      <w:tr w:rsidR="00B86B73" w:rsidRPr="00B82A13" w14:paraId="05C3C4AA" w14:textId="77777777" w:rsidTr="002518AC">
        <w:tc>
          <w:tcPr>
            <w:tcW w:w="4815" w:type="dxa"/>
          </w:tcPr>
          <w:p w14:paraId="6240A0DA" w14:textId="65BBC28A"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by States Parties on the </w:t>
            </w:r>
            <w:proofErr w:type="gramStart"/>
            <w:r w:rsidRPr="009656A6">
              <w:rPr>
                <w:lang w:val="en-US"/>
              </w:rPr>
              <w:t>current status</w:t>
            </w:r>
            <w:proofErr w:type="gramEnd"/>
            <w:r w:rsidRPr="009656A6">
              <w:rPr>
                <w:lang w:val="en-US"/>
              </w:rPr>
              <w:t xml:space="preserve"> of elements inscribed on the List of Intangible Cultural Heritage in Need of Urgent Safeguarding</w:t>
            </w:r>
          </w:p>
        </w:tc>
        <w:tc>
          <w:tcPr>
            <w:tcW w:w="2410" w:type="dxa"/>
          </w:tcPr>
          <w:p w14:paraId="6467C82C" w14:textId="48AF7889" w:rsidR="00B86B73" w:rsidRDefault="00B86B73" w:rsidP="00AD5675">
            <w:pPr>
              <w:pStyle w:val="COMPara"/>
              <w:numPr>
                <w:ilvl w:val="0"/>
                <w:numId w:val="0"/>
              </w:numPr>
              <w:spacing w:beforeLines="60" w:before="144" w:afterLines="60" w:after="144"/>
              <w:jc w:val="both"/>
              <w:rPr>
                <w:lang w:val="en-US"/>
              </w:rPr>
            </w:pPr>
            <w:hyperlink r:id="rId44" w:history="1">
              <w:r w:rsidRPr="00AA09C7">
                <w:rPr>
                  <w:rStyle w:val="Hyperlink"/>
                  <w:lang w:val="en-US"/>
                </w:rPr>
                <w:t>LHE/23/18.COM/</w:t>
              </w:r>
              <w:proofErr w:type="gramStart"/>
              <w:r w:rsidRPr="00AA09C7">
                <w:rPr>
                  <w:rStyle w:val="Hyperlink"/>
                  <w:lang w:val="en-US"/>
                </w:rPr>
                <w:t>7.a</w:t>
              </w:r>
              <w:proofErr w:type="gramEnd"/>
            </w:hyperlink>
          </w:p>
        </w:tc>
        <w:tc>
          <w:tcPr>
            <w:tcW w:w="2453" w:type="dxa"/>
          </w:tcPr>
          <w:p w14:paraId="1D03F645" w14:textId="2EB80D38"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45" w:history="1">
              <w:r w:rsidR="00B86B73" w:rsidRPr="0010249C">
                <w:rPr>
                  <w:rStyle w:val="Hyperlink"/>
                  <w:lang w:val="en-US"/>
                </w:rPr>
                <w:t xml:space="preserve">18.COM </w:t>
              </w:r>
              <w:proofErr w:type="gramStart"/>
              <w:r w:rsidR="00B86B73" w:rsidRPr="0010249C">
                <w:rPr>
                  <w:rStyle w:val="Hyperlink"/>
                  <w:lang w:val="en-US"/>
                </w:rPr>
                <w:t>7.a</w:t>
              </w:r>
              <w:proofErr w:type="gramEnd"/>
            </w:hyperlink>
          </w:p>
          <w:p w14:paraId="7C773F49" w14:textId="04863B87" w:rsidR="00B86B73" w:rsidRDefault="00B86B73" w:rsidP="00AD5675">
            <w:pPr>
              <w:pStyle w:val="COMPara"/>
              <w:numPr>
                <w:ilvl w:val="0"/>
                <w:numId w:val="0"/>
              </w:numPr>
              <w:spacing w:beforeLines="60" w:before="144" w:afterLines="60" w:after="144"/>
              <w:jc w:val="both"/>
              <w:rPr>
                <w:lang w:val="en-US"/>
              </w:rPr>
            </w:pPr>
            <w:r>
              <w:rPr>
                <w:lang w:val="en-US"/>
              </w:rPr>
              <w:t xml:space="preserve">See also </w:t>
            </w:r>
            <w:hyperlink r:id="rId46" w:history="1">
              <w:r w:rsidRPr="0010249C">
                <w:rPr>
                  <w:rStyle w:val="Hyperlink"/>
                  <w:lang w:val="en-US"/>
                </w:rPr>
                <w:t>individual decisions</w:t>
              </w:r>
            </w:hyperlink>
            <w:r>
              <w:rPr>
                <w:lang w:val="en-US"/>
              </w:rPr>
              <w:t xml:space="preserve"> under item </w:t>
            </w:r>
            <w:proofErr w:type="gramStart"/>
            <w:r>
              <w:rPr>
                <w:lang w:val="en-US"/>
              </w:rPr>
              <w:t>7.a</w:t>
            </w:r>
            <w:proofErr w:type="gramEnd"/>
          </w:p>
        </w:tc>
      </w:tr>
      <w:tr w:rsidR="00B86B73" w14:paraId="5EFB9688" w14:textId="77777777" w:rsidTr="002518AC">
        <w:tc>
          <w:tcPr>
            <w:tcW w:w="4815" w:type="dxa"/>
          </w:tcPr>
          <w:p w14:paraId="7F0906E6" w14:textId="284026A0"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of the regional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the Arab States</w:t>
            </w:r>
          </w:p>
        </w:tc>
        <w:tc>
          <w:tcPr>
            <w:tcW w:w="2410" w:type="dxa"/>
          </w:tcPr>
          <w:p w14:paraId="185AA6CF" w14:textId="3F0C4479" w:rsidR="00B86B73" w:rsidRDefault="00B86B73" w:rsidP="00AD5675">
            <w:pPr>
              <w:pStyle w:val="COMPara"/>
              <w:numPr>
                <w:ilvl w:val="0"/>
                <w:numId w:val="0"/>
              </w:numPr>
              <w:spacing w:beforeLines="60" w:before="144" w:afterLines="60" w:after="144"/>
              <w:jc w:val="both"/>
              <w:rPr>
                <w:lang w:val="en-US"/>
              </w:rPr>
            </w:pPr>
            <w:hyperlink r:id="rId47" w:history="1">
              <w:r w:rsidRPr="00AA09C7">
                <w:rPr>
                  <w:rStyle w:val="Hyperlink"/>
                  <w:lang w:val="en-US"/>
                </w:rPr>
                <w:t>LHE/23/18.COM/</w:t>
              </w:r>
              <w:proofErr w:type="gramStart"/>
              <w:r w:rsidRPr="00AA09C7">
                <w:rPr>
                  <w:rStyle w:val="Hyperlink"/>
                  <w:lang w:val="en-US"/>
                </w:rPr>
                <w:t>7.b</w:t>
              </w:r>
              <w:proofErr w:type="gramEnd"/>
              <w:r w:rsidRPr="00AA09C7">
                <w:rPr>
                  <w:rStyle w:val="Hyperlink"/>
                  <w:lang w:val="en-US"/>
                </w:rPr>
                <w:t xml:space="preserve"> Rev.</w:t>
              </w:r>
            </w:hyperlink>
          </w:p>
        </w:tc>
        <w:tc>
          <w:tcPr>
            <w:tcW w:w="2453" w:type="dxa"/>
          </w:tcPr>
          <w:p w14:paraId="68BE1369" w14:textId="1969A1DB"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48" w:history="1">
              <w:r w:rsidR="00B86B73" w:rsidRPr="0010249C">
                <w:rPr>
                  <w:rStyle w:val="Hyperlink"/>
                  <w:lang w:val="en-US"/>
                </w:rPr>
                <w:t xml:space="preserve">18.COM </w:t>
              </w:r>
              <w:proofErr w:type="gramStart"/>
              <w:r w:rsidR="00B86B73" w:rsidRPr="0010249C">
                <w:rPr>
                  <w:rStyle w:val="Hyperlink"/>
                  <w:lang w:val="en-US"/>
                </w:rPr>
                <w:t>7.b</w:t>
              </w:r>
              <w:proofErr w:type="gramEnd"/>
            </w:hyperlink>
          </w:p>
        </w:tc>
      </w:tr>
      <w:tr w:rsidR="00B86B73" w14:paraId="4F5322E4" w14:textId="77777777" w:rsidTr="002518AC">
        <w:tc>
          <w:tcPr>
            <w:tcW w:w="4815" w:type="dxa"/>
          </w:tcPr>
          <w:p w14:paraId="53AF37BE" w14:textId="0902A76C" w:rsidR="00B86B73" w:rsidRDefault="00B86B73" w:rsidP="00AD5675">
            <w:pPr>
              <w:pStyle w:val="COMPara"/>
              <w:numPr>
                <w:ilvl w:val="0"/>
                <w:numId w:val="0"/>
              </w:numPr>
              <w:spacing w:beforeLines="60" w:before="144" w:afterLines="60" w:after="144"/>
              <w:jc w:val="both"/>
              <w:rPr>
                <w:b/>
                <w:bCs/>
                <w:lang w:val="en-US"/>
              </w:rPr>
            </w:pPr>
            <w:r w:rsidRPr="009656A6">
              <w:rPr>
                <w:lang w:val="en-US"/>
              </w:rPr>
              <w:t>Update on the regional cycles of the Convention’s periodic reporting and proposal for related amendments to the Operational Directives</w:t>
            </w:r>
          </w:p>
        </w:tc>
        <w:tc>
          <w:tcPr>
            <w:tcW w:w="2410" w:type="dxa"/>
          </w:tcPr>
          <w:p w14:paraId="03FA46AC" w14:textId="4A5C93AC" w:rsidR="00B86B73" w:rsidRDefault="00B86B73" w:rsidP="00AD5675">
            <w:pPr>
              <w:pStyle w:val="COMPara"/>
              <w:numPr>
                <w:ilvl w:val="0"/>
                <w:numId w:val="0"/>
              </w:numPr>
              <w:spacing w:beforeLines="60" w:before="144" w:afterLines="60" w:after="144"/>
              <w:jc w:val="both"/>
              <w:rPr>
                <w:lang w:val="en-US"/>
              </w:rPr>
            </w:pPr>
            <w:hyperlink r:id="rId49" w:history="1">
              <w:r w:rsidRPr="00AA09C7">
                <w:rPr>
                  <w:rStyle w:val="Hyperlink"/>
                  <w:lang w:val="en-US"/>
                </w:rPr>
                <w:t>LHE/23/18.COM/7</w:t>
              </w:r>
              <w:proofErr w:type="gramStart"/>
              <w:r w:rsidRPr="00AA09C7">
                <w:rPr>
                  <w:rStyle w:val="Hyperlink"/>
                  <w:lang w:val="en-US"/>
                </w:rPr>
                <w:t>.c</w:t>
              </w:r>
              <w:proofErr w:type="gramEnd"/>
              <w:r w:rsidRPr="00AA09C7">
                <w:rPr>
                  <w:rStyle w:val="Hyperlink"/>
                  <w:lang w:val="en-US"/>
                </w:rPr>
                <w:t xml:space="preserve"> Rev.</w:t>
              </w:r>
            </w:hyperlink>
          </w:p>
        </w:tc>
        <w:tc>
          <w:tcPr>
            <w:tcW w:w="2453" w:type="dxa"/>
          </w:tcPr>
          <w:p w14:paraId="3375F560" w14:textId="3D1B7C6B"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50" w:history="1">
              <w:r w:rsidR="00B86B73" w:rsidRPr="0010249C">
                <w:rPr>
                  <w:rStyle w:val="Hyperlink"/>
                  <w:lang w:val="en-US"/>
                </w:rPr>
                <w:t>18.COM 7.c</w:t>
              </w:r>
            </w:hyperlink>
          </w:p>
        </w:tc>
      </w:tr>
      <w:tr w:rsidR="00B86B73" w14:paraId="1F828A03" w14:textId="77777777" w:rsidTr="002518AC">
        <w:tc>
          <w:tcPr>
            <w:tcW w:w="4815" w:type="dxa"/>
          </w:tcPr>
          <w:p w14:paraId="1E6E50AA" w14:textId="004D44A0" w:rsidR="00B86B73" w:rsidRDefault="00B86B73" w:rsidP="00AD5675">
            <w:pPr>
              <w:pStyle w:val="COMPara"/>
              <w:numPr>
                <w:ilvl w:val="0"/>
                <w:numId w:val="0"/>
              </w:numPr>
              <w:spacing w:beforeLines="60" w:before="144" w:afterLines="60" w:after="144"/>
              <w:jc w:val="both"/>
              <w:rPr>
                <w:b/>
                <w:bCs/>
                <w:lang w:val="en-US"/>
              </w:rPr>
            </w:pPr>
            <w:r w:rsidRPr="009656A6">
              <w:rPr>
                <w:lang w:val="en-US"/>
              </w:rPr>
              <w:t xml:space="preserve">Analytical Report of the first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Europe</w:t>
            </w:r>
          </w:p>
        </w:tc>
        <w:tc>
          <w:tcPr>
            <w:tcW w:w="2410" w:type="dxa"/>
          </w:tcPr>
          <w:p w14:paraId="09195118" w14:textId="13B9CDAF" w:rsidR="00B86B73" w:rsidRDefault="00B86B73" w:rsidP="00AD5675">
            <w:pPr>
              <w:pStyle w:val="COMPara"/>
              <w:numPr>
                <w:ilvl w:val="0"/>
                <w:numId w:val="0"/>
              </w:numPr>
              <w:spacing w:beforeLines="60" w:before="144" w:afterLines="60" w:after="144"/>
              <w:jc w:val="both"/>
              <w:rPr>
                <w:lang w:val="en-US"/>
              </w:rPr>
            </w:pPr>
            <w:hyperlink r:id="rId51" w:history="1">
              <w:r w:rsidRPr="00AA09C7">
                <w:rPr>
                  <w:rStyle w:val="Hyperlink"/>
                  <w:lang w:val="en-US"/>
                </w:rPr>
                <w:t>LHE/23/18.COM/INF.7.c</w:t>
              </w:r>
            </w:hyperlink>
          </w:p>
        </w:tc>
        <w:tc>
          <w:tcPr>
            <w:tcW w:w="2453" w:type="dxa"/>
          </w:tcPr>
          <w:p w14:paraId="2B48B633" w14:textId="4F7CDCA8" w:rsidR="00B86B73" w:rsidRDefault="003E3AEE" w:rsidP="00AD5675">
            <w:pPr>
              <w:pStyle w:val="COMPara"/>
              <w:numPr>
                <w:ilvl w:val="0"/>
                <w:numId w:val="0"/>
              </w:numPr>
              <w:spacing w:beforeLines="60" w:before="144" w:afterLines="60" w:after="144"/>
              <w:jc w:val="both"/>
              <w:rPr>
                <w:lang w:val="en-US"/>
              </w:rPr>
            </w:pPr>
            <w:r>
              <w:rPr>
                <w:lang w:val="en-US"/>
              </w:rPr>
              <w:t xml:space="preserve">Decision </w:t>
            </w:r>
            <w:hyperlink r:id="rId52" w:history="1">
              <w:r w:rsidRPr="0010249C">
                <w:rPr>
                  <w:rStyle w:val="Hyperlink"/>
                  <w:lang w:val="en-US"/>
                </w:rPr>
                <w:t>18.COM 7.c</w:t>
              </w:r>
            </w:hyperlink>
          </w:p>
        </w:tc>
      </w:tr>
      <w:tr w:rsidR="00B86B73" w:rsidRPr="00B82A13" w14:paraId="43039C69" w14:textId="77777777" w:rsidTr="002518AC">
        <w:tc>
          <w:tcPr>
            <w:tcW w:w="9678" w:type="dxa"/>
            <w:gridSpan w:val="3"/>
            <w:shd w:val="clear" w:color="auto" w:fill="F2F2F2" w:themeFill="background1" w:themeFillShade="F2"/>
          </w:tcPr>
          <w:p w14:paraId="15218BF9" w14:textId="4414E39E" w:rsidR="00B86B73" w:rsidRPr="002518AC" w:rsidRDefault="00B86B73" w:rsidP="00AD5675">
            <w:pPr>
              <w:pStyle w:val="COMPara"/>
              <w:numPr>
                <w:ilvl w:val="0"/>
                <w:numId w:val="0"/>
              </w:numPr>
              <w:spacing w:beforeLines="60" w:before="144" w:afterLines="60" w:after="144"/>
              <w:jc w:val="both"/>
              <w:rPr>
                <w:b/>
                <w:bCs/>
                <w:lang w:val="en-US"/>
              </w:rPr>
            </w:pPr>
            <w:r>
              <w:rPr>
                <w:b/>
                <w:bCs/>
                <w:lang w:val="en-US"/>
              </w:rPr>
              <w:t xml:space="preserve">Tenth session of the General Assembly </w:t>
            </w:r>
            <w:r w:rsidRPr="002518AC">
              <w:rPr>
                <w:lang w:val="en-US"/>
              </w:rPr>
              <w:t>(11 to 12 June 2024</w:t>
            </w:r>
            <w:r w:rsidRPr="0095608F">
              <w:rPr>
                <w:lang w:val="en-US"/>
              </w:rPr>
              <w:t>,</w:t>
            </w:r>
            <w:r w:rsidRPr="002518AC">
              <w:rPr>
                <w:lang w:val="en-US"/>
              </w:rPr>
              <w:t xml:space="preserve"> UNESCO </w:t>
            </w:r>
            <w:r w:rsidR="00C846D4">
              <w:rPr>
                <w:lang w:val="en-US"/>
              </w:rPr>
              <w:t>H</w:t>
            </w:r>
            <w:r w:rsidRPr="002518AC">
              <w:rPr>
                <w:lang w:val="en-US"/>
              </w:rPr>
              <w:t>eadquarters)</w:t>
            </w:r>
          </w:p>
        </w:tc>
      </w:tr>
      <w:tr w:rsidR="00B86B73" w14:paraId="0ADA626A" w14:textId="77777777" w:rsidTr="002518AC">
        <w:tc>
          <w:tcPr>
            <w:tcW w:w="4815" w:type="dxa"/>
          </w:tcPr>
          <w:p w14:paraId="5614B17A" w14:textId="3E815EFA" w:rsidR="00B86B73" w:rsidRDefault="00B86B73" w:rsidP="00AD5675">
            <w:pPr>
              <w:pStyle w:val="COMPara"/>
              <w:numPr>
                <w:ilvl w:val="0"/>
                <w:numId w:val="0"/>
              </w:numPr>
              <w:spacing w:beforeLines="60" w:before="144" w:afterLines="60" w:after="144"/>
              <w:jc w:val="both"/>
              <w:rPr>
                <w:b/>
                <w:bCs/>
                <w:lang w:val="en-US"/>
              </w:rPr>
            </w:pPr>
            <w:r w:rsidRPr="009656A6">
              <w:rPr>
                <w:lang w:val="en-US"/>
              </w:rPr>
              <w:t>Report by the Committee to the General Assembly (January 2022 to December 2023)</w:t>
            </w:r>
          </w:p>
        </w:tc>
        <w:tc>
          <w:tcPr>
            <w:tcW w:w="2410" w:type="dxa"/>
          </w:tcPr>
          <w:p w14:paraId="72E97A9F" w14:textId="048CB74B" w:rsidR="00B86B73" w:rsidRDefault="00B86B73" w:rsidP="00AD5675">
            <w:pPr>
              <w:pStyle w:val="COMPara"/>
              <w:numPr>
                <w:ilvl w:val="0"/>
                <w:numId w:val="0"/>
              </w:numPr>
              <w:spacing w:beforeLines="60" w:before="144" w:afterLines="60" w:after="144"/>
              <w:jc w:val="both"/>
              <w:rPr>
                <w:lang w:val="en-US"/>
              </w:rPr>
            </w:pPr>
            <w:hyperlink r:id="rId53" w:history="1">
              <w:r w:rsidRPr="00AA09C7">
                <w:rPr>
                  <w:rStyle w:val="Hyperlink"/>
                  <w:lang w:val="en-US"/>
                </w:rPr>
                <w:t>LHE/24/10.GA/5</w:t>
              </w:r>
            </w:hyperlink>
          </w:p>
        </w:tc>
        <w:tc>
          <w:tcPr>
            <w:tcW w:w="2453" w:type="dxa"/>
          </w:tcPr>
          <w:p w14:paraId="021215C9" w14:textId="7340BE82" w:rsidR="00B86B73" w:rsidRDefault="00A30D55" w:rsidP="00AD5675">
            <w:pPr>
              <w:pStyle w:val="COMPara"/>
              <w:numPr>
                <w:ilvl w:val="0"/>
                <w:numId w:val="0"/>
              </w:numPr>
              <w:spacing w:beforeLines="60" w:before="144" w:afterLines="60" w:after="144"/>
              <w:jc w:val="both"/>
              <w:rPr>
                <w:lang w:val="en-US"/>
              </w:rPr>
            </w:pPr>
            <w:r>
              <w:rPr>
                <w:lang w:val="en-US"/>
              </w:rPr>
              <w:t xml:space="preserve">Resolution </w:t>
            </w:r>
            <w:hyperlink r:id="rId54" w:history="1">
              <w:r w:rsidR="00B86B73" w:rsidRPr="00607A64">
                <w:rPr>
                  <w:rStyle w:val="Hyperlink"/>
                  <w:lang w:val="en-US"/>
                </w:rPr>
                <w:t>10/GA 5</w:t>
              </w:r>
            </w:hyperlink>
          </w:p>
        </w:tc>
      </w:tr>
      <w:tr w:rsidR="00B86B73" w14:paraId="1E396EE9" w14:textId="77777777" w:rsidTr="002518AC">
        <w:tc>
          <w:tcPr>
            <w:tcW w:w="4815" w:type="dxa"/>
          </w:tcPr>
          <w:p w14:paraId="50ECC14B" w14:textId="76D0B7B4" w:rsidR="00B86B73" w:rsidRDefault="00B86B73" w:rsidP="00AD5675">
            <w:pPr>
              <w:pStyle w:val="COMPara"/>
              <w:numPr>
                <w:ilvl w:val="0"/>
                <w:numId w:val="0"/>
              </w:numPr>
              <w:spacing w:beforeLines="60" w:before="144" w:afterLines="60" w:after="144"/>
              <w:jc w:val="both"/>
              <w:rPr>
                <w:b/>
                <w:bCs/>
                <w:lang w:val="en-US"/>
              </w:rPr>
            </w:pPr>
            <w:r w:rsidRPr="009656A6">
              <w:rPr>
                <w:lang w:val="en-US"/>
              </w:rPr>
              <w:t>Report by the Secretariat on its activities (January 2022 to December 2023)</w:t>
            </w:r>
          </w:p>
        </w:tc>
        <w:tc>
          <w:tcPr>
            <w:tcW w:w="2410" w:type="dxa"/>
          </w:tcPr>
          <w:p w14:paraId="25C04ADE" w14:textId="0572CC1A" w:rsidR="00B86B73" w:rsidRDefault="00B86B73" w:rsidP="00AD5675">
            <w:pPr>
              <w:pStyle w:val="COMPara"/>
              <w:numPr>
                <w:ilvl w:val="0"/>
                <w:numId w:val="0"/>
              </w:numPr>
              <w:spacing w:beforeLines="60" w:before="144" w:afterLines="60" w:after="144"/>
              <w:jc w:val="both"/>
              <w:rPr>
                <w:lang w:val="en-US"/>
              </w:rPr>
            </w:pPr>
            <w:hyperlink r:id="rId55" w:history="1">
              <w:r w:rsidRPr="00AA09C7">
                <w:rPr>
                  <w:rStyle w:val="Hyperlink"/>
                  <w:lang w:val="en-US"/>
                </w:rPr>
                <w:t>LHE/24/10.GA/6</w:t>
              </w:r>
            </w:hyperlink>
          </w:p>
        </w:tc>
        <w:tc>
          <w:tcPr>
            <w:tcW w:w="2453" w:type="dxa"/>
          </w:tcPr>
          <w:p w14:paraId="5D04DA59" w14:textId="1503280A" w:rsidR="00B86B73" w:rsidRDefault="00A30D55" w:rsidP="00AD5675">
            <w:pPr>
              <w:pStyle w:val="COMPara"/>
              <w:numPr>
                <w:ilvl w:val="0"/>
                <w:numId w:val="0"/>
              </w:numPr>
              <w:spacing w:beforeLines="60" w:before="144" w:afterLines="60" w:after="144"/>
              <w:jc w:val="both"/>
              <w:rPr>
                <w:lang w:val="en-US"/>
              </w:rPr>
            </w:pPr>
            <w:r>
              <w:rPr>
                <w:lang w:val="en-US"/>
              </w:rPr>
              <w:t xml:space="preserve">Resolution </w:t>
            </w:r>
            <w:hyperlink r:id="rId56" w:history="1">
              <w:r w:rsidR="00B86B73" w:rsidRPr="00607A64">
                <w:rPr>
                  <w:rStyle w:val="Hyperlink"/>
                  <w:lang w:val="en-US"/>
                </w:rPr>
                <w:t>10/GA 6</w:t>
              </w:r>
            </w:hyperlink>
          </w:p>
        </w:tc>
      </w:tr>
      <w:tr w:rsidR="00B86B73" w:rsidRPr="00B82A13" w14:paraId="0A663CEA" w14:textId="77777777" w:rsidTr="002518AC">
        <w:tc>
          <w:tcPr>
            <w:tcW w:w="9678" w:type="dxa"/>
            <w:gridSpan w:val="3"/>
            <w:shd w:val="clear" w:color="auto" w:fill="F2F2F2" w:themeFill="background1" w:themeFillShade="F2"/>
          </w:tcPr>
          <w:p w14:paraId="37992D29" w14:textId="58372A97" w:rsidR="00B86B73" w:rsidRDefault="00B86B73" w:rsidP="00AD5675">
            <w:pPr>
              <w:pStyle w:val="COMPara"/>
              <w:numPr>
                <w:ilvl w:val="0"/>
                <w:numId w:val="0"/>
              </w:numPr>
              <w:spacing w:beforeLines="60" w:before="144" w:afterLines="60" w:after="144"/>
              <w:jc w:val="both"/>
              <w:rPr>
                <w:lang w:val="en-US"/>
              </w:rPr>
            </w:pPr>
            <w:r>
              <w:rPr>
                <w:b/>
                <w:bCs/>
                <w:lang w:val="en-US"/>
              </w:rPr>
              <w:t xml:space="preserve">Nineteenth session of the Committee </w:t>
            </w:r>
            <w:r w:rsidRPr="002518AC">
              <w:rPr>
                <w:lang w:val="en-US"/>
              </w:rPr>
              <w:t xml:space="preserve">(2 </w:t>
            </w:r>
            <w:r>
              <w:rPr>
                <w:lang w:val="en-US"/>
              </w:rPr>
              <w:t>t</w:t>
            </w:r>
            <w:r w:rsidRPr="002518AC">
              <w:rPr>
                <w:lang w:val="en-US"/>
              </w:rPr>
              <w:t>o 6 December 2024, Asunci</w:t>
            </w:r>
            <w:r>
              <w:rPr>
                <w:lang w:val="en-US"/>
              </w:rPr>
              <w:t>ó</w:t>
            </w:r>
            <w:r w:rsidRPr="002518AC">
              <w:rPr>
                <w:lang w:val="en-US"/>
              </w:rPr>
              <w:t>n, Republic of Paraguay)</w:t>
            </w:r>
          </w:p>
        </w:tc>
      </w:tr>
      <w:tr w:rsidR="00B86B73" w:rsidRPr="00B82A13" w14:paraId="57008C92" w14:textId="77777777" w:rsidTr="002518AC">
        <w:tc>
          <w:tcPr>
            <w:tcW w:w="4815" w:type="dxa"/>
          </w:tcPr>
          <w:p w14:paraId="7B5398BB" w14:textId="10A838F6" w:rsidR="00B86B73" w:rsidRPr="00DA74EB"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by States Parties on the </w:t>
            </w:r>
            <w:proofErr w:type="gramStart"/>
            <w:r w:rsidRPr="009656A6">
              <w:rPr>
                <w:lang w:val="en-US"/>
              </w:rPr>
              <w:t>current status</w:t>
            </w:r>
            <w:proofErr w:type="gramEnd"/>
            <w:r w:rsidRPr="009656A6">
              <w:rPr>
                <w:lang w:val="en-US"/>
              </w:rPr>
              <w:t xml:space="preserve"> of elements inscribed on the List of Intangible Cultural Heritage in Need of Urgent Safeguarding</w:t>
            </w:r>
          </w:p>
        </w:tc>
        <w:tc>
          <w:tcPr>
            <w:tcW w:w="2410" w:type="dxa"/>
          </w:tcPr>
          <w:p w14:paraId="51172CAD" w14:textId="56B8B263" w:rsidR="00B86B73" w:rsidRDefault="00B86B73" w:rsidP="00AD5675">
            <w:pPr>
              <w:pStyle w:val="COMPara"/>
              <w:numPr>
                <w:ilvl w:val="0"/>
                <w:numId w:val="0"/>
              </w:numPr>
              <w:spacing w:beforeLines="60" w:before="144" w:afterLines="60" w:after="144"/>
              <w:jc w:val="both"/>
              <w:rPr>
                <w:lang w:val="en-US"/>
              </w:rPr>
            </w:pPr>
            <w:hyperlink r:id="rId57" w:history="1">
              <w:r w:rsidRPr="00AA09C7">
                <w:rPr>
                  <w:rStyle w:val="Hyperlink"/>
                  <w:lang w:val="en-US"/>
                </w:rPr>
                <w:t>LHE/24/19.COM/</w:t>
              </w:r>
              <w:proofErr w:type="gramStart"/>
              <w:r w:rsidRPr="00AA09C7">
                <w:rPr>
                  <w:rStyle w:val="Hyperlink"/>
                  <w:lang w:val="en-US"/>
                </w:rPr>
                <w:t>6.a</w:t>
              </w:r>
              <w:proofErr w:type="gramEnd"/>
            </w:hyperlink>
          </w:p>
        </w:tc>
        <w:tc>
          <w:tcPr>
            <w:tcW w:w="2453" w:type="dxa"/>
          </w:tcPr>
          <w:p w14:paraId="09CE4F60" w14:textId="13372570"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58" w:history="1">
              <w:r w:rsidR="00B86B73" w:rsidRPr="0065728A">
                <w:rPr>
                  <w:rStyle w:val="Hyperlink"/>
                  <w:lang w:val="en-US"/>
                </w:rPr>
                <w:t xml:space="preserve">19.COM </w:t>
              </w:r>
              <w:proofErr w:type="gramStart"/>
              <w:r w:rsidR="00B86B73" w:rsidRPr="0065728A">
                <w:rPr>
                  <w:rStyle w:val="Hyperlink"/>
                  <w:lang w:val="en-US"/>
                </w:rPr>
                <w:t>6.a</w:t>
              </w:r>
              <w:proofErr w:type="gramEnd"/>
            </w:hyperlink>
          </w:p>
          <w:p w14:paraId="0119D4AC" w14:textId="10CD1CEB" w:rsidR="00B86B73" w:rsidRDefault="00B86B73" w:rsidP="00AD5675">
            <w:pPr>
              <w:pStyle w:val="COMPara"/>
              <w:numPr>
                <w:ilvl w:val="0"/>
                <w:numId w:val="0"/>
              </w:numPr>
              <w:spacing w:beforeLines="60" w:before="144" w:afterLines="60" w:after="144"/>
              <w:jc w:val="both"/>
              <w:rPr>
                <w:lang w:val="en-US"/>
              </w:rPr>
            </w:pPr>
            <w:r>
              <w:rPr>
                <w:lang w:val="en-US"/>
              </w:rPr>
              <w:t xml:space="preserve">See also </w:t>
            </w:r>
            <w:hyperlink r:id="rId59" w:history="1">
              <w:r w:rsidRPr="00607A64">
                <w:rPr>
                  <w:rStyle w:val="Hyperlink"/>
                  <w:lang w:val="en-US"/>
                </w:rPr>
                <w:t>individual decisions</w:t>
              </w:r>
            </w:hyperlink>
            <w:r>
              <w:rPr>
                <w:lang w:val="en-US"/>
              </w:rPr>
              <w:t xml:space="preserve"> under item </w:t>
            </w:r>
            <w:proofErr w:type="gramStart"/>
            <w:r>
              <w:rPr>
                <w:lang w:val="en-US"/>
              </w:rPr>
              <w:t>6.a</w:t>
            </w:r>
            <w:proofErr w:type="gramEnd"/>
          </w:p>
        </w:tc>
      </w:tr>
      <w:tr w:rsidR="00B86B73" w14:paraId="69600F76" w14:textId="77777777" w:rsidTr="002518AC">
        <w:tc>
          <w:tcPr>
            <w:tcW w:w="4815" w:type="dxa"/>
          </w:tcPr>
          <w:p w14:paraId="13A6B404" w14:textId="3794C485" w:rsidR="00B86B73" w:rsidRPr="00DA74EB" w:rsidRDefault="00B86B73" w:rsidP="00AD5675">
            <w:pPr>
              <w:pStyle w:val="COMPara"/>
              <w:numPr>
                <w:ilvl w:val="0"/>
                <w:numId w:val="0"/>
              </w:numPr>
              <w:spacing w:beforeLines="60" w:before="144" w:afterLines="60" w:after="144"/>
              <w:jc w:val="both"/>
              <w:rPr>
                <w:b/>
                <w:bCs/>
                <w:lang w:val="en-US"/>
              </w:rPr>
            </w:pPr>
            <w:r w:rsidRPr="009656A6">
              <w:rPr>
                <w:lang w:val="en-US"/>
              </w:rPr>
              <w:t xml:space="preserve">Examination of the reports of the regional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Africa</w:t>
            </w:r>
          </w:p>
        </w:tc>
        <w:tc>
          <w:tcPr>
            <w:tcW w:w="2410" w:type="dxa"/>
          </w:tcPr>
          <w:p w14:paraId="7D54B7F8" w14:textId="70FD2FC8" w:rsidR="00B86B73" w:rsidRDefault="00B86B73" w:rsidP="00AD5675">
            <w:pPr>
              <w:pStyle w:val="COMPara"/>
              <w:numPr>
                <w:ilvl w:val="0"/>
                <w:numId w:val="0"/>
              </w:numPr>
              <w:spacing w:beforeLines="60" w:before="144" w:afterLines="60" w:after="144"/>
              <w:jc w:val="both"/>
              <w:rPr>
                <w:lang w:val="en-US"/>
              </w:rPr>
            </w:pPr>
            <w:hyperlink r:id="rId60" w:history="1">
              <w:r w:rsidRPr="00AA09C7">
                <w:rPr>
                  <w:rStyle w:val="Hyperlink"/>
                  <w:lang w:val="en-US"/>
                </w:rPr>
                <w:t>LHE/24/19.COM/</w:t>
              </w:r>
              <w:proofErr w:type="gramStart"/>
              <w:r w:rsidRPr="00AA09C7">
                <w:rPr>
                  <w:rStyle w:val="Hyperlink"/>
                  <w:lang w:val="en-US"/>
                </w:rPr>
                <w:t>6.b</w:t>
              </w:r>
              <w:proofErr w:type="gramEnd"/>
            </w:hyperlink>
          </w:p>
        </w:tc>
        <w:tc>
          <w:tcPr>
            <w:tcW w:w="2453" w:type="dxa"/>
          </w:tcPr>
          <w:p w14:paraId="36229FFA" w14:textId="4F01BA9D"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61" w:history="1">
              <w:r w:rsidR="00B86B73" w:rsidRPr="0065728A">
                <w:rPr>
                  <w:rStyle w:val="Hyperlink"/>
                  <w:lang w:val="en-US"/>
                </w:rPr>
                <w:t xml:space="preserve">19.COM </w:t>
              </w:r>
              <w:proofErr w:type="gramStart"/>
              <w:r w:rsidR="00B86B73" w:rsidRPr="0065728A">
                <w:rPr>
                  <w:rStyle w:val="Hyperlink"/>
                  <w:lang w:val="en-US"/>
                </w:rPr>
                <w:t>6.b</w:t>
              </w:r>
              <w:proofErr w:type="gramEnd"/>
            </w:hyperlink>
          </w:p>
        </w:tc>
      </w:tr>
      <w:tr w:rsidR="00B86B73" w14:paraId="70609081" w14:textId="77777777" w:rsidTr="002518AC">
        <w:tc>
          <w:tcPr>
            <w:tcW w:w="4815" w:type="dxa"/>
          </w:tcPr>
          <w:p w14:paraId="512B37D8" w14:textId="3F8187DB" w:rsidR="00B86B73" w:rsidRPr="00DA74EB" w:rsidRDefault="00B86B73" w:rsidP="00AD5675">
            <w:pPr>
              <w:pStyle w:val="COMPara"/>
              <w:numPr>
                <w:ilvl w:val="0"/>
                <w:numId w:val="0"/>
              </w:numPr>
              <w:spacing w:beforeLines="60" w:before="144" w:afterLines="60" w:after="144"/>
              <w:jc w:val="both"/>
              <w:rPr>
                <w:b/>
                <w:bCs/>
                <w:lang w:val="en-US"/>
              </w:rPr>
            </w:pPr>
            <w:r w:rsidRPr="009656A6">
              <w:rPr>
                <w:lang w:val="en-US"/>
              </w:rPr>
              <w:t>Update on the regional cycles of the Convention’s periodic reporting</w:t>
            </w:r>
          </w:p>
        </w:tc>
        <w:tc>
          <w:tcPr>
            <w:tcW w:w="2410" w:type="dxa"/>
          </w:tcPr>
          <w:p w14:paraId="020A2740" w14:textId="0CFB7B1E" w:rsidR="00B86B73" w:rsidRDefault="00B86B73" w:rsidP="00AD5675">
            <w:pPr>
              <w:pStyle w:val="COMPara"/>
              <w:numPr>
                <w:ilvl w:val="0"/>
                <w:numId w:val="0"/>
              </w:numPr>
              <w:spacing w:beforeLines="60" w:before="144" w:afterLines="60" w:after="144"/>
              <w:jc w:val="both"/>
              <w:rPr>
                <w:lang w:val="en-US"/>
              </w:rPr>
            </w:pPr>
            <w:hyperlink r:id="rId62" w:history="1">
              <w:r w:rsidRPr="00AA09C7">
                <w:rPr>
                  <w:rStyle w:val="Hyperlink"/>
                  <w:lang w:val="en-US"/>
                </w:rPr>
                <w:t>LHE/24/19.COM/6.c</w:t>
              </w:r>
            </w:hyperlink>
          </w:p>
        </w:tc>
        <w:tc>
          <w:tcPr>
            <w:tcW w:w="2453" w:type="dxa"/>
          </w:tcPr>
          <w:p w14:paraId="5A906431" w14:textId="3ABC93F5"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63" w:history="1">
              <w:r w:rsidR="00B86B73" w:rsidRPr="0065728A">
                <w:rPr>
                  <w:rStyle w:val="Hyperlink"/>
                  <w:lang w:val="en-US"/>
                </w:rPr>
                <w:t>19.COM 6.c</w:t>
              </w:r>
            </w:hyperlink>
          </w:p>
        </w:tc>
      </w:tr>
      <w:tr w:rsidR="00B86B73" w14:paraId="4423C6FF" w14:textId="77777777" w:rsidTr="002518AC">
        <w:tc>
          <w:tcPr>
            <w:tcW w:w="4815" w:type="dxa"/>
          </w:tcPr>
          <w:p w14:paraId="626BD7F9" w14:textId="54086C21" w:rsidR="00B86B73" w:rsidRPr="00DA74EB" w:rsidRDefault="00B86B73" w:rsidP="00AD5675">
            <w:pPr>
              <w:pStyle w:val="COMPara"/>
              <w:numPr>
                <w:ilvl w:val="0"/>
                <w:numId w:val="0"/>
              </w:numPr>
              <w:spacing w:beforeLines="60" w:before="144" w:afterLines="60" w:after="144"/>
              <w:jc w:val="both"/>
              <w:rPr>
                <w:b/>
                <w:bCs/>
                <w:lang w:val="en-US"/>
              </w:rPr>
            </w:pPr>
            <w:r w:rsidRPr="009656A6">
              <w:rPr>
                <w:lang w:val="en-US"/>
              </w:rPr>
              <w:t xml:space="preserve">Analytical Report of the first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the Arab States</w:t>
            </w:r>
          </w:p>
        </w:tc>
        <w:tc>
          <w:tcPr>
            <w:tcW w:w="2410" w:type="dxa"/>
          </w:tcPr>
          <w:p w14:paraId="5E495CF9" w14:textId="48AE0C7C" w:rsidR="00B86B73" w:rsidRDefault="00B86B73" w:rsidP="00AD5675">
            <w:pPr>
              <w:pStyle w:val="COMPara"/>
              <w:numPr>
                <w:ilvl w:val="0"/>
                <w:numId w:val="0"/>
              </w:numPr>
              <w:spacing w:beforeLines="60" w:before="144" w:afterLines="60" w:after="144"/>
              <w:jc w:val="both"/>
              <w:rPr>
                <w:lang w:val="en-US"/>
              </w:rPr>
            </w:pPr>
            <w:hyperlink r:id="rId64" w:history="1">
              <w:r w:rsidRPr="00AA09C7">
                <w:rPr>
                  <w:rStyle w:val="Hyperlink"/>
                  <w:lang w:val="en-US"/>
                </w:rPr>
                <w:t>LHE/24/19.COM/INF.6.c</w:t>
              </w:r>
            </w:hyperlink>
          </w:p>
        </w:tc>
        <w:tc>
          <w:tcPr>
            <w:tcW w:w="2453" w:type="dxa"/>
          </w:tcPr>
          <w:p w14:paraId="3F809D6A" w14:textId="3D045BB8" w:rsidR="00B86B73" w:rsidRDefault="003E3AEE" w:rsidP="00AD5675">
            <w:pPr>
              <w:pStyle w:val="COMPara"/>
              <w:numPr>
                <w:ilvl w:val="0"/>
                <w:numId w:val="0"/>
              </w:numPr>
              <w:spacing w:beforeLines="60" w:before="144" w:afterLines="60" w:after="144"/>
              <w:jc w:val="both"/>
              <w:rPr>
                <w:lang w:val="en-US"/>
              </w:rPr>
            </w:pPr>
            <w:r>
              <w:rPr>
                <w:lang w:val="en-US"/>
              </w:rPr>
              <w:t xml:space="preserve">Decision </w:t>
            </w:r>
            <w:hyperlink r:id="rId65" w:history="1">
              <w:r w:rsidRPr="0065728A">
                <w:rPr>
                  <w:rStyle w:val="Hyperlink"/>
                  <w:lang w:val="en-US"/>
                </w:rPr>
                <w:t>19.COM 6.c</w:t>
              </w:r>
            </w:hyperlink>
          </w:p>
        </w:tc>
      </w:tr>
      <w:tr w:rsidR="00B86B73" w:rsidRPr="00B82A13" w14:paraId="1F03281E" w14:textId="77777777" w:rsidTr="002518AC">
        <w:tc>
          <w:tcPr>
            <w:tcW w:w="9678" w:type="dxa"/>
            <w:gridSpan w:val="3"/>
            <w:shd w:val="clear" w:color="auto" w:fill="F2F2F2" w:themeFill="background1" w:themeFillShade="F2"/>
          </w:tcPr>
          <w:p w14:paraId="6C875635" w14:textId="4F10B003" w:rsidR="00B86B73" w:rsidRPr="002518AC" w:rsidRDefault="00B86B73" w:rsidP="00AD5675">
            <w:pPr>
              <w:pStyle w:val="COMPara"/>
              <w:numPr>
                <w:ilvl w:val="0"/>
                <w:numId w:val="0"/>
              </w:numPr>
              <w:spacing w:beforeLines="60" w:before="144" w:afterLines="60" w:after="144"/>
              <w:jc w:val="both"/>
              <w:rPr>
                <w:b/>
                <w:bCs/>
                <w:lang w:val="en-US"/>
              </w:rPr>
            </w:pPr>
            <w:r w:rsidRPr="002518AC">
              <w:rPr>
                <w:b/>
                <w:bCs/>
                <w:lang w:val="en-US"/>
              </w:rPr>
              <w:t xml:space="preserve">Twentieth session of the Committee </w:t>
            </w:r>
            <w:r w:rsidRPr="00522397">
              <w:rPr>
                <w:lang w:val="en-US"/>
              </w:rPr>
              <w:t>(8 to 12 December 2025, New Delhi, India)</w:t>
            </w:r>
          </w:p>
        </w:tc>
      </w:tr>
      <w:tr w:rsidR="00B86B73" w:rsidRPr="00B82A13" w14:paraId="5765AA31" w14:textId="77777777" w:rsidTr="002518AC">
        <w:tc>
          <w:tcPr>
            <w:tcW w:w="4815" w:type="dxa"/>
          </w:tcPr>
          <w:p w14:paraId="6ED046D5" w14:textId="402974C3" w:rsidR="00B86B73" w:rsidRPr="009656A6" w:rsidRDefault="00B86B73" w:rsidP="00AD5675">
            <w:pPr>
              <w:pStyle w:val="COMPara"/>
              <w:numPr>
                <w:ilvl w:val="0"/>
                <w:numId w:val="0"/>
              </w:numPr>
              <w:spacing w:beforeLines="60" w:before="144" w:afterLines="60" w:after="144"/>
              <w:jc w:val="both"/>
              <w:rPr>
                <w:lang w:val="en-US"/>
              </w:rPr>
            </w:pPr>
            <w:r w:rsidRPr="009656A6">
              <w:rPr>
                <w:lang w:val="en-US"/>
              </w:rPr>
              <w:t xml:space="preserve">Examination of the reports by States Parties on the </w:t>
            </w:r>
            <w:proofErr w:type="gramStart"/>
            <w:r w:rsidRPr="009656A6">
              <w:rPr>
                <w:lang w:val="en-US"/>
              </w:rPr>
              <w:t>current status</w:t>
            </w:r>
            <w:proofErr w:type="gramEnd"/>
            <w:r w:rsidRPr="009656A6">
              <w:rPr>
                <w:lang w:val="en-US"/>
              </w:rPr>
              <w:t xml:space="preserve"> of elements inscribed on the List of Intangible Cultural Heritage in Need of Urgent Safeguarding</w:t>
            </w:r>
          </w:p>
        </w:tc>
        <w:tc>
          <w:tcPr>
            <w:tcW w:w="2410" w:type="dxa"/>
          </w:tcPr>
          <w:p w14:paraId="5FF140A4" w14:textId="77777777" w:rsidR="00B86B73" w:rsidRDefault="00B86B73" w:rsidP="00AD5675">
            <w:pPr>
              <w:pStyle w:val="COMPara"/>
              <w:numPr>
                <w:ilvl w:val="0"/>
                <w:numId w:val="0"/>
              </w:numPr>
              <w:spacing w:beforeLines="60" w:before="144" w:afterLines="60" w:after="144"/>
              <w:jc w:val="both"/>
            </w:pPr>
            <w:hyperlink r:id="rId66" w:history="1">
              <w:r w:rsidRPr="00AA09C7">
                <w:rPr>
                  <w:rStyle w:val="Hyperlink"/>
                  <w:lang w:val="en-US"/>
                </w:rPr>
                <w:t>LHE/25/20.COM/</w:t>
              </w:r>
              <w:proofErr w:type="gramStart"/>
              <w:r w:rsidRPr="00AA09C7">
                <w:rPr>
                  <w:rStyle w:val="Hyperlink"/>
                  <w:lang w:val="en-US"/>
                </w:rPr>
                <w:t>6.a</w:t>
              </w:r>
              <w:proofErr w:type="gramEnd"/>
            </w:hyperlink>
          </w:p>
          <w:p w14:paraId="473A4773" w14:textId="77777777" w:rsidR="00B86B73" w:rsidRDefault="00B86B73" w:rsidP="00AD5675">
            <w:pPr>
              <w:pStyle w:val="COMPara"/>
              <w:numPr>
                <w:ilvl w:val="0"/>
                <w:numId w:val="0"/>
              </w:numPr>
              <w:spacing w:beforeLines="60" w:before="144" w:afterLines="60" w:after="144"/>
              <w:jc w:val="both"/>
            </w:pPr>
          </w:p>
        </w:tc>
        <w:tc>
          <w:tcPr>
            <w:tcW w:w="2453" w:type="dxa"/>
          </w:tcPr>
          <w:p w14:paraId="22CFACF9" w14:textId="2EF50617"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67" w:history="1">
              <w:r w:rsidR="00B86B73" w:rsidRPr="00DA74EB">
                <w:rPr>
                  <w:rStyle w:val="Hyperlink"/>
                  <w:lang w:val="en-US"/>
                </w:rPr>
                <w:t xml:space="preserve">20.COM </w:t>
              </w:r>
              <w:proofErr w:type="gramStart"/>
              <w:r w:rsidR="00B86B73" w:rsidRPr="00DA74EB">
                <w:rPr>
                  <w:rStyle w:val="Hyperlink"/>
                  <w:lang w:val="en-US"/>
                </w:rPr>
                <w:t>6.a</w:t>
              </w:r>
              <w:proofErr w:type="gramEnd"/>
            </w:hyperlink>
          </w:p>
          <w:p w14:paraId="21D3DA2D" w14:textId="3671E902" w:rsidR="00B86B73" w:rsidRDefault="00B86B73" w:rsidP="00AD5675">
            <w:pPr>
              <w:pStyle w:val="COMPara"/>
              <w:numPr>
                <w:ilvl w:val="0"/>
                <w:numId w:val="0"/>
              </w:numPr>
              <w:spacing w:beforeLines="60" w:before="144" w:afterLines="60" w:after="144"/>
              <w:rPr>
                <w:lang w:val="en-US"/>
              </w:rPr>
            </w:pPr>
            <w:r>
              <w:rPr>
                <w:lang w:val="en-US"/>
              </w:rPr>
              <w:t xml:space="preserve">See also </w:t>
            </w:r>
            <w:hyperlink r:id="rId68" w:history="1">
              <w:r w:rsidRPr="00DA74EB">
                <w:rPr>
                  <w:rStyle w:val="Hyperlink"/>
                  <w:lang w:val="en-US"/>
                </w:rPr>
                <w:t>individual decisions</w:t>
              </w:r>
            </w:hyperlink>
            <w:r>
              <w:rPr>
                <w:lang w:val="en-US"/>
              </w:rPr>
              <w:t xml:space="preserve"> under item </w:t>
            </w:r>
            <w:proofErr w:type="gramStart"/>
            <w:r>
              <w:rPr>
                <w:lang w:val="en-US"/>
              </w:rPr>
              <w:t>6.a</w:t>
            </w:r>
            <w:proofErr w:type="gramEnd"/>
          </w:p>
        </w:tc>
      </w:tr>
      <w:tr w:rsidR="00B86B73" w14:paraId="54DFFE42" w14:textId="77777777" w:rsidTr="002518AC">
        <w:tc>
          <w:tcPr>
            <w:tcW w:w="4815" w:type="dxa"/>
          </w:tcPr>
          <w:p w14:paraId="5726B9EC" w14:textId="69861526" w:rsidR="00B86B73" w:rsidRDefault="00B86B73" w:rsidP="00AD5675">
            <w:pPr>
              <w:pStyle w:val="COMPara"/>
              <w:numPr>
                <w:ilvl w:val="0"/>
                <w:numId w:val="0"/>
              </w:numPr>
              <w:spacing w:beforeLines="60" w:before="144" w:afterLines="60" w:after="144"/>
              <w:jc w:val="both"/>
              <w:rPr>
                <w:lang w:val="en-US"/>
              </w:rPr>
            </w:pPr>
            <w:r w:rsidRPr="009656A6">
              <w:rPr>
                <w:lang w:val="en-US"/>
              </w:rPr>
              <w:t xml:space="preserve">Examination of the reports of the regional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Asia and the Pacific</w:t>
            </w:r>
          </w:p>
        </w:tc>
        <w:tc>
          <w:tcPr>
            <w:tcW w:w="2410" w:type="dxa"/>
          </w:tcPr>
          <w:p w14:paraId="7C976E07" w14:textId="77777777" w:rsidR="00B86B73" w:rsidRDefault="00B86B73" w:rsidP="00AD5675">
            <w:pPr>
              <w:pStyle w:val="COMPara"/>
              <w:numPr>
                <w:ilvl w:val="0"/>
                <w:numId w:val="0"/>
              </w:numPr>
              <w:spacing w:beforeLines="60" w:before="144" w:afterLines="60" w:after="144"/>
              <w:jc w:val="both"/>
            </w:pPr>
            <w:hyperlink r:id="rId69" w:history="1">
              <w:r w:rsidRPr="00AA09C7">
                <w:rPr>
                  <w:rStyle w:val="Hyperlink"/>
                  <w:lang w:val="en-US"/>
                </w:rPr>
                <w:t>LHE/25/20.COM/</w:t>
              </w:r>
              <w:proofErr w:type="gramStart"/>
              <w:r w:rsidRPr="00AA09C7">
                <w:rPr>
                  <w:rStyle w:val="Hyperlink"/>
                  <w:lang w:val="en-US"/>
                </w:rPr>
                <w:t>6.b</w:t>
              </w:r>
              <w:proofErr w:type="gramEnd"/>
            </w:hyperlink>
          </w:p>
          <w:p w14:paraId="03B78754" w14:textId="77777777" w:rsidR="00B86B73" w:rsidRDefault="00B86B73" w:rsidP="00AD5675">
            <w:pPr>
              <w:pStyle w:val="COMPara"/>
              <w:numPr>
                <w:ilvl w:val="0"/>
                <w:numId w:val="0"/>
              </w:numPr>
              <w:spacing w:beforeLines="60" w:before="144" w:afterLines="60" w:after="144"/>
              <w:jc w:val="both"/>
              <w:rPr>
                <w:lang w:val="en-US"/>
              </w:rPr>
            </w:pPr>
          </w:p>
        </w:tc>
        <w:tc>
          <w:tcPr>
            <w:tcW w:w="2453" w:type="dxa"/>
          </w:tcPr>
          <w:p w14:paraId="1A8FDCA8" w14:textId="4ADF6689"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70" w:history="1">
              <w:r w:rsidR="00B86B73" w:rsidRPr="00DA74EB">
                <w:rPr>
                  <w:rStyle w:val="Hyperlink"/>
                  <w:lang w:val="en-US"/>
                </w:rPr>
                <w:t xml:space="preserve">20.COM </w:t>
              </w:r>
              <w:proofErr w:type="gramStart"/>
              <w:r w:rsidR="00B86B73" w:rsidRPr="00DA74EB">
                <w:rPr>
                  <w:rStyle w:val="Hyperlink"/>
                  <w:lang w:val="en-US"/>
                </w:rPr>
                <w:t>6.b</w:t>
              </w:r>
              <w:proofErr w:type="gramEnd"/>
            </w:hyperlink>
          </w:p>
          <w:p w14:paraId="32CF46E8" w14:textId="6C45CEDD" w:rsidR="00B86B73" w:rsidRDefault="00B86B73" w:rsidP="00AD5675">
            <w:pPr>
              <w:pStyle w:val="COMPara"/>
              <w:numPr>
                <w:ilvl w:val="0"/>
                <w:numId w:val="0"/>
              </w:numPr>
              <w:spacing w:beforeLines="60" w:before="144" w:afterLines="60" w:after="144"/>
              <w:jc w:val="both"/>
              <w:rPr>
                <w:lang w:val="en-US"/>
              </w:rPr>
            </w:pPr>
          </w:p>
        </w:tc>
      </w:tr>
      <w:tr w:rsidR="00B86B73" w14:paraId="414309BE" w14:textId="77777777" w:rsidTr="002518AC">
        <w:tc>
          <w:tcPr>
            <w:tcW w:w="4815" w:type="dxa"/>
          </w:tcPr>
          <w:p w14:paraId="302A0ADC" w14:textId="038334EA" w:rsidR="00B86B73" w:rsidRDefault="00B86B73" w:rsidP="00AD5675">
            <w:pPr>
              <w:pStyle w:val="COMPara"/>
              <w:numPr>
                <w:ilvl w:val="0"/>
                <w:numId w:val="0"/>
              </w:numPr>
              <w:spacing w:beforeLines="60" w:before="144" w:afterLines="60" w:after="144"/>
              <w:jc w:val="both"/>
              <w:rPr>
                <w:lang w:val="en-US"/>
              </w:rPr>
            </w:pPr>
            <w:r w:rsidRPr="009656A6">
              <w:rPr>
                <w:lang w:val="en-US"/>
              </w:rPr>
              <w:t>Update on the regional cycles of the Convention’s periodic reporting and proposal for related amendments to the Operational Directives</w:t>
            </w:r>
          </w:p>
        </w:tc>
        <w:tc>
          <w:tcPr>
            <w:tcW w:w="2410" w:type="dxa"/>
          </w:tcPr>
          <w:p w14:paraId="57A85A96" w14:textId="77777777" w:rsidR="00B86B73" w:rsidRDefault="00B86B73" w:rsidP="00AD5675">
            <w:pPr>
              <w:pStyle w:val="COMPara"/>
              <w:numPr>
                <w:ilvl w:val="0"/>
                <w:numId w:val="0"/>
              </w:numPr>
              <w:spacing w:beforeLines="60" w:before="144" w:afterLines="60" w:after="144"/>
              <w:jc w:val="both"/>
            </w:pPr>
            <w:hyperlink r:id="rId71" w:history="1">
              <w:r w:rsidRPr="00AA09C7">
                <w:rPr>
                  <w:rStyle w:val="Hyperlink"/>
                  <w:lang w:val="en-US"/>
                </w:rPr>
                <w:t>LHE/25/20.COM/6.c</w:t>
              </w:r>
            </w:hyperlink>
          </w:p>
          <w:p w14:paraId="57EF6E71" w14:textId="77777777" w:rsidR="00B86B73" w:rsidRDefault="00B86B73" w:rsidP="00AD5675">
            <w:pPr>
              <w:pStyle w:val="COMPara"/>
              <w:numPr>
                <w:ilvl w:val="0"/>
                <w:numId w:val="0"/>
              </w:numPr>
              <w:spacing w:beforeLines="60" w:before="144" w:afterLines="60" w:after="144"/>
              <w:jc w:val="both"/>
              <w:rPr>
                <w:lang w:val="en-US"/>
              </w:rPr>
            </w:pPr>
          </w:p>
        </w:tc>
        <w:tc>
          <w:tcPr>
            <w:tcW w:w="2453" w:type="dxa"/>
          </w:tcPr>
          <w:p w14:paraId="10C72E2D" w14:textId="4AD3EDBF" w:rsidR="00B86B73" w:rsidRDefault="00A30D55" w:rsidP="00AD5675">
            <w:pPr>
              <w:pStyle w:val="COMPara"/>
              <w:numPr>
                <w:ilvl w:val="0"/>
                <w:numId w:val="0"/>
              </w:numPr>
              <w:spacing w:beforeLines="60" w:before="144" w:afterLines="60" w:after="144"/>
              <w:jc w:val="both"/>
              <w:rPr>
                <w:lang w:val="en-US"/>
              </w:rPr>
            </w:pPr>
            <w:r>
              <w:rPr>
                <w:lang w:val="en-US"/>
              </w:rPr>
              <w:t xml:space="preserve">Decision </w:t>
            </w:r>
            <w:hyperlink r:id="rId72" w:history="1">
              <w:r w:rsidR="00B86B73" w:rsidRPr="00DA74EB">
                <w:rPr>
                  <w:rStyle w:val="Hyperlink"/>
                  <w:lang w:val="en-US"/>
                </w:rPr>
                <w:t>20.COM 6.c</w:t>
              </w:r>
            </w:hyperlink>
          </w:p>
          <w:p w14:paraId="176CBAB2" w14:textId="66D1C04F" w:rsidR="00B86B73" w:rsidRDefault="00B86B73" w:rsidP="00AD5675">
            <w:pPr>
              <w:pStyle w:val="COMPara"/>
              <w:numPr>
                <w:ilvl w:val="0"/>
                <w:numId w:val="0"/>
              </w:numPr>
              <w:spacing w:beforeLines="60" w:before="144" w:afterLines="60" w:after="144"/>
              <w:jc w:val="both"/>
              <w:rPr>
                <w:lang w:val="en-US"/>
              </w:rPr>
            </w:pPr>
          </w:p>
        </w:tc>
      </w:tr>
      <w:tr w:rsidR="00B86B73" w14:paraId="35D17B53" w14:textId="77777777" w:rsidTr="002518AC">
        <w:tc>
          <w:tcPr>
            <w:tcW w:w="4815" w:type="dxa"/>
          </w:tcPr>
          <w:p w14:paraId="43D99803" w14:textId="30C6BAA4" w:rsidR="00B86B73" w:rsidRDefault="00B86B73" w:rsidP="00AD5675">
            <w:pPr>
              <w:pStyle w:val="COMPara"/>
              <w:numPr>
                <w:ilvl w:val="0"/>
                <w:numId w:val="0"/>
              </w:numPr>
              <w:spacing w:beforeLines="60" w:before="144" w:afterLines="60" w:after="144"/>
              <w:jc w:val="both"/>
              <w:rPr>
                <w:lang w:val="en-US"/>
              </w:rPr>
            </w:pPr>
            <w:r w:rsidRPr="009656A6">
              <w:rPr>
                <w:lang w:val="en-US"/>
              </w:rPr>
              <w:t xml:space="preserve">Analytical Report of the first cycle of periodic reporting on the implementation of the Convention and on the </w:t>
            </w:r>
            <w:proofErr w:type="gramStart"/>
            <w:r w:rsidRPr="009656A6">
              <w:rPr>
                <w:lang w:val="en-US"/>
              </w:rPr>
              <w:t>current status</w:t>
            </w:r>
            <w:proofErr w:type="gramEnd"/>
            <w:r w:rsidRPr="009656A6">
              <w:rPr>
                <w:lang w:val="en-US"/>
              </w:rPr>
              <w:t xml:space="preserve"> of elements inscribed on the Representative List of the Intangible Cultural Heritage of Humanity by States Parties in Africa</w:t>
            </w:r>
          </w:p>
        </w:tc>
        <w:tc>
          <w:tcPr>
            <w:tcW w:w="2410" w:type="dxa"/>
          </w:tcPr>
          <w:p w14:paraId="0DA98AB4" w14:textId="5177B319" w:rsidR="00B86B73" w:rsidRDefault="00B86B73" w:rsidP="00AD5675">
            <w:pPr>
              <w:pStyle w:val="COMPara"/>
              <w:numPr>
                <w:ilvl w:val="0"/>
                <w:numId w:val="0"/>
              </w:numPr>
              <w:spacing w:beforeLines="60" w:before="144" w:afterLines="60" w:after="144"/>
              <w:jc w:val="both"/>
              <w:rPr>
                <w:lang w:val="en-US"/>
              </w:rPr>
            </w:pPr>
            <w:hyperlink r:id="rId73" w:history="1">
              <w:r w:rsidRPr="00AA09C7">
                <w:rPr>
                  <w:rStyle w:val="Hyperlink"/>
                  <w:lang w:val="en-US"/>
                </w:rPr>
                <w:t>LHE/25/20.COM/INF.6.c</w:t>
              </w:r>
            </w:hyperlink>
          </w:p>
        </w:tc>
        <w:tc>
          <w:tcPr>
            <w:tcW w:w="2453" w:type="dxa"/>
          </w:tcPr>
          <w:p w14:paraId="3C3AC62D" w14:textId="1C42F97E" w:rsidR="00B86B73" w:rsidRDefault="003E3AEE" w:rsidP="00F80290">
            <w:pPr>
              <w:pStyle w:val="COMPara"/>
              <w:numPr>
                <w:ilvl w:val="0"/>
                <w:numId w:val="0"/>
              </w:numPr>
              <w:spacing w:beforeLines="60" w:before="144" w:afterLines="60" w:after="144"/>
              <w:jc w:val="both"/>
              <w:rPr>
                <w:lang w:val="en-US"/>
              </w:rPr>
            </w:pPr>
            <w:r>
              <w:rPr>
                <w:lang w:val="en-US"/>
              </w:rPr>
              <w:t xml:space="preserve">Decision </w:t>
            </w:r>
            <w:hyperlink r:id="rId74" w:history="1">
              <w:r w:rsidRPr="00DA74EB">
                <w:rPr>
                  <w:rStyle w:val="Hyperlink"/>
                  <w:lang w:val="en-US"/>
                </w:rPr>
                <w:t>20.COM 6.c</w:t>
              </w:r>
            </w:hyperlink>
          </w:p>
        </w:tc>
      </w:tr>
    </w:tbl>
    <w:p w14:paraId="156457DF" w14:textId="77777777" w:rsidR="00967267" w:rsidRDefault="00967267" w:rsidP="002518AC">
      <w:pPr>
        <w:pStyle w:val="COMPara"/>
        <w:numPr>
          <w:ilvl w:val="0"/>
          <w:numId w:val="0"/>
        </w:numPr>
        <w:spacing w:after="0"/>
        <w:jc w:val="both"/>
        <w:rPr>
          <w:lang w:val="en-US"/>
        </w:rPr>
      </w:pPr>
    </w:p>
    <w:p w14:paraId="3DD196EF" w14:textId="77777777" w:rsidR="00657E6B" w:rsidRDefault="00657E6B" w:rsidP="00967267">
      <w:pPr>
        <w:rPr>
          <w:rFonts w:ascii="Arial" w:hAnsi="Arial" w:cs="Arial"/>
          <w:snapToGrid w:val="0"/>
          <w:sz w:val="22"/>
          <w:szCs w:val="22"/>
          <w:lang w:val="en-US" w:eastAsia="en-US"/>
        </w:rPr>
      </w:pPr>
      <w:r>
        <w:rPr>
          <w:lang w:val="en-US"/>
        </w:rPr>
        <w:br w:type="page"/>
      </w:r>
    </w:p>
    <w:p w14:paraId="5C826097" w14:textId="7FBAF127" w:rsidR="00084E63" w:rsidRPr="002518AC" w:rsidRDefault="00657E6B" w:rsidP="00E01E4F">
      <w:pPr>
        <w:pStyle w:val="COMPara"/>
        <w:numPr>
          <w:ilvl w:val="0"/>
          <w:numId w:val="0"/>
        </w:numPr>
        <w:spacing w:before="120"/>
        <w:jc w:val="both"/>
        <w:rPr>
          <w:b/>
          <w:bCs/>
          <w:lang w:val="en-US"/>
        </w:rPr>
      </w:pPr>
      <w:bookmarkStart w:id="1" w:name="AnnexII"/>
      <w:r w:rsidRPr="001D5494">
        <w:rPr>
          <w:rStyle w:val="Heading4Char"/>
        </w:rPr>
        <w:t>Annex II</w:t>
      </w:r>
      <w:bookmarkEnd w:id="1"/>
      <w:r w:rsidRPr="002518AC">
        <w:rPr>
          <w:b/>
          <w:bCs/>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42"/>
      </w:tblGrid>
      <w:tr w:rsidR="00657E6B" w:rsidRPr="00B82A13" w14:paraId="13E16A63" w14:textId="77777777" w:rsidTr="00701B4D">
        <w:tc>
          <w:tcPr>
            <w:tcW w:w="9394" w:type="dxa"/>
            <w:gridSpan w:val="2"/>
            <w:shd w:val="clear" w:color="auto" w:fill="F2F2F2" w:themeFill="background1" w:themeFillShade="F2"/>
          </w:tcPr>
          <w:p w14:paraId="622DD8C2" w14:textId="287EC940" w:rsidR="00657E6B" w:rsidRPr="009717B3" w:rsidRDefault="00657E6B" w:rsidP="00701B4D">
            <w:pPr>
              <w:pStyle w:val="COMPara"/>
              <w:numPr>
                <w:ilvl w:val="0"/>
                <w:numId w:val="0"/>
              </w:numPr>
              <w:spacing w:before="120"/>
              <w:jc w:val="both"/>
              <w:rPr>
                <w:b/>
                <w:bCs/>
                <w:lang w:val="en-US"/>
              </w:rPr>
            </w:pPr>
            <w:r>
              <w:rPr>
                <w:rFonts w:asciiTheme="minorBidi" w:hAnsiTheme="minorBidi" w:cstheme="minorBidi"/>
                <w:b/>
                <w:bCs/>
                <w:lang w:val="en-US"/>
              </w:rPr>
              <w:t>Calendar and milestones</w:t>
            </w:r>
            <w:r w:rsidR="003D201B">
              <w:rPr>
                <w:rFonts w:asciiTheme="minorBidi" w:hAnsiTheme="minorBidi" w:cstheme="minorBidi"/>
                <w:b/>
                <w:bCs/>
                <w:lang w:val="en-US"/>
              </w:rPr>
              <w:t>: move towards the single global submission system of periodic reporting</w:t>
            </w:r>
          </w:p>
        </w:tc>
      </w:tr>
      <w:tr w:rsidR="00657E6B" w:rsidRPr="00EA7C27" w14:paraId="55DBD99B" w14:textId="77777777" w:rsidTr="00701B4D">
        <w:tc>
          <w:tcPr>
            <w:tcW w:w="2552" w:type="dxa"/>
          </w:tcPr>
          <w:p w14:paraId="49BB1E9F" w14:textId="77777777" w:rsidR="00657E6B" w:rsidRPr="00FD0212" w:rsidRDefault="00657E6B" w:rsidP="00701B4D">
            <w:pPr>
              <w:pStyle w:val="COMPara"/>
              <w:numPr>
                <w:ilvl w:val="0"/>
                <w:numId w:val="0"/>
              </w:numPr>
              <w:spacing w:before="120"/>
              <w:jc w:val="both"/>
              <w:rPr>
                <w:rFonts w:asciiTheme="minorBidi" w:hAnsiTheme="minorBidi"/>
                <w:b/>
                <w:bCs/>
                <w:lang w:val="en-US"/>
              </w:rPr>
            </w:pPr>
            <w:r>
              <w:rPr>
                <w:rFonts w:asciiTheme="minorBidi" w:hAnsiTheme="minorBidi"/>
                <w:b/>
                <w:bCs/>
                <w:lang w:val="en-US"/>
              </w:rPr>
              <w:t>Timeline</w:t>
            </w:r>
          </w:p>
        </w:tc>
        <w:tc>
          <w:tcPr>
            <w:tcW w:w="6842" w:type="dxa"/>
          </w:tcPr>
          <w:p w14:paraId="2A929E9E" w14:textId="77777777" w:rsidR="00657E6B" w:rsidRPr="00FD0212" w:rsidRDefault="00657E6B" w:rsidP="00701B4D">
            <w:pPr>
              <w:pStyle w:val="COMPara"/>
              <w:numPr>
                <w:ilvl w:val="0"/>
                <w:numId w:val="0"/>
              </w:numPr>
              <w:spacing w:before="120"/>
              <w:jc w:val="both"/>
              <w:rPr>
                <w:rFonts w:asciiTheme="minorBidi" w:hAnsiTheme="minorBidi"/>
                <w:b/>
                <w:bCs/>
                <w:lang w:val="en-US"/>
              </w:rPr>
            </w:pPr>
            <w:r>
              <w:rPr>
                <w:rFonts w:asciiTheme="minorBidi" w:hAnsiTheme="minorBidi"/>
                <w:b/>
                <w:bCs/>
                <w:lang w:val="en-US"/>
              </w:rPr>
              <w:t>A</w:t>
            </w:r>
            <w:r w:rsidRPr="00FD0212">
              <w:rPr>
                <w:rFonts w:asciiTheme="minorBidi" w:hAnsiTheme="minorBidi"/>
                <w:b/>
                <w:bCs/>
                <w:lang w:val="en-US"/>
              </w:rPr>
              <w:t>ctivity</w:t>
            </w:r>
          </w:p>
        </w:tc>
      </w:tr>
      <w:tr w:rsidR="00657E6B" w:rsidRPr="00B82A13" w14:paraId="59FD70BE" w14:textId="77777777" w:rsidTr="00701B4D">
        <w:tc>
          <w:tcPr>
            <w:tcW w:w="2552" w:type="dxa"/>
          </w:tcPr>
          <w:p w14:paraId="6E37F0B6" w14:textId="77777777" w:rsidR="00657E6B" w:rsidRDefault="00657E6B" w:rsidP="00701B4D">
            <w:pPr>
              <w:pStyle w:val="COMPara"/>
              <w:numPr>
                <w:ilvl w:val="0"/>
                <w:numId w:val="0"/>
              </w:numPr>
              <w:spacing w:before="120"/>
              <w:rPr>
                <w:rFonts w:asciiTheme="minorBidi" w:hAnsiTheme="minorBidi"/>
                <w:lang w:val="en-US"/>
              </w:rPr>
            </w:pPr>
            <w:r>
              <w:rPr>
                <w:rFonts w:asciiTheme="minorBidi" w:hAnsiTheme="minorBidi"/>
                <w:lang w:val="en-US"/>
              </w:rPr>
              <w:t>28 to 30 April 2026</w:t>
            </w:r>
          </w:p>
        </w:tc>
        <w:tc>
          <w:tcPr>
            <w:tcW w:w="6842" w:type="dxa"/>
          </w:tcPr>
          <w:p w14:paraId="731A7B69" w14:textId="77777777" w:rsidR="00657E6B" w:rsidRDefault="00657E6B" w:rsidP="00701B4D">
            <w:pPr>
              <w:pStyle w:val="COMPara"/>
              <w:numPr>
                <w:ilvl w:val="0"/>
                <w:numId w:val="0"/>
              </w:numPr>
              <w:spacing w:before="120"/>
              <w:jc w:val="both"/>
              <w:rPr>
                <w:rFonts w:asciiTheme="minorBidi" w:hAnsiTheme="minorBidi"/>
                <w:lang w:val="en-US"/>
              </w:rPr>
            </w:pPr>
            <w:r>
              <w:rPr>
                <w:rFonts w:asciiTheme="minorBidi" w:hAnsiTheme="minorBidi"/>
                <w:lang w:val="en-US"/>
              </w:rPr>
              <w:t>Global reflection meeting on the Periodic Reporting mechanisms of the 2003 Convention</w:t>
            </w:r>
          </w:p>
        </w:tc>
      </w:tr>
      <w:tr w:rsidR="00657E6B" w:rsidRPr="00B82A13" w14:paraId="1615D4FB" w14:textId="77777777" w:rsidTr="00701B4D">
        <w:tc>
          <w:tcPr>
            <w:tcW w:w="2552" w:type="dxa"/>
          </w:tcPr>
          <w:p w14:paraId="6ADAFDC4" w14:textId="77777777" w:rsidR="00657E6B" w:rsidRDefault="00657E6B" w:rsidP="00701B4D">
            <w:pPr>
              <w:pStyle w:val="COMPara"/>
              <w:numPr>
                <w:ilvl w:val="0"/>
                <w:numId w:val="0"/>
              </w:numPr>
              <w:spacing w:before="120"/>
              <w:rPr>
                <w:rFonts w:asciiTheme="minorBidi" w:hAnsiTheme="minorBidi"/>
                <w:lang w:val="en-US"/>
              </w:rPr>
            </w:pPr>
            <w:r>
              <w:rPr>
                <w:rFonts w:asciiTheme="minorBidi" w:hAnsiTheme="minorBidi"/>
                <w:lang w:val="en-US"/>
              </w:rPr>
              <w:t>17 and 18 June 2026</w:t>
            </w:r>
          </w:p>
        </w:tc>
        <w:tc>
          <w:tcPr>
            <w:tcW w:w="6842" w:type="dxa"/>
          </w:tcPr>
          <w:p w14:paraId="6E4632C0" w14:textId="5E2E2253" w:rsidR="00657E6B" w:rsidRDefault="00657E6B" w:rsidP="00701B4D">
            <w:pPr>
              <w:pStyle w:val="COMPara"/>
              <w:numPr>
                <w:ilvl w:val="0"/>
                <w:numId w:val="0"/>
              </w:numPr>
              <w:spacing w:before="120"/>
              <w:jc w:val="both"/>
              <w:rPr>
                <w:rFonts w:asciiTheme="minorBidi" w:hAnsiTheme="minorBidi"/>
                <w:lang w:val="en-US"/>
              </w:rPr>
            </w:pPr>
            <w:r>
              <w:rPr>
                <w:rFonts w:asciiTheme="minorBidi" w:hAnsiTheme="minorBidi"/>
                <w:lang w:val="en-US"/>
              </w:rPr>
              <w:t>Examination of proposed revisions to the Operational Directives for the implementation of the Convention</w:t>
            </w:r>
            <w:r w:rsidR="00403B9D">
              <w:rPr>
                <w:rFonts w:asciiTheme="minorBidi" w:hAnsiTheme="minorBidi"/>
                <w:lang w:val="en-US"/>
              </w:rPr>
              <w:t xml:space="preserve"> by the eleventh session of the General Assembly</w:t>
            </w:r>
          </w:p>
        </w:tc>
      </w:tr>
      <w:tr w:rsidR="00657E6B" w:rsidRPr="00B82A13" w14:paraId="69232C42" w14:textId="77777777" w:rsidTr="00701B4D">
        <w:tc>
          <w:tcPr>
            <w:tcW w:w="2552" w:type="dxa"/>
          </w:tcPr>
          <w:p w14:paraId="5E9863F1" w14:textId="77777777" w:rsidR="00657E6B" w:rsidRDefault="00657E6B" w:rsidP="00701B4D">
            <w:pPr>
              <w:pStyle w:val="COMPara"/>
              <w:numPr>
                <w:ilvl w:val="0"/>
                <w:numId w:val="0"/>
              </w:numPr>
              <w:spacing w:before="120"/>
              <w:rPr>
                <w:u w:val="single"/>
                <w:lang w:val="en-US"/>
              </w:rPr>
            </w:pPr>
            <w:r>
              <w:rPr>
                <w:rFonts w:asciiTheme="minorBidi" w:hAnsiTheme="minorBidi"/>
                <w:lang w:val="en-US"/>
              </w:rPr>
              <w:t>19 June 2026</w:t>
            </w:r>
          </w:p>
        </w:tc>
        <w:tc>
          <w:tcPr>
            <w:tcW w:w="6842" w:type="dxa"/>
          </w:tcPr>
          <w:p w14:paraId="173F0EB0" w14:textId="77777777" w:rsidR="00657E6B" w:rsidRDefault="00657E6B" w:rsidP="00701B4D">
            <w:pPr>
              <w:pStyle w:val="COMPara"/>
              <w:numPr>
                <w:ilvl w:val="0"/>
                <w:numId w:val="0"/>
              </w:numPr>
              <w:spacing w:before="120"/>
              <w:jc w:val="both"/>
              <w:rPr>
                <w:u w:val="single"/>
                <w:lang w:val="en-US"/>
              </w:rPr>
            </w:pPr>
            <w:r>
              <w:rPr>
                <w:rFonts w:asciiTheme="minorBidi" w:hAnsiTheme="minorBidi"/>
                <w:lang w:val="en-US"/>
              </w:rPr>
              <w:t xml:space="preserve">Fourteenth annual coordination meeting of Category 2 </w:t>
            </w:r>
            <w:proofErr w:type="spellStart"/>
            <w:r>
              <w:rPr>
                <w:rFonts w:asciiTheme="minorBidi" w:hAnsiTheme="minorBidi"/>
                <w:lang w:val="en-US"/>
              </w:rPr>
              <w:t>Centres</w:t>
            </w:r>
            <w:proofErr w:type="spellEnd"/>
            <w:r>
              <w:rPr>
                <w:rFonts w:asciiTheme="minorBidi" w:hAnsiTheme="minorBidi"/>
                <w:lang w:val="en-US"/>
              </w:rPr>
              <w:t xml:space="preserve"> active in the field of intangible cultural heritage – </w:t>
            </w:r>
            <w:r w:rsidRPr="00701B4D">
              <w:rPr>
                <w:rFonts w:asciiTheme="minorBidi" w:hAnsiTheme="minorBidi"/>
                <w:i/>
                <w:iCs/>
                <w:lang w:val="en-US"/>
              </w:rPr>
              <w:t>private meeting</w:t>
            </w:r>
          </w:p>
        </w:tc>
      </w:tr>
      <w:tr w:rsidR="00657E6B" w:rsidRPr="00B82A13" w14:paraId="73E9C25F" w14:textId="77777777" w:rsidTr="00701B4D">
        <w:tc>
          <w:tcPr>
            <w:tcW w:w="2552" w:type="dxa"/>
          </w:tcPr>
          <w:p w14:paraId="0565D445" w14:textId="77777777" w:rsidR="00657E6B" w:rsidRDefault="00657E6B" w:rsidP="00701B4D">
            <w:pPr>
              <w:pStyle w:val="COMPara"/>
              <w:numPr>
                <w:ilvl w:val="0"/>
                <w:numId w:val="0"/>
              </w:numPr>
              <w:spacing w:before="120"/>
              <w:rPr>
                <w:rFonts w:asciiTheme="minorBidi" w:hAnsiTheme="minorBidi"/>
                <w:lang w:val="en-US"/>
              </w:rPr>
            </w:pPr>
            <w:r>
              <w:rPr>
                <w:rFonts w:asciiTheme="minorBidi" w:hAnsiTheme="minorBidi"/>
                <w:lang w:val="en-US"/>
              </w:rPr>
              <w:t>30 June 2026 (target)</w:t>
            </w:r>
          </w:p>
        </w:tc>
        <w:tc>
          <w:tcPr>
            <w:tcW w:w="6842" w:type="dxa"/>
          </w:tcPr>
          <w:p w14:paraId="2E8D0AF2" w14:textId="77777777" w:rsidR="00657E6B" w:rsidRDefault="00657E6B" w:rsidP="00701B4D">
            <w:pPr>
              <w:pStyle w:val="COMPara"/>
              <w:numPr>
                <w:ilvl w:val="0"/>
                <w:numId w:val="0"/>
              </w:numPr>
              <w:spacing w:before="120"/>
              <w:jc w:val="both"/>
              <w:rPr>
                <w:rFonts w:asciiTheme="minorBidi" w:hAnsiTheme="minorBidi"/>
                <w:lang w:val="en-US"/>
              </w:rPr>
            </w:pPr>
            <w:r>
              <w:rPr>
                <w:rFonts w:asciiTheme="minorBidi" w:hAnsiTheme="minorBidi"/>
                <w:lang w:val="en-US"/>
              </w:rPr>
              <w:t xml:space="preserve">Release of a Word version of the revised forms </w:t>
            </w:r>
          </w:p>
        </w:tc>
      </w:tr>
      <w:tr w:rsidR="00657E6B" w:rsidRPr="00B82A13" w14:paraId="43119956" w14:textId="77777777" w:rsidTr="00701B4D">
        <w:tc>
          <w:tcPr>
            <w:tcW w:w="2552" w:type="dxa"/>
          </w:tcPr>
          <w:p w14:paraId="69D2BC42" w14:textId="77777777" w:rsidR="00657E6B" w:rsidRDefault="00657E6B" w:rsidP="00701B4D">
            <w:pPr>
              <w:pStyle w:val="COMPara"/>
              <w:numPr>
                <w:ilvl w:val="0"/>
                <w:numId w:val="0"/>
              </w:numPr>
              <w:spacing w:before="120"/>
              <w:rPr>
                <w:u w:val="single"/>
                <w:lang w:val="en-US"/>
              </w:rPr>
            </w:pPr>
            <w:r>
              <w:rPr>
                <w:rFonts w:asciiTheme="minorBidi" w:hAnsiTheme="minorBidi"/>
                <w:lang w:val="en-US"/>
              </w:rPr>
              <w:t>From September to October 2026</w:t>
            </w:r>
          </w:p>
        </w:tc>
        <w:tc>
          <w:tcPr>
            <w:tcW w:w="6842" w:type="dxa"/>
          </w:tcPr>
          <w:p w14:paraId="548D12A8" w14:textId="77777777" w:rsidR="00657E6B" w:rsidRDefault="00657E6B" w:rsidP="00701B4D">
            <w:pPr>
              <w:pStyle w:val="COMPara"/>
              <w:numPr>
                <w:ilvl w:val="0"/>
                <w:numId w:val="0"/>
              </w:numPr>
              <w:spacing w:before="120"/>
              <w:jc w:val="both"/>
              <w:rPr>
                <w:u w:val="single"/>
                <w:lang w:val="en-US"/>
              </w:rPr>
            </w:pPr>
            <w:r>
              <w:rPr>
                <w:rFonts w:asciiTheme="minorBidi" w:hAnsiTheme="minorBidi"/>
                <w:lang w:val="en-US"/>
              </w:rPr>
              <w:t>Release of updated capacity-building materials on periodic reporting</w:t>
            </w:r>
          </w:p>
        </w:tc>
      </w:tr>
      <w:tr w:rsidR="00657E6B" w:rsidRPr="00C20899" w14:paraId="2F2FAEDF" w14:textId="77777777" w:rsidTr="00701B4D">
        <w:tc>
          <w:tcPr>
            <w:tcW w:w="2552" w:type="dxa"/>
          </w:tcPr>
          <w:p w14:paraId="15345E13" w14:textId="77777777" w:rsidR="00657E6B" w:rsidRDefault="00657E6B" w:rsidP="00701B4D">
            <w:pPr>
              <w:pStyle w:val="COMPara"/>
              <w:numPr>
                <w:ilvl w:val="0"/>
                <w:numId w:val="0"/>
              </w:numPr>
              <w:spacing w:before="120"/>
              <w:rPr>
                <w:u w:val="single"/>
                <w:lang w:val="en-US"/>
              </w:rPr>
            </w:pPr>
            <w:r>
              <w:rPr>
                <w:rFonts w:asciiTheme="minorBidi" w:hAnsiTheme="minorBidi"/>
                <w:lang w:val="en-US"/>
              </w:rPr>
              <w:t>17 to 18</w:t>
            </w:r>
            <w:r w:rsidRPr="00551114">
              <w:rPr>
                <w:rFonts w:asciiTheme="minorBidi" w:hAnsiTheme="minorBidi"/>
                <w:lang w:val="en-US"/>
              </w:rPr>
              <w:t xml:space="preserve"> September 2026</w:t>
            </w:r>
          </w:p>
        </w:tc>
        <w:tc>
          <w:tcPr>
            <w:tcW w:w="6842" w:type="dxa"/>
          </w:tcPr>
          <w:p w14:paraId="1509AC9D" w14:textId="77777777" w:rsidR="00657E6B" w:rsidRDefault="00657E6B" w:rsidP="00701B4D">
            <w:pPr>
              <w:pStyle w:val="COMPara"/>
              <w:numPr>
                <w:ilvl w:val="0"/>
                <w:numId w:val="0"/>
              </w:numPr>
              <w:spacing w:before="120"/>
              <w:jc w:val="both"/>
              <w:rPr>
                <w:u w:val="single"/>
                <w:lang w:val="en-US"/>
              </w:rPr>
            </w:pPr>
            <w:r>
              <w:rPr>
                <w:rFonts w:asciiTheme="minorBidi" w:hAnsiTheme="minorBidi"/>
                <w:lang w:val="en-US"/>
              </w:rPr>
              <w:t>Online</w:t>
            </w:r>
            <w:r w:rsidRPr="00551114">
              <w:rPr>
                <w:rFonts w:asciiTheme="minorBidi" w:hAnsiTheme="minorBidi"/>
                <w:lang w:val="en-US"/>
              </w:rPr>
              <w:t xml:space="preserve"> T</w:t>
            </w:r>
            <w:r>
              <w:rPr>
                <w:rFonts w:asciiTheme="minorBidi" w:hAnsiTheme="minorBidi"/>
                <w:lang w:val="en-US"/>
              </w:rPr>
              <w:t xml:space="preserve">raining </w:t>
            </w:r>
            <w:r w:rsidRPr="00551114">
              <w:rPr>
                <w:rFonts w:asciiTheme="minorBidi" w:hAnsiTheme="minorBidi"/>
                <w:lang w:val="en-US"/>
              </w:rPr>
              <w:t>o</w:t>
            </w:r>
            <w:r>
              <w:rPr>
                <w:rFonts w:asciiTheme="minorBidi" w:hAnsiTheme="minorBidi"/>
                <w:lang w:val="en-US"/>
              </w:rPr>
              <w:t xml:space="preserve">f </w:t>
            </w:r>
            <w:r w:rsidRPr="00551114">
              <w:rPr>
                <w:rFonts w:asciiTheme="minorBidi" w:hAnsiTheme="minorBidi"/>
                <w:lang w:val="en-US"/>
              </w:rPr>
              <w:t>T</w:t>
            </w:r>
            <w:r>
              <w:rPr>
                <w:rFonts w:asciiTheme="minorBidi" w:hAnsiTheme="minorBidi"/>
                <w:lang w:val="en-US"/>
              </w:rPr>
              <w:t>rainers</w:t>
            </w:r>
          </w:p>
        </w:tc>
      </w:tr>
      <w:tr w:rsidR="00657E6B" w:rsidRPr="00B82A13" w14:paraId="4A432F7A" w14:textId="77777777" w:rsidTr="00701B4D">
        <w:tc>
          <w:tcPr>
            <w:tcW w:w="2552" w:type="dxa"/>
          </w:tcPr>
          <w:p w14:paraId="53545E74" w14:textId="77777777" w:rsidR="00657E6B" w:rsidRDefault="00657E6B" w:rsidP="00701B4D">
            <w:pPr>
              <w:pStyle w:val="COMPara"/>
              <w:numPr>
                <w:ilvl w:val="0"/>
                <w:numId w:val="0"/>
              </w:numPr>
              <w:spacing w:before="120"/>
              <w:rPr>
                <w:lang w:val="en-US"/>
              </w:rPr>
            </w:pPr>
            <w:r>
              <w:rPr>
                <w:rFonts w:asciiTheme="minorBidi" w:hAnsiTheme="minorBidi"/>
                <w:lang w:val="en-US"/>
              </w:rPr>
              <w:t>From September 2026 to February 2027</w:t>
            </w:r>
          </w:p>
        </w:tc>
        <w:tc>
          <w:tcPr>
            <w:tcW w:w="6842" w:type="dxa"/>
          </w:tcPr>
          <w:p w14:paraId="66B85FE1" w14:textId="77777777" w:rsidR="00657E6B" w:rsidRPr="008A4726" w:rsidRDefault="00657E6B" w:rsidP="00701B4D">
            <w:pPr>
              <w:pStyle w:val="COMPara"/>
              <w:numPr>
                <w:ilvl w:val="0"/>
                <w:numId w:val="0"/>
              </w:numPr>
              <w:spacing w:before="120"/>
              <w:jc w:val="both"/>
              <w:rPr>
                <w:lang w:val="en-US"/>
              </w:rPr>
            </w:pPr>
            <w:r>
              <w:rPr>
                <w:rFonts w:asciiTheme="minorBidi" w:hAnsiTheme="minorBidi"/>
                <w:lang w:val="en-US"/>
              </w:rPr>
              <w:t xml:space="preserve">Targeted training activities with the support of category 2 </w:t>
            </w:r>
            <w:proofErr w:type="spellStart"/>
            <w:r>
              <w:rPr>
                <w:rFonts w:asciiTheme="minorBidi" w:hAnsiTheme="minorBidi"/>
                <w:lang w:val="en-US"/>
              </w:rPr>
              <w:t>centres</w:t>
            </w:r>
            <w:proofErr w:type="spellEnd"/>
            <w:r>
              <w:rPr>
                <w:rFonts w:asciiTheme="minorBidi" w:hAnsiTheme="minorBidi"/>
                <w:lang w:val="en-US"/>
              </w:rPr>
              <w:t xml:space="preserve"> (tailored to each region)</w:t>
            </w:r>
          </w:p>
        </w:tc>
      </w:tr>
      <w:tr w:rsidR="00657E6B" w:rsidRPr="00B82A13" w14:paraId="3790BB49" w14:textId="77777777" w:rsidTr="00701B4D">
        <w:tc>
          <w:tcPr>
            <w:tcW w:w="2552" w:type="dxa"/>
          </w:tcPr>
          <w:p w14:paraId="0E813503" w14:textId="77777777" w:rsidR="00657E6B" w:rsidRDefault="00657E6B" w:rsidP="00701B4D">
            <w:pPr>
              <w:pStyle w:val="COMPara"/>
              <w:numPr>
                <w:ilvl w:val="0"/>
                <w:numId w:val="0"/>
              </w:numPr>
              <w:spacing w:before="120"/>
              <w:rPr>
                <w:lang w:val="en-US"/>
              </w:rPr>
            </w:pPr>
            <w:r>
              <w:rPr>
                <w:rFonts w:asciiTheme="minorBidi" w:hAnsiTheme="minorBidi"/>
                <w:lang w:val="pt-PT"/>
              </w:rPr>
              <w:t>From January to June 2027</w:t>
            </w:r>
          </w:p>
        </w:tc>
        <w:tc>
          <w:tcPr>
            <w:tcW w:w="6842" w:type="dxa"/>
          </w:tcPr>
          <w:p w14:paraId="0DDB77D4" w14:textId="77777777" w:rsidR="00657E6B" w:rsidRPr="008A4726" w:rsidRDefault="00657E6B" w:rsidP="00701B4D">
            <w:pPr>
              <w:pStyle w:val="COMPara"/>
              <w:numPr>
                <w:ilvl w:val="0"/>
                <w:numId w:val="0"/>
              </w:numPr>
              <w:spacing w:before="120"/>
              <w:jc w:val="both"/>
              <w:rPr>
                <w:lang w:val="en-US"/>
              </w:rPr>
            </w:pPr>
            <w:r>
              <w:rPr>
                <w:rFonts w:asciiTheme="minorBidi" w:hAnsiTheme="minorBidi"/>
                <w:lang w:val="en-US"/>
              </w:rPr>
              <w:t>Targeted f</w:t>
            </w:r>
            <w:r w:rsidRPr="00F533CF">
              <w:rPr>
                <w:rFonts w:asciiTheme="minorBidi" w:hAnsiTheme="minorBidi"/>
                <w:lang w:val="en-US"/>
              </w:rPr>
              <w:t>ollow-up support (online)</w:t>
            </w:r>
            <w:r>
              <w:rPr>
                <w:rFonts w:asciiTheme="minorBidi" w:hAnsiTheme="minorBidi"/>
                <w:lang w:val="en-US"/>
              </w:rPr>
              <w:t xml:space="preserve"> to focal points with the support of category 2 </w:t>
            </w:r>
            <w:proofErr w:type="spellStart"/>
            <w:r>
              <w:rPr>
                <w:rFonts w:asciiTheme="minorBidi" w:hAnsiTheme="minorBidi"/>
                <w:lang w:val="en-US"/>
              </w:rPr>
              <w:t>centres</w:t>
            </w:r>
            <w:proofErr w:type="spellEnd"/>
          </w:p>
        </w:tc>
      </w:tr>
      <w:tr w:rsidR="00522397" w:rsidRPr="00522397" w14:paraId="27203169" w14:textId="77777777" w:rsidTr="00701B4D">
        <w:tc>
          <w:tcPr>
            <w:tcW w:w="2552" w:type="dxa"/>
          </w:tcPr>
          <w:p w14:paraId="54A128E0" w14:textId="191C9F85" w:rsidR="00522397" w:rsidRDefault="00522397" w:rsidP="00701B4D">
            <w:pPr>
              <w:pStyle w:val="COMPara"/>
              <w:numPr>
                <w:ilvl w:val="0"/>
                <w:numId w:val="0"/>
              </w:numPr>
              <w:spacing w:before="120"/>
              <w:rPr>
                <w:rFonts w:asciiTheme="minorBidi" w:hAnsiTheme="minorBidi"/>
                <w:lang w:val="pt-PT"/>
              </w:rPr>
            </w:pPr>
            <w:r>
              <w:rPr>
                <w:rFonts w:asciiTheme="minorBidi" w:hAnsiTheme="minorBidi"/>
                <w:lang w:val="pt-PT"/>
              </w:rPr>
              <w:t>30 June 2027</w:t>
            </w:r>
          </w:p>
        </w:tc>
        <w:tc>
          <w:tcPr>
            <w:tcW w:w="6842" w:type="dxa"/>
          </w:tcPr>
          <w:p w14:paraId="45AA08CB" w14:textId="7B28A0E0" w:rsidR="00522397" w:rsidRDefault="00522397" w:rsidP="00701B4D">
            <w:pPr>
              <w:pStyle w:val="COMPara"/>
              <w:numPr>
                <w:ilvl w:val="0"/>
                <w:numId w:val="0"/>
              </w:numPr>
              <w:spacing w:before="120"/>
              <w:jc w:val="both"/>
              <w:rPr>
                <w:rFonts w:asciiTheme="minorBidi" w:hAnsiTheme="minorBidi"/>
                <w:lang w:val="en-US"/>
              </w:rPr>
            </w:pPr>
            <w:r>
              <w:rPr>
                <w:rFonts w:asciiTheme="minorBidi" w:hAnsiTheme="minorBidi"/>
                <w:lang w:val="en-US"/>
              </w:rPr>
              <w:t xml:space="preserve">Global submission </w:t>
            </w:r>
            <w:r w:rsidR="008C15BA">
              <w:rPr>
                <w:rFonts w:asciiTheme="minorBidi" w:hAnsiTheme="minorBidi"/>
                <w:lang w:val="en-US"/>
              </w:rPr>
              <w:t>date</w:t>
            </w:r>
          </w:p>
        </w:tc>
      </w:tr>
      <w:tr w:rsidR="00657E6B" w:rsidRPr="00B82A13" w14:paraId="2815C227" w14:textId="77777777" w:rsidTr="00701B4D">
        <w:tc>
          <w:tcPr>
            <w:tcW w:w="2552" w:type="dxa"/>
          </w:tcPr>
          <w:p w14:paraId="466DACFF" w14:textId="77777777" w:rsidR="00657E6B" w:rsidRDefault="00657E6B" w:rsidP="00701B4D">
            <w:pPr>
              <w:pStyle w:val="COMPara"/>
              <w:numPr>
                <w:ilvl w:val="0"/>
                <w:numId w:val="0"/>
              </w:numPr>
              <w:spacing w:before="120"/>
              <w:rPr>
                <w:lang w:val="en-US"/>
              </w:rPr>
            </w:pPr>
            <w:r>
              <w:rPr>
                <w:rFonts w:asciiTheme="minorBidi" w:hAnsiTheme="minorBidi"/>
                <w:lang w:val="pt-PT"/>
              </w:rPr>
              <w:t>July 2027 onwards</w:t>
            </w:r>
          </w:p>
        </w:tc>
        <w:tc>
          <w:tcPr>
            <w:tcW w:w="6842" w:type="dxa"/>
          </w:tcPr>
          <w:p w14:paraId="7892856E" w14:textId="77777777" w:rsidR="00657E6B" w:rsidRPr="008A4726" w:rsidRDefault="00657E6B" w:rsidP="00701B4D">
            <w:pPr>
              <w:pStyle w:val="COMPara"/>
              <w:numPr>
                <w:ilvl w:val="0"/>
                <w:numId w:val="0"/>
              </w:numPr>
              <w:spacing w:before="120"/>
              <w:jc w:val="both"/>
              <w:rPr>
                <w:lang w:val="en-US"/>
              </w:rPr>
            </w:pPr>
            <w:r>
              <w:rPr>
                <w:rFonts w:asciiTheme="minorBidi" w:hAnsiTheme="minorBidi"/>
                <w:lang w:val="en-US"/>
              </w:rPr>
              <w:t xml:space="preserve">Analysis of periodic reports with the support of category 2 </w:t>
            </w:r>
            <w:proofErr w:type="spellStart"/>
            <w:r>
              <w:rPr>
                <w:rFonts w:asciiTheme="minorBidi" w:hAnsiTheme="minorBidi"/>
                <w:lang w:val="en-US"/>
              </w:rPr>
              <w:t>centres</w:t>
            </w:r>
            <w:proofErr w:type="spellEnd"/>
          </w:p>
        </w:tc>
      </w:tr>
    </w:tbl>
    <w:p w14:paraId="2262569F" w14:textId="77777777" w:rsidR="00657E6B" w:rsidRPr="002A3D81" w:rsidRDefault="00657E6B" w:rsidP="00657E6B">
      <w:pPr>
        <w:pStyle w:val="COMPara"/>
        <w:numPr>
          <w:ilvl w:val="0"/>
          <w:numId w:val="0"/>
        </w:numPr>
        <w:spacing w:before="120"/>
        <w:jc w:val="both"/>
        <w:rPr>
          <w:lang w:val="en-US"/>
        </w:rPr>
      </w:pPr>
    </w:p>
    <w:sectPr w:rsidR="00657E6B" w:rsidRPr="002A3D81" w:rsidSect="00655736">
      <w:headerReference w:type="even" r:id="rId75"/>
      <w:headerReference w:type="default" r:id="rId76"/>
      <w:headerReference w:type="first" r:id="rId7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 w:id="1">
    <w:p w14:paraId="75DA9DD0" w14:textId="1742E555" w:rsidR="00951A36" w:rsidRPr="008E05A5" w:rsidRDefault="00951A36" w:rsidP="008E05A5">
      <w:pPr>
        <w:pStyle w:val="FootnoteText"/>
        <w:jc w:val="both"/>
        <w:rPr>
          <w:rFonts w:asciiTheme="minorBidi" w:hAnsiTheme="minorBidi" w:cstheme="minorBidi"/>
          <w:sz w:val="18"/>
          <w:szCs w:val="18"/>
          <w:lang w:val="en-US"/>
        </w:rPr>
      </w:pPr>
      <w:r w:rsidRPr="008E05A5">
        <w:rPr>
          <w:rStyle w:val="FootnoteReference"/>
          <w:rFonts w:asciiTheme="minorBidi" w:hAnsiTheme="minorBidi" w:cstheme="minorBidi"/>
          <w:sz w:val="18"/>
          <w:szCs w:val="18"/>
        </w:rPr>
        <w:footnoteRef/>
      </w:r>
      <w:r w:rsidRPr="008E05A5">
        <w:rPr>
          <w:rFonts w:asciiTheme="minorBidi" w:hAnsiTheme="minorBidi" w:cstheme="minorBidi"/>
          <w:sz w:val="18"/>
          <w:szCs w:val="18"/>
          <w:lang w:val="en-US"/>
        </w:rPr>
        <w:t xml:space="preserve"> </w:t>
      </w:r>
      <w:r w:rsidR="005E44F4" w:rsidRPr="008E05A5">
        <w:rPr>
          <w:rFonts w:asciiTheme="minorBidi" w:hAnsiTheme="minorBidi" w:cstheme="minorBidi"/>
          <w:sz w:val="18"/>
          <w:szCs w:val="18"/>
          <w:lang w:val="en-US"/>
        </w:rPr>
        <w:t>The information provided in the table is to be complemented with details available on the webpage dedicated to Intergovernmental Committee’s working documents, particularly for reports submitted in cycles before the reform launched in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3E9862A1" w:rsidR="00D95C4C" w:rsidRPr="00455314" w:rsidRDefault="00C5776D" w:rsidP="00192A23">
    <w:pPr>
      <w:pStyle w:val="Header"/>
      <w:jc w:val="right"/>
      <w:rPr>
        <w:rFonts w:ascii="Arial" w:hAnsi="Arial" w:cs="Arial"/>
        <w:lang w:val="es-ES"/>
      </w:rPr>
    </w:pPr>
    <w:r w:rsidRPr="00C85609">
      <w:rPr>
        <w:rFonts w:ascii="Arial" w:hAnsi="Arial" w:cs="Arial"/>
        <w:sz w:val="20"/>
        <w:szCs w:val="20"/>
        <w:lang w:val="es-ES"/>
      </w:rPr>
      <w:t>L</w:t>
    </w:r>
    <w:r w:rsidR="00CB0542" w:rsidRPr="00C85609">
      <w:rPr>
        <w:rFonts w:ascii="Arial" w:hAnsi="Arial" w:cs="Arial"/>
        <w:sz w:val="20"/>
        <w:szCs w:val="20"/>
        <w:lang w:val="es-ES"/>
      </w:rPr>
      <w:t>H</w:t>
    </w:r>
    <w:r w:rsidRPr="00C85609">
      <w:rPr>
        <w:rFonts w:ascii="Arial" w:hAnsi="Arial" w:cs="Arial"/>
        <w:sz w:val="20"/>
        <w:szCs w:val="20"/>
        <w:lang w:val="es-ES"/>
      </w:rPr>
      <w:t>E</w:t>
    </w:r>
    <w:r w:rsidR="00CB0542" w:rsidRPr="00C85609">
      <w:rPr>
        <w:rFonts w:ascii="Arial" w:hAnsi="Arial" w:cs="Arial"/>
        <w:sz w:val="20"/>
        <w:szCs w:val="20"/>
        <w:lang w:val="es-ES"/>
      </w:rPr>
      <w:t>/</w:t>
    </w:r>
    <w:r w:rsidR="00D7105A" w:rsidRPr="00C85609">
      <w:rPr>
        <w:rFonts w:ascii="Arial" w:hAnsi="Arial" w:cs="Arial"/>
        <w:sz w:val="20"/>
        <w:szCs w:val="20"/>
        <w:lang w:val="es-ES"/>
      </w:rPr>
      <w:t>2</w:t>
    </w:r>
    <w:r w:rsidR="00010244">
      <w:rPr>
        <w:rFonts w:ascii="Arial" w:hAnsi="Arial" w:cs="Arial"/>
        <w:sz w:val="20"/>
        <w:szCs w:val="20"/>
        <w:lang w:val="es-ES"/>
      </w:rPr>
      <w:t>6</w:t>
    </w:r>
    <w:r w:rsidR="00CB0542" w:rsidRPr="00C85609">
      <w:rPr>
        <w:rFonts w:ascii="Arial" w:hAnsi="Arial" w:cs="Arial"/>
        <w:sz w:val="20"/>
        <w:szCs w:val="20"/>
        <w:lang w:val="es-ES"/>
      </w:rPr>
      <w:t>/</w:t>
    </w:r>
    <w:r w:rsidR="00514C11" w:rsidRPr="00C85609">
      <w:rPr>
        <w:rFonts w:ascii="Arial" w:hAnsi="Arial" w:cs="Arial"/>
        <w:sz w:val="20"/>
        <w:szCs w:val="20"/>
        <w:lang w:val="es-ES"/>
      </w:rPr>
      <w:t>PR</w:t>
    </w:r>
    <w:r w:rsidR="0070257B">
      <w:rPr>
        <w:rFonts w:ascii="Arial" w:hAnsi="Arial" w:cs="Arial"/>
        <w:sz w:val="20"/>
        <w:szCs w:val="20"/>
        <w:lang w:val="es-ES"/>
      </w:rPr>
      <w:t xml:space="preserve"> – RFL</w:t>
    </w:r>
    <w:r w:rsidR="00B157F8">
      <w:rPr>
        <w:rFonts w:ascii="Arial" w:hAnsi="Arial" w:cs="Arial"/>
        <w:sz w:val="20"/>
        <w:szCs w:val="20"/>
        <w:lang w:val="es-ES"/>
      </w:rPr>
      <w:t>/</w:t>
    </w:r>
    <w:r w:rsidR="004F1737">
      <w:rPr>
        <w:rFonts w:ascii="Arial" w:hAnsi="Arial" w:cs="Arial"/>
        <w:sz w:val="20"/>
        <w:szCs w:val="20"/>
        <w:lang w:val="es-ES"/>
      </w:rPr>
      <w:t>2</w:t>
    </w:r>
    <w:r w:rsidR="009470E6">
      <w:rPr>
        <w:rFonts w:ascii="Arial" w:hAnsi="Arial" w:cs="Arial"/>
        <w:sz w:val="20"/>
        <w:szCs w:val="20"/>
        <w:lang w:val="es-ES"/>
      </w:rPr>
      <w:t xml:space="preserve"> </w:t>
    </w:r>
    <w:r w:rsidR="00D95C4C" w:rsidRPr="00C85609">
      <w:rPr>
        <w:rFonts w:ascii="Arial" w:hAnsi="Arial" w:cs="Arial"/>
        <w:sz w:val="20"/>
        <w:szCs w:val="20"/>
        <w:lang w:val="es-ES"/>
      </w:rPr>
      <w:t xml:space="preserve">– page </w:t>
    </w:r>
    <w:r w:rsidR="00D95C4C" w:rsidRPr="00C85609">
      <w:rPr>
        <w:rStyle w:val="PageNumber"/>
        <w:rFonts w:ascii="Arial" w:hAnsi="Arial" w:cs="Arial"/>
        <w:sz w:val="20"/>
        <w:szCs w:val="20"/>
        <w:lang w:val="en-GB"/>
      </w:rPr>
      <w:fldChar w:fldCharType="begin"/>
    </w:r>
    <w:r w:rsidR="00D95C4C" w:rsidRPr="00C85609">
      <w:rPr>
        <w:rStyle w:val="PageNumber"/>
        <w:rFonts w:ascii="Arial" w:hAnsi="Arial" w:cs="Arial"/>
        <w:sz w:val="20"/>
        <w:szCs w:val="20"/>
        <w:lang w:val="es-ES"/>
      </w:rPr>
      <w:instrText xml:space="preserve"> PAGE </w:instrText>
    </w:r>
    <w:r w:rsidR="00D95C4C" w:rsidRPr="00C85609">
      <w:rPr>
        <w:rStyle w:val="PageNumber"/>
        <w:rFonts w:ascii="Arial" w:hAnsi="Arial" w:cs="Arial"/>
        <w:sz w:val="20"/>
        <w:szCs w:val="20"/>
        <w:lang w:val="en-GB"/>
      </w:rPr>
      <w:fldChar w:fldCharType="separate"/>
    </w:r>
    <w:r w:rsidR="006E75EB" w:rsidRPr="00C85609">
      <w:rPr>
        <w:rStyle w:val="PageNumber"/>
        <w:rFonts w:ascii="Arial" w:hAnsi="Arial" w:cs="Arial"/>
        <w:noProof/>
        <w:sz w:val="20"/>
        <w:szCs w:val="20"/>
        <w:lang w:val="es-ES"/>
      </w:rPr>
      <w:t>2</w:t>
    </w:r>
    <w:r w:rsidR="00D95C4C" w:rsidRPr="00C85609">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665147E3"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LHE/2</w:t>
    </w:r>
    <w:r w:rsidR="00BC6E41">
      <w:rPr>
        <w:rFonts w:ascii="Arial" w:hAnsi="Arial" w:cs="Arial"/>
        <w:sz w:val="20"/>
        <w:szCs w:val="20"/>
        <w:lang w:val="es-ES"/>
      </w:rPr>
      <w:t>6</w:t>
    </w:r>
    <w:r w:rsidRPr="00455314">
      <w:rPr>
        <w:rFonts w:ascii="Arial" w:hAnsi="Arial" w:cs="Arial"/>
        <w:sz w:val="20"/>
        <w:szCs w:val="20"/>
        <w:lang w:val="es-ES"/>
      </w:rPr>
      <w:t>/</w:t>
    </w:r>
    <w:r w:rsidR="00483586">
      <w:rPr>
        <w:rFonts w:ascii="Arial" w:hAnsi="Arial" w:cs="Arial"/>
        <w:sz w:val="20"/>
        <w:szCs w:val="20"/>
        <w:lang w:val="es-ES"/>
      </w:rPr>
      <w:t>PR</w:t>
    </w:r>
    <w:r w:rsidR="00403B9D">
      <w:rPr>
        <w:rFonts w:ascii="Arial" w:hAnsi="Arial" w:cs="Arial"/>
        <w:sz w:val="20"/>
        <w:szCs w:val="20"/>
        <w:lang w:val="es-ES"/>
      </w:rPr>
      <w:t>-RFL</w:t>
    </w:r>
    <w:r w:rsidR="00B157F8">
      <w:rPr>
        <w:rFonts w:ascii="Arial" w:hAnsi="Arial" w:cs="Arial"/>
        <w:sz w:val="20"/>
        <w:szCs w:val="20"/>
        <w:lang w:val="es-ES"/>
      </w:rPr>
      <w:t>/</w:t>
    </w:r>
    <w:r w:rsidR="00482B75">
      <w:rPr>
        <w:rFonts w:ascii="Arial" w:hAnsi="Arial" w:cs="Arial"/>
        <w:sz w:val="20"/>
        <w:szCs w:val="20"/>
        <w:lang w:val="es-ES"/>
      </w:rPr>
      <w:t>2</w:t>
    </w:r>
    <w:r w:rsidR="009470E6">
      <w:rPr>
        <w:rFonts w:ascii="Arial" w:hAnsi="Arial" w:cs="Arial"/>
        <w:sz w:val="20"/>
        <w:szCs w:val="20"/>
        <w:lang w:val="es-ES"/>
      </w:rPr>
      <w:t xml:space="preserve">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5E66D6DB" w:rsidR="004E1760" w:rsidRPr="00D7105A" w:rsidRDefault="00EF0131" w:rsidP="004E1760">
    <w:pPr>
      <w:pStyle w:val="Header"/>
      <w:spacing w:after="520"/>
      <w:jc w:val="right"/>
      <w:rPr>
        <w:rFonts w:ascii="Arial" w:hAnsi="Arial" w:cs="Arial"/>
        <w:b/>
        <w:sz w:val="44"/>
        <w:szCs w:val="44"/>
        <w:lang w:val="pt-PT"/>
      </w:rPr>
    </w:pPr>
    <w:r>
      <w:rPr>
        <w:rFonts w:ascii="Arial" w:hAnsi="Arial" w:cs="Arial"/>
        <w:b/>
        <w:sz w:val="44"/>
        <w:szCs w:val="44"/>
        <w:lang w:val="pt-PT"/>
      </w:rPr>
      <w:t>PR</w:t>
    </w:r>
    <w:r w:rsidR="00584D91">
      <w:rPr>
        <w:rFonts w:ascii="Arial" w:hAnsi="Arial" w:cs="Arial"/>
        <w:b/>
        <w:sz w:val="44"/>
        <w:szCs w:val="44"/>
        <w:lang w:val="pt-PT"/>
      </w:rPr>
      <w:t xml:space="preserve"> – RFL</w:t>
    </w:r>
  </w:p>
  <w:p w14:paraId="6D1B3489" w14:textId="770C8F3B"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240B12">
      <w:rPr>
        <w:rFonts w:ascii="Arial" w:hAnsi="Arial" w:cs="Arial"/>
        <w:b/>
        <w:sz w:val="22"/>
        <w:szCs w:val="22"/>
        <w:lang w:val="pt-PT"/>
      </w:rPr>
      <w:t>6</w:t>
    </w:r>
    <w:r w:rsidRPr="00D7105A">
      <w:rPr>
        <w:rFonts w:ascii="Arial" w:hAnsi="Arial" w:cs="Arial"/>
        <w:b/>
        <w:sz w:val="22"/>
        <w:szCs w:val="22"/>
        <w:lang w:val="pt-PT"/>
      </w:rPr>
      <w:t>/</w:t>
    </w:r>
    <w:bookmarkStart w:id="2" w:name="_Hlk94624970"/>
    <w:r w:rsidR="00D858FC">
      <w:rPr>
        <w:rFonts w:ascii="Arial" w:hAnsi="Arial" w:cs="Arial"/>
        <w:b/>
        <w:sz w:val="22"/>
        <w:szCs w:val="22"/>
        <w:lang w:val="pt-PT"/>
      </w:rPr>
      <w:t>PR</w:t>
    </w:r>
    <w:r w:rsidR="000F1388">
      <w:rPr>
        <w:rFonts w:ascii="Arial" w:hAnsi="Arial" w:cs="Arial"/>
        <w:b/>
        <w:sz w:val="22"/>
        <w:szCs w:val="22"/>
        <w:lang w:val="pt-PT"/>
      </w:rPr>
      <w:t xml:space="preserve"> – RFL</w:t>
    </w:r>
    <w:r w:rsidR="00B157F8">
      <w:rPr>
        <w:rFonts w:ascii="Arial" w:hAnsi="Arial" w:cs="Arial"/>
        <w:b/>
        <w:sz w:val="22"/>
        <w:szCs w:val="22"/>
        <w:lang w:val="pt-PT"/>
      </w:rPr>
      <w:t>/</w:t>
    </w:r>
    <w:r w:rsidR="004F1737">
      <w:rPr>
        <w:rFonts w:ascii="Arial" w:hAnsi="Arial" w:cs="Arial"/>
        <w:b/>
        <w:sz w:val="22"/>
        <w:szCs w:val="22"/>
        <w:lang w:val="pt-PT"/>
      </w:rPr>
      <w:t>2</w:t>
    </w:r>
  </w:p>
  <w:bookmarkEnd w:id="2"/>
  <w:p w14:paraId="1B4446C3" w14:textId="6DABED9B" w:rsidR="00D95C4C" w:rsidRPr="00FA5AA3" w:rsidRDefault="00D95C4C" w:rsidP="00655736">
    <w:pPr>
      <w:jc w:val="right"/>
      <w:rPr>
        <w:rFonts w:ascii="Arial" w:eastAsiaTheme="minorEastAsia" w:hAnsi="Arial" w:cs="Arial"/>
        <w:b/>
        <w:color w:val="000000" w:themeColor="text1"/>
        <w:sz w:val="22"/>
        <w:szCs w:val="22"/>
        <w:lang w:val="pt-PT" w:eastAsia="ko-KR"/>
      </w:rPr>
    </w:pPr>
    <w:r w:rsidRPr="00FA5AA3">
      <w:rPr>
        <w:rFonts w:ascii="Arial" w:hAnsi="Arial" w:cs="Arial"/>
        <w:b/>
        <w:color w:val="000000" w:themeColor="text1"/>
        <w:sz w:val="22"/>
        <w:szCs w:val="22"/>
        <w:lang w:val="pt-PT"/>
      </w:rPr>
      <w:t xml:space="preserve">Paris, </w:t>
    </w:r>
    <w:r w:rsidR="00F470CB">
      <w:rPr>
        <w:rFonts w:ascii="Arial" w:hAnsi="Arial" w:cs="Arial"/>
        <w:b/>
        <w:color w:val="000000" w:themeColor="text1"/>
        <w:sz w:val="22"/>
        <w:szCs w:val="22"/>
        <w:lang w:val="pt-PT"/>
      </w:rPr>
      <w:t>17</w:t>
    </w:r>
    <w:r w:rsidR="00F470CB" w:rsidRPr="00FA5AA3">
      <w:rPr>
        <w:rFonts w:ascii="Arial" w:hAnsi="Arial" w:cs="Arial"/>
        <w:b/>
        <w:color w:val="000000" w:themeColor="text1"/>
        <w:sz w:val="22"/>
        <w:szCs w:val="22"/>
        <w:lang w:val="pt-PT"/>
      </w:rPr>
      <w:t xml:space="preserve"> </w:t>
    </w:r>
    <w:r w:rsidR="00FA5AA3" w:rsidRPr="00FA5AA3">
      <w:rPr>
        <w:rFonts w:ascii="Arial" w:hAnsi="Arial" w:cs="Arial"/>
        <w:b/>
        <w:color w:val="000000" w:themeColor="text1"/>
        <w:sz w:val="22"/>
        <w:szCs w:val="22"/>
        <w:lang w:val="pt-PT"/>
      </w:rPr>
      <w:t>April</w:t>
    </w:r>
    <w:r w:rsidR="00174D0C" w:rsidRPr="00FA5AA3">
      <w:rPr>
        <w:rFonts w:ascii="Arial" w:hAnsi="Arial" w:cs="Arial"/>
        <w:b/>
        <w:color w:val="000000" w:themeColor="text1"/>
        <w:sz w:val="22"/>
        <w:szCs w:val="22"/>
        <w:lang w:val="pt-PT"/>
      </w:rPr>
      <w:t xml:space="preserve"> 202</w:t>
    </w:r>
    <w:r w:rsidR="00240B12" w:rsidRPr="00FA5AA3">
      <w:rPr>
        <w:rFonts w:ascii="Arial" w:hAnsi="Arial" w:cs="Arial"/>
        <w:b/>
        <w:color w:val="000000" w:themeColor="text1"/>
        <w:sz w:val="22"/>
        <w:szCs w:val="22"/>
        <w:lang w:val="pt-PT"/>
      </w:rPr>
      <w:t>6</w:t>
    </w:r>
  </w:p>
  <w:p w14:paraId="255B57FF" w14:textId="427DD03E" w:rsidR="00D95C4C" w:rsidRPr="006121F5" w:rsidRDefault="00D95C4C" w:rsidP="00962034">
    <w:pPr>
      <w:spacing w:after="120"/>
      <w:jc w:val="right"/>
      <w:rPr>
        <w:rFonts w:ascii="Arial" w:hAnsi="Arial" w:cs="Arial"/>
        <w:b/>
        <w:sz w:val="22"/>
        <w:szCs w:val="22"/>
      </w:rPr>
    </w:pPr>
    <w:proofErr w:type="gramStart"/>
    <w:r w:rsidRPr="006121F5">
      <w:rPr>
        <w:rFonts w:ascii="Arial" w:hAnsi="Arial" w:cs="Arial"/>
        <w:b/>
        <w:sz w:val="22"/>
        <w:szCs w:val="22"/>
      </w:rPr>
      <w:t>Original:</w:t>
    </w:r>
    <w:proofErr w:type="gramEnd"/>
    <w:r w:rsidRPr="006121F5">
      <w:rPr>
        <w:rFonts w:ascii="Arial" w:hAnsi="Arial" w:cs="Arial"/>
        <w:b/>
        <w:sz w:val="22"/>
        <w:szCs w:val="22"/>
      </w:rPr>
      <w:t xml:space="preserve"> </w:t>
    </w:r>
    <w:r w:rsidR="00151E44" w:rsidRPr="006121F5">
      <w:rPr>
        <w:rFonts w:ascii="Arial" w:hAnsi="Arial" w:cs="Arial"/>
        <w:b/>
        <w:sz w:val="22"/>
        <w:szCs w:val="22"/>
      </w:rPr>
      <w:t>English</w:t>
    </w:r>
  </w:p>
  <w:p w14:paraId="3C4B8B1B" w14:textId="77777777" w:rsidR="00D95C4C" w:rsidRPr="006121F5"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69B"/>
    <w:multiLevelType w:val="hybridMultilevel"/>
    <w:tmpl w:val="DED2CEC2"/>
    <w:lvl w:ilvl="0" w:tplc="04090015">
      <w:start w:val="1"/>
      <w:numFmt w:val="upperLetter"/>
      <w:lvlText w:val="%1."/>
      <w:lvlJc w:val="left"/>
      <w:pPr>
        <w:ind w:left="10990" w:hanging="360"/>
      </w:p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 w15:restartNumberingAfterBreak="0">
    <w:nsid w:val="0B8E094C"/>
    <w:multiLevelType w:val="hybridMultilevel"/>
    <w:tmpl w:val="C0563D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2486C4E"/>
    <w:multiLevelType w:val="hybridMultilevel"/>
    <w:tmpl w:val="E86AA7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AD314A"/>
    <w:multiLevelType w:val="hybridMultilevel"/>
    <w:tmpl w:val="21B6C7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1EB351A"/>
    <w:multiLevelType w:val="hybridMultilevel"/>
    <w:tmpl w:val="BB02C4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6F0239AA"/>
    <w:lvl w:ilvl="0" w:tplc="B46E98C2">
      <w:start w:val="1"/>
      <w:numFmt w:val="decimal"/>
      <w:pStyle w:val="COMPara"/>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B43821"/>
    <w:multiLevelType w:val="hybridMultilevel"/>
    <w:tmpl w:val="35CE7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7735D"/>
    <w:multiLevelType w:val="hybridMultilevel"/>
    <w:tmpl w:val="F1A4EAA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44941504"/>
    <w:multiLevelType w:val="hybridMultilevel"/>
    <w:tmpl w:val="7C624CFE"/>
    <w:lvl w:ilvl="0" w:tplc="0CDA5C22">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B2EDC"/>
    <w:multiLevelType w:val="hybridMultilevel"/>
    <w:tmpl w:val="B1C68EF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3977DE"/>
    <w:multiLevelType w:val="hybridMultilevel"/>
    <w:tmpl w:val="E86AA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456EE"/>
    <w:multiLevelType w:val="hybridMultilevel"/>
    <w:tmpl w:val="F3F4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444F8"/>
    <w:multiLevelType w:val="hybridMultilevel"/>
    <w:tmpl w:val="9C18E8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B51DB"/>
    <w:multiLevelType w:val="hybridMultilevel"/>
    <w:tmpl w:val="1A70B5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1671C1"/>
    <w:multiLevelType w:val="hybridMultilevel"/>
    <w:tmpl w:val="E86AA7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627CF4"/>
    <w:multiLevelType w:val="hybridMultilevel"/>
    <w:tmpl w:val="425298BC"/>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2"/>
  </w:num>
  <w:num w:numId="2" w16cid:durableId="217087148">
    <w:abstractNumId w:val="6"/>
  </w:num>
  <w:num w:numId="3" w16cid:durableId="347945616">
    <w:abstractNumId w:val="7"/>
  </w:num>
  <w:num w:numId="4" w16cid:durableId="1119109097">
    <w:abstractNumId w:val="8"/>
  </w:num>
  <w:num w:numId="5" w16cid:durableId="1445689247">
    <w:abstractNumId w:val="18"/>
  </w:num>
  <w:num w:numId="6" w16cid:durableId="1740134454">
    <w:abstractNumId w:val="12"/>
  </w:num>
  <w:num w:numId="7" w16cid:durableId="1727029840">
    <w:abstractNumId w:val="14"/>
  </w:num>
  <w:num w:numId="8" w16cid:durableId="1067339599">
    <w:abstractNumId w:val="15"/>
  </w:num>
  <w:num w:numId="9" w16cid:durableId="1256205909">
    <w:abstractNumId w:val="9"/>
  </w:num>
  <w:num w:numId="10" w16cid:durableId="971717344">
    <w:abstractNumId w:val="13"/>
  </w:num>
  <w:num w:numId="11" w16cid:durableId="947813535">
    <w:abstractNumId w:val="3"/>
  </w:num>
  <w:num w:numId="12" w16cid:durableId="1446344894">
    <w:abstractNumId w:val="6"/>
  </w:num>
  <w:num w:numId="13" w16cid:durableId="588193381">
    <w:abstractNumId w:val="6"/>
  </w:num>
  <w:num w:numId="14" w16cid:durableId="277297269">
    <w:abstractNumId w:val="6"/>
  </w:num>
  <w:num w:numId="15" w16cid:durableId="1171221370">
    <w:abstractNumId w:val="6"/>
  </w:num>
  <w:num w:numId="16" w16cid:durableId="1375079705">
    <w:abstractNumId w:val="17"/>
  </w:num>
  <w:num w:numId="17" w16cid:durableId="1319267902">
    <w:abstractNumId w:val="6"/>
  </w:num>
  <w:num w:numId="18" w16cid:durableId="1483037023">
    <w:abstractNumId w:val="6"/>
  </w:num>
  <w:num w:numId="19" w16cid:durableId="998725720">
    <w:abstractNumId w:val="6"/>
  </w:num>
  <w:num w:numId="20" w16cid:durableId="2143767997">
    <w:abstractNumId w:val="6"/>
  </w:num>
  <w:num w:numId="21" w16cid:durableId="1692953791">
    <w:abstractNumId w:val="6"/>
  </w:num>
  <w:num w:numId="22" w16cid:durableId="1591623322">
    <w:abstractNumId w:val="6"/>
  </w:num>
  <w:num w:numId="23" w16cid:durableId="1742948315">
    <w:abstractNumId w:val="6"/>
  </w:num>
  <w:num w:numId="24" w16cid:durableId="26223026">
    <w:abstractNumId w:val="6"/>
  </w:num>
  <w:num w:numId="25" w16cid:durableId="1193958093">
    <w:abstractNumId w:val="6"/>
  </w:num>
  <w:num w:numId="26" w16cid:durableId="1280989740">
    <w:abstractNumId w:val="0"/>
  </w:num>
  <w:num w:numId="27" w16cid:durableId="711728955">
    <w:abstractNumId w:val="6"/>
  </w:num>
  <w:num w:numId="28" w16cid:durableId="711197512">
    <w:abstractNumId w:val="6"/>
  </w:num>
  <w:num w:numId="29" w16cid:durableId="1003509823">
    <w:abstractNumId w:val="6"/>
  </w:num>
  <w:num w:numId="30" w16cid:durableId="619652520">
    <w:abstractNumId w:val="6"/>
  </w:num>
  <w:num w:numId="31" w16cid:durableId="1527870796">
    <w:abstractNumId w:val="6"/>
  </w:num>
  <w:num w:numId="32" w16cid:durableId="1050885762">
    <w:abstractNumId w:val="6"/>
  </w:num>
  <w:num w:numId="33" w16cid:durableId="1297447650">
    <w:abstractNumId w:val="6"/>
  </w:num>
  <w:num w:numId="34" w16cid:durableId="76482587">
    <w:abstractNumId w:val="6"/>
  </w:num>
  <w:num w:numId="35" w16cid:durableId="707755177">
    <w:abstractNumId w:val="6"/>
  </w:num>
  <w:num w:numId="36" w16cid:durableId="117845185">
    <w:abstractNumId w:val="6"/>
  </w:num>
  <w:num w:numId="37" w16cid:durableId="958880100">
    <w:abstractNumId w:val="6"/>
  </w:num>
  <w:num w:numId="38" w16cid:durableId="1949194545">
    <w:abstractNumId w:val="6"/>
  </w:num>
  <w:num w:numId="39" w16cid:durableId="1834880660">
    <w:abstractNumId w:val="6"/>
  </w:num>
  <w:num w:numId="40" w16cid:durableId="1643192229">
    <w:abstractNumId w:val="6"/>
  </w:num>
  <w:num w:numId="41" w16cid:durableId="381635694">
    <w:abstractNumId w:val="6"/>
  </w:num>
  <w:num w:numId="42" w16cid:durableId="665784127">
    <w:abstractNumId w:val="6"/>
  </w:num>
  <w:num w:numId="43" w16cid:durableId="1037315419">
    <w:abstractNumId w:val="6"/>
  </w:num>
  <w:num w:numId="44" w16cid:durableId="274098443">
    <w:abstractNumId w:val="6"/>
  </w:num>
  <w:num w:numId="45" w16cid:durableId="23480058">
    <w:abstractNumId w:val="5"/>
  </w:num>
  <w:num w:numId="46" w16cid:durableId="1321277196">
    <w:abstractNumId w:val="16"/>
  </w:num>
  <w:num w:numId="47" w16cid:durableId="2047483931">
    <w:abstractNumId w:val="6"/>
  </w:num>
  <w:num w:numId="48" w16cid:durableId="1361975638">
    <w:abstractNumId w:val="6"/>
  </w:num>
  <w:num w:numId="49" w16cid:durableId="1568682255">
    <w:abstractNumId w:val="6"/>
  </w:num>
  <w:num w:numId="50" w16cid:durableId="958951162">
    <w:abstractNumId w:val="6"/>
  </w:num>
  <w:num w:numId="51" w16cid:durableId="448013210">
    <w:abstractNumId w:val="6"/>
  </w:num>
  <w:num w:numId="52" w16cid:durableId="1125737783">
    <w:abstractNumId w:val="6"/>
  </w:num>
  <w:num w:numId="53" w16cid:durableId="659500673">
    <w:abstractNumId w:val="6"/>
  </w:num>
  <w:num w:numId="54" w16cid:durableId="274295068">
    <w:abstractNumId w:val="11"/>
  </w:num>
  <w:num w:numId="55" w16cid:durableId="275673100">
    <w:abstractNumId w:val="6"/>
  </w:num>
  <w:num w:numId="56" w16cid:durableId="2115130681">
    <w:abstractNumId w:val="6"/>
  </w:num>
  <w:num w:numId="57" w16cid:durableId="1166019084">
    <w:abstractNumId w:val="10"/>
  </w:num>
  <w:num w:numId="58" w16cid:durableId="486898293">
    <w:abstractNumId w:val="6"/>
  </w:num>
  <w:num w:numId="59" w16cid:durableId="143589680">
    <w:abstractNumId w:val="6"/>
  </w:num>
  <w:num w:numId="60" w16cid:durableId="1379935754">
    <w:abstractNumId w:val="1"/>
  </w:num>
  <w:num w:numId="61" w16cid:durableId="1160924804">
    <w:abstractNumId w:val="6"/>
  </w:num>
  <w:num w:numId="62" w16cid:durableId="234362229">
    <w:abstractNumId w:val="6"/>
  </w:num>
  <w:num w:numId="63" w16cid:durableId="314919955">
    <w:abstractNumId w:val="6"/>
  </w:num>
  <w:num w:numId="64" w16cid:durableId="1522935308">
    <w:abstractNumId w:val="6"/>
  </w:num>
  <w:num w:numId="65" w16cid:durableId="2034651172">
    <w:abstractNumId w:val="4"/>
  </w:num>
  <w:num w:numId="66" w16cid:durableId="1934049713">
    <w:abstractNumId w:val="6"/>
  </w:num>
  <w:num w:numId="67" w16cid:durableId="1083992511">
    <w:abstractNumId w:val="6"/>
  </w:num>
  <w:num w:numId="68" w16cid:durableId="1419476457">
    <w:abstractNumId w:val="6"/>
  </w:num>
  <w:num w:numId="69" w16cid:durableId="1515800511">
    <w:abstractNumId w:val="6"/>
  </w:num>
  <w:num w:numId="70" w16cid:durableId="431895871">
    <w:abstractNumId w:val="6"/>
  </w:num>
  <w:num w:numId="71" w16cid:durableId="2053380615">
    <w:abstractNumId w:val="6"/>
  </w:num>
  <w:num w:numId="72" w16cid:durableId="349259436">
    <w:abstractNumId w:val="6"/>
  </w:num>
  <w:num w:numId="73" w16cid:durableId="1358921691">
    <w:abstractNumId w:val="6"/>
  </w:num>
  <w:num w:numId="74" w16cid:durableId="372578756">
    <w:abstractNumId w:val="6"/>
  </w:num>
  <w:num w:numId="75" w16cid:durableId="2119173277">
    <w:abstractNumId w:val="6"/>
  </w:num>
  <w:num w:numId="76" w16cid:durableId="844058229">
    <w:abstractNumId w:val="6"/>
  </w:num>
  <w:num w:numId="77" w16cid:durableId="1875148612">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00F"/>
    <w:rsid w:val="00001449"/>
    <w:rsid w:val="000048ED"/>
    <w:rsid w:val="00010244"/>
    <w:rsid w:val="00010CF6"/>
    <w:rsid w:val="00011BCB"/>
    <w:rsid w:val="00014915"/>
    <w:rsid w:val="00016A49"/>
    <w:rsid w:val="00027E33"/>
    <w:rsid w:val="00041A66"/>
    <w:rsid w:val="00042D88"/>
    <w:rsid w:val="00044F06"/>
    <w:rsid w:val="00045E64"/>
    <w:rsid w:val="00046667"/>
    <w:rsid w:val="0005176E"/>
    <w:rsid w:val="00051C77"/>
    <w:rsid w:val="00053A2A"/>
    <w:rsid w:val="000626F5"/>
    <w:rsid w:val="0006754A"/>
    <w:rsid w:val="00074D19"/>
    <w:rsid w:val="000765F7"/>
    <w:rsid w:val="00077AB7"/>
    <w:rsid w:val="00081CD8"/>
    <w:rsid w:val="00084E63"/>
    <w:rsid w:val="0008546C"/>
    <w:rsid w:val="00086C89"/>
    <w:rsid w:val="00091385"/>
    <w:rsid w:val="000A121D"/>
    <w:rsid w:val="000A35CC"/>
    <w:rsid w:val="000A3620"/>
    <w:rsid w:val="000A3FF4"/>
    <w:rsid w:val="000A7F0E"/>
    <w:rsid w:val="000B1C8F"/>
    <w:rsid w:val="000B445A"/>
    <w:rsid w:val="000B52AE"/>
    <w:rsid w:val="000B60A9"/>
    <w:rsid w:val="000C0D61"/>
    <w:rsid w:val="000C16E6"/>
    <w:rsid w:val="000C50B4"/>
    <w:rsid w:val="000D24E7"/>
    <w:rsid w:val="000D3B33"/>
    <w:rsid w:val="000D65F4"/>
    <w:rsid w:val="000E5B8B"/>
    <w:rsid w:val="000E66A3"/>
    <w:rsid w:val="000E6CBF"/>
    <w:rsid w:val="000F1388"/>
    <w:rsid w:val="000F3A3F"/>
    <w:rsid w:val="00100D36"/>
    <w:rsid w:val="0010249C"/>
    <w:rsid w:val="00102557"/>
    <w:rsid w:val="00114132"/>
    <w:rsid w:val="00116321"/>
    <w:rsid w:val="001202E8"/>
    <w:rsid w:val="001265E9"/>
    <w:rsid w:val="00127407"/>
    <w:rsid w:val="001331DD"/>
    <w:rsid w:val="001335B6"/>
    <w:rsid w:val="00151E44"/>
    <w:rsid w:val="00152867"/>
    <w:rsid w:val="00154AA4"/>
    <w:rsid w:val="0015772D"/>
    <w:rsid w:val="00162C7F"/>
    <w:rsid w:val="00164D56"/>
    <w:rsid w:val="001654F0"/>
    <w:rsid w:val="00165C27"/>
    <w:rsid w:val="00167B10"/>
    <w:rsid w:val="0017402F"/>
    <w:rsid w:val="001747E8"/>
    <w:rsid w:val="00174D0C"/>
    <w:rsid w:val="00175BAB"/>
    <w:rsid w:val="00177846"/>
    <w:rsid w:val="00180295"/>
    <w:rsid w:val="00181802"/>
    <w:rsid w:val="00181E43"/>
    <w:rsid w:val="00190205"/>
    <w:rsid w:val="00192A23"/>
    <w:rsid w:val="00196C1B"/>
    <w:rsid w:val="001B0F73"/>
    <w:rsid w:val="001B6994"/>
    <w:rsid w:val="001B7F3C"/>
    <w:rsid w:val="001C2DB7"/>
    <w:rsid w:val="001D14FE"/>
    <w:rsid w:val="001D37D4"/>
    <w:rsid w:val="001D5494"/>
    <w:rsid w:val="001D5C04"/>
    <w:rsid w:val="001D66C4"/>
    <w:rsid w:val="001E1090"/>
    <w:rsid w:val="001E135E"/>
    <w:rsid w:val="001E2D73"/>
    <w:rsid w:val="001E2E78"/>
    <w:rsid w:val="001E4609"/>
    <w:rsid w:val="001F26CF"/>
    <w:rsid w:val="001F3067"/>
    <w:rsid w:val="001F4143"/>
    <w:rsid w:val="001F4E62"/>
    <w:rsid w:val="001F7778"/>
    <w:rsid w:val="001F782B"/>
    <w:rsid w:val="0020018C"/>
    <w:rsid w:val="002074E5"/>
    <w:rsid w:val="00211062"/>
    <w:rsid w:val="00212D2D"/>
    <w:rsid w:val="002150C5"/>
    <w:rsid w:val="002156E9"/>
    <w:rsid w:val="00221B4E"/>
    <w:rsid w:val="00222A2D"/>
    <w:rsid w:val="00223029"/>
    <w:rsid w:val="002246B8"/>
    <w:rsid w:val="00225185"/>
    <w:rsid w:val="00234745"/>
    <w:rsid w:val="002351A6"/>
    <w:rsid w:val="002407AF"/>
    <w:rsid w:val="00240B12"/>
    <w:rsid w:val="00250466"/>
    <w:rsid w:val="002518AC"/>
    <w:rsid w:val="00251E43"/>
    <w:rsid w:val="00261A33"/>
    <w:rsid w:val="0026221A"/>
    <w:rsid w:val="00262A8B"/>
    <w:rsid w:val="002679DB"/>
    <w:rsid w:val="00271672"/>
    <w:rsid w:val="00273B6D"/>
    <w:rsid w:val="0027466B"/>
    <w:rsid w:val="00277688"/>
    <w:rsid w:val="00277A24"/>
    <w:rsid w:val="002821CE"/>
    <w:rsid w:val="002838A5"/>
    <w:rsid w:val="00285BB4"/>
    <w:rsid w:val="0029282B"/>
    <w:rsid w:val="00293DC7"/>
    <w:rsid w:val="0029479B"/>
    <w:rsid w:val="002A0A07"/>
    <w:rsid w:val="002A3D81"/>
    <w:rsid w:val="002A4311"/>
    <w:rsid w:val="002A61A9"/>
    <w:rsid w:val="002B279F"/>
    <w:rsid w:val="002C09E3"/>
    <w:rsid w:val="002C6334"/>
    <w:rsid w:val="002C64EF"/>
    <w:rsid w:val="002C7884"/>
    <w:rsid w:val="002C7BC0"/>
    <w:rsid w:val="002D0B4C"/>
    <w:rsid w:val="002D1244"/>
    <w:rsid w:val="002D14DD"/>
    <w:rsid w:val="002E3B67"/>
    <w:rsid w:val="002E3F93"/>
    <w:rsid w:val="002E4374"/>
    <w:rsid w:val="00302FE1"/>
    <w:rsid w:val="003032A3"/>
    <w:rsid w:val="00307770"/>
    <w:rsid w:val="0031357C"/>
    <w:rsid w:val="0031456C"/>
    <w:rsid w:val="00325F55"/>
    <w:rsid w:val="003346B0"/>
    <w:rsid w:val="00337340"/>
    <w:rsid w:val="00337CEB"/>
    <w:rsid w:val="00344B58"/>
    <w:rsid w:val="0034539A"/>
    <w:rsid w:val="00345CB4"/>
    <w:rsid w:val="003507F7"/>
    <w:rsid w:val="00355ECD"/>
    <w:rsid w:val="0035649A"/>
    <w:rsid w:val="00360422"/>
    <w:rsid w:val="00362FEC"/>
    <w:rsid w:val="0036758A"/>
    <w:rsid w:val="003734C1"/>
    <w:rsid w:val="00375D42"/>
    <w:rsid w:val="0038130A"/>
    <w:rsid w:val="00391F4A"/>
    <w:rsid w:val="003B38DB"/>
    <w:rsid w:val="003B7522"/>
    <w:rsid w:val="003B7E4F"/>
    <w:rsid w:val="003C0BE9"/>
    <w:rsid w:val="003C2BBA"/>
    <w:rsid w:val="003C3534"/>
    <w:rsid w:val="003D069C"/>
    <w:rsid w:val="003D201B"/>
    <w:rsid w:val="003D324B"/>
    <w:rsid w:val="003D3FB6"/>
    <w:rsid w:val="003D4AEE"/>
    <w:rsid w:val="003D7646"/>
    <w:rsid w:val="003D7D30"/>
    <w:rsid w:val="003E3AEE"/>
    <w:rsid w:val="003F113A"/>
    <w:rsid w:val="003F2220"/>
    <w:rsid w:val="003F37A1"/>
    <w:rsid w:val="003F3E63"/>
    <w:rsid w:val="004005EB"/>
    <w:rsid w:val="00403B9D"/>
    <w:rsid w:val="00407480"/>
    <w:rsid w:val="00407BCE"/>
    <w:rsid w:val="00410E1D"/>
    <w:rsid w:val="00414643"/>
    <w:rsid w:val="00426B3B"/>
    <w:rsid w:val="0043659C"/>
    <w:rsid w:val="004421E5"/>
    <w:rsid w:val="004452C9"/>
    <w:rsid w:val="00452284"/>
    <w:rsid w:val="00455314"/>
    <w:rsid w:val="00457C8E"/>
    <w:rsid w:val="00460C5A"/>
    <w:rsid w:val="0046359D"/>
    <w:rsid w:val="004775BE"/>
    <w:rsid w:val="004809D4"/>
    <w:rsid w:val="00482B75"/>
    <w:rsid w:val="00483586"/>
    <w:rsid w:val="004856CA"/>
    <w:rsid w:val="00487E67"/>
    <w:rsid w:val="00492788"/>
    <w:rsid w:val="004961C9"/>
    <w:rsid w:val="0049705E"/>
    <w:rsid w:val="004A2875"/>
    <w:rsid w:val="004A34A0"/>
    <w:rsid w:val="004B012B"/>
    <w:rsid w:val="004B0E48"/>
    <w:rsid w:val="004B251B"/>
    <w:rsid w:val="004B41AB"/>
    <w:rsid w:val="004B4A04"/>
    <w:rsid w:val="004B7E25"/>
    <w:rsid w:val="004C03DF"/>
    <w:rsid w:val="004C6A7C"/>
    <w:rsid w:val="004C7C82"/>
    <w:rsid w:val="004D0061"/>
    <w:rsid w:val="004D2476"/>
    <w:rsid w:val="004D7F6E"/>
    <w:rsid w:val="004E1760"/>
    <w:rsid w:val="004E7232"/>
    <w:rsid w:val="004E7BE9"/>
    <w:rsid w:val="004F1737"/>
    <w:rsid w:val="004F278E"/>
    <w:rsid w:val="005008A8"/>
    <w:rsid w:val="0050643B"/>
    <w:rsid w:val="00514C11"/>
    <w:rsid w:val="005150FE"/>
    <w:rsid w:val="00517FD8"/>
    <w:rsid w:val="005208F3"/>
    <w:rsid w:val="00522397"/>
    <w:rsid w:val="005231B2"/>
    <w:rsid w:val="00526B7B"/>
    <w:rsid w:val="005308CE"/>
    <w:rsid w:val="0053318C"/>
    <w:rsid w:val="005447E4"/>
    <w:rsid w:val="0055116D"/>
    <w:rsid w:val="005559B2"/>
    <w:rsid w:val="005616F7"/>
    <w:rsid w:val="0056538E"/>
    <w:rsid w:val="0057439C"/>
    <w:rsid w:val="00577A23"/>
    <w:rsid w:val="00584233"/>
    <w:rsid w:val="00584D91"/>
    <w:rsid w:val="005918E0"/>
    <w:rsid w:val="00594B49"/>
    <w:rsid w:val="005A1B9A"/>
    <w:rsid w:val="005A458A"/>
    <w:rsid w:val="005A6924"/>
    <w:rsid w:val="005B0127"/>
    <w:rsid w:val="005B10E8"/>
    <w:rsid w:val="005B56E9"/>
    <w:rsid w:val="005B7A35"/>
    <w:rsid w:val="005C1CCA"/>
    <w:rsid w:val="005C4B73"/>
    <w:rsid w:val="005C55AB"/>
    <w:rsid w:val="005D1C6E"/>
    <w:rsid w:val="005D21BA"/>
    <w:rsid w:val="005E0390"/>
    <w:rsid w:val="005E1D2B"/>
    <w:rsid w:val="005E3058"/>
    <w:rsid w:val="005E44F4"/>
    <w:rsid w:val="005E7074"/>
    <w:rsid w:val="005F23D7"/>
    <w:rsid w:val="005F270F"/>
    <w:rsid w:val="005F2BAF"/>
    <w:rsid w:val="00600D93"/>
    <w:rsid w:val="00601871"/>
    <w:rsid w:val="00607A64"/>
    <w:rsid w:val="006121F5"/>
    <w:rsid w:val="0061543F"/>
    <w:rsid w:val="00616D3E"/>
    <w:rsid w:val="006228B9"/>
    <w:rsid w:val="00626BEA"/>
    <w:rsid w:val="0062774B"/>
    <w:rsid w:val="0063300C"/>
    <w:rsid w:val="00634F10"/>
    <w:rsid w:val="00650E7A"/>
    <w:rsid w:val="00651A5B"/>
    <w:rsid w:val="00655736"/>
    <w:rsid w:val="00656A6B"/>
    <w:rsid w:val="0065728A"/>
    <w:rsid w:val="00657E6B"/>
    <w:rsid w:val="00660938"/>
    <w:rsid w:val="00663191"/>
    <w:rsid w:val="00663B8D"/>
    <w:rsid w:val="006763C8"/>
    <w:rsid w:val="006817BF"/>
    <w:rsid w:val="0069548E"/>
    <w:rsid w:val="00696C8D"/>
    <w:rsid w:val="006A2AC2"/>
    <w:rsid w:val="006A3617"/>
    <w:rsid w:val="006A54A0"/>
    <w:rsid w:val="006A64ED"/>
    <w:rsid w:val="006B31EB"/>
    <w:rsid w:val="006B4452"/>
    <w:rsid w:val="006B47B7"/>
    <w:rsid w:val="006B6A1B"/>
    <w:rsid w:val="006C07E3"/>
    <w:rsid w:val="006C18D1"/>
    <w:rsid w:val="006C7642"/>
    <w:rsid w:val="006D4510"/>
    <w:rsid w:val="006D482A"/>
    <w:rsid w:val="006E36FE"/>
    <w:rsid w:val="006E46E4"/>
    <w:rsid w:val="006E5D0A"/>
    <w:rsid w:val="006E75EB"/>
    <w:rsid w:val="0070257B"/>
    <w:rsid w:val="00702B92"/>
    <w:rsid w:val="00717DA5"/>
    <w:rsid w:val="00744484"/>
    <w:rsid w:val="00747566"/>
    <w:rsid w:val="00752298"/>
    <w:rsid w:val="00773188"/>
    <w:rsid w:val="00774436"/>
    <w:rsid w:val="00783782"/>
    <w:rsid w:val="00784B8C"/>
    <w:rsid w:val="00784D93"/>
    <w:rsid w:val="007879E1"/>
    <w:rsid w:val="007909C5"/>
    <w:rsid w:val="00793960"/>
    <w:rsid w:val="007979E6"/>
    <w:rsid w:val="007A3D93"/>
    <w:rsid w:val="007A752B"/>
    <w:rsid w:val="007B23B0"/>
    <w:rsid w:val="007D578F"/>
    <w:rsid w:val="007E1842"/>
    <w:rsid w:val="00800233"/>
    <w:rsid w:val="00800B7B"/>
    <w:rsid w:val="00800BBC"/>
    <w:rsid w:val="008021A6"/>
    <w:rsid w:val="00802239"/>
    <w:rsid w:val="00802471"/>
    <w:rsid w:val="00822F27"/>
    <w:rsid w:val="00823A11"/>
    <w:rsid w:val="00836CF8"/>
    <w:rsid w:val="00843D8D"/>
    <w:rsid w:val="0084525A"/>
    <w:rsid w:val="008515D8"/>
    <w:rsid w:val="0085188D"/>
    <w:rsid w:val="008538C3"/>
    <w:rsid w:val="0085405E"/>
    <w:rsid w:val="0085414A"/>
    <w:rsid w:val="00857EB9"/>
    <w:rsid w:val="00861BDA"/>
    <w:rsid w:val="0086269D"/>
    <w:rsid w:val="0086543A"/>
    <w:rsid w:val="008678EF"/>
    <w:rsid w:val="008724E5"/>
    <w:rsid w:val="00872D5E"/>
    <w:rsid w:val="00873BF5"/>
    <w:rsid w:val="00876D8E"/>
    <w:rsid w:val="0088046D"/>
    <w:rsid w:val="00883CDC"/>
    <w:rsid w:val="00883E34"/>
    <w:rsid w:val="00884A9D"/>
    <w:rsid w:val="0088512B"/>
    <w:rsid w:val="00886AA3"/>
    <w:rsid w:val="00896767"/>
    <w:rsid w:val="008A2439"/>
    <w:rsid w:val="008A2B2D"/>
    <w:rsid w:val="008A4726"/>
    <w:rsid w:val="008A4A4C"/>
    <w:rsid w:val="008A4E1E"/>
    <w:rsid w:val="008A55C8"/>
    <w:rsid w:val="008C15BA"/>
    <w:rsid w:val="008C296C"/>
    <w:rsid w:val="008C29AE"/>
    <w:rsid w:val="008D1567"/>
    <w:rsid w:val="008D4305"/>
    <w:rsid w:val="008D7FEC"/>
    <w:rsid w:val="008E02C5"/>
    <w:rsid w:val="008E05A5"/>
    <w:rsid w:val="008E1A85"/>
    <w:rsid w:val="008E546B"/>
    <w:rsid w:val="008F0EEC"/>
    <w:rsid w:val="00911B63"/>
    <w:rsid w:val="00912296"/>
    <w:rsid w:val="00913F6E"/>
    <w:rsid w:val="00914E95"/>
    <w:rsid w:val="009163A7"/>
    <w:rsid w:val="009450E3"/>
    <w:rsid w:val="00946D0B"/>
    <w:rsid w:val="009470E6"/>
    <w:rsid w:val="00951A36"/>
    <w:rsid w:val="00955877"/>
    <w:rsid w:val="0095608F"/>
    <w:rsid w:val="009610A7"/>
    <w:rsid w:val="00962034"/>
    <w:rsid w:val="0096247C"/>
    <w:rsid w:val="009656A6"/>
    <w:rsid w:val="00967267"/>
    <w:rsid w:val="009678EF"/>
    <w:rsid w:val="009717B3"/>
    <w:rsid w:val="00974992"/>
    <w:rsid w:val="009854FF"/>
    <w:rsid w:val="0099073F"/>
    <w:rsid w:val="00992976"/>
    <w:rsid w:val="009A18CD"/>
    <w:rsid w:val="009A3190"/>
    <w:rsid w:val="009A63BE"/>
    <w:rsid w:val="009B4EDC"/>
    <w:rsid w:val="009B6626"/>
    <w:rsid w:val="009C0117"/>
    <w:rsid w:val="009C22BE"/>
    <w:rsid w:val="009C7407"/>
    <w:rsid w:val="009D29C5"/>
    <w:rsid w:val="009D5428"/>
    <w:rsid w:val="009D6E91"/>
    <w:rsid w:val="009D7086"/>
    <w:rsid w:val="009F097F"/>
    <w:rsid w:val="009F1E4C"/>
    <w:rsid w:val="009F2072"/>
    <w:rsid w:val="009F776C"/>
    <w:rsid w:val="00A07E6E"/>
    <w:rsid w:val="00A10022"/>
    <w:rsid w:val="00A12558"/>
    <w:rsid w:val="00A13903"/>
    <w:rsid w:val="00A23530"/>
    <w:rsid w:val="00A30D55"/>
    <w:rsid w:val="00A30E88"/>
    <w:rsid w:val="00A34ED5"/>
    <w:rsid w:val="00A37184"/>
    <w:rsid w:val="00A41310"/>
    <w:rsid w:val="00A426D4"/>
    <w:rsid w:val="00A45DBF"/>
    <w:rsid w:val="00A507F9"/>
    <w:rsid w:val="00A50FFA"/>
    <w:rsid w:val="00A52886"/>
    <w:rsid w:val="00A53792"/>
    <w:rsid w:val="00A53F11"/>
    <w:rsid w:val="00A66CD3"/>
    <w:rsid w:val="00A725CF"/>
    <w:rsid w:val="00A755A2"/>
    <w:rsid w:val="00A765C4"/>
    <w:rsid w:val="00A77A7B"/>
    <w:rsid w:val="00A8529F"/>
    <w:rsid w:val="00A865F9"/>
    <w:rsid w:val="00A94CB9"/>
    <w:rsid w:val="00A94EF3"/>
    <w:rsid w:val="00AA09C7"/>
    <w:rsid w:val="00AA6660"/>
    <w:rsid w:val="00AB2C36"/>
    <w:rsid w:val="00AB6DDE"/>
    <w:rsid w:val="00AB70B6"/>
    <w:rsid w:val="00AC5250"/>
    <w:rsid w:val="00AD1A86"/>
    <w:rsid w:val="00AD5675"/>
    <w:rsid w:val="00AE103E"/>
    <w:rsid w:val="00AE33FA"/>
    <w:rsid w:val="00AE3AA7"/>
    <w:rsid w:val="00AE3ACC"/>
    <w:rsid w:val="00AE5603"/>
    <w:rsid w:val="00AF0892"/>
    <w:rsid w:val="00AF0A07"/>
    <w:rsid w:val="00AF1041"/>
    <w:rsid w:val="00AF1E77"/>
    <w:rsid w:val="00AF4AEC"/>
    <w:rsid w:val="00AF625E"/>
    <w:rsid w:val="00AF70EC"/>
    <w:rsid w:val="00B02A18"/>
    <w:rsid w:val="00B11417"/>
    <w:rsid w:val="00B11E14"/>
    <w:rsid w:val="00B1317B"/>
    <w:rsid w:val="00B139BE"/>
    <w:rsid w:val="00B157F8"/>
    <w:rsid w:val="00B2083D"/>
    <w:rsid w:val="00B2172B"/>
    <w:rsid w:val="00B23498"/>
    <w:rsid w:val="00B26FD8"/>
    <w:rsid w:val="00B46A4D"/>
    <w:rsid w:val="00B503CA"/>
    <w:rsid w:val="00B547F7"/>
    <w:rsid w:val="00B6049F"/>
    <w:rsid w:val="00B61438"/>
    <w:rsid w:val="00B658EA"/>
    <w:rsid w:val="00B70F53"/>
    <w:rsid w:val="00B71DB1"/>
    <w:rsid w:val="00B73F75"/>
    <w:rsid w:val="00B82A13"/>
    <w:rsid w:val="00B82D57"/>
    <w:rsid w:val="00B8598A"/>
    <w:rsid w:val="00B86B73"/>
    <w:rsid w:val="00B87964"/>
    <w:rsid w:val="00B906F1"/>
    <w:rsid w:val="00B9146E"/>
    <w:rsid w:val="00B917D2"/>
    <w:rsid w:val="00B92495"/>
    <w:rsid w:val="00BA15CF"/>
    <w:rsid w:val="00BA241A"/>
    <w:rsid w:val="00BB04AF"/>
    <w:rsid w:val="00BB158C"/>
    <w:rsid w:val="00BB23DD"/>
    <w:rsid w:val="00BB4572"/>
    <w:rsid w:val="00BC3A77"/>
    <w:rsid w:val="00BC6E41"/>
    <w:rsid w:val="00BD30C2"/>
    <w:rsid w:val="00BD52C9"/>
    <w:rsid w:val="00BD5DFC"/>
    <w:rsid w:val="00BD7836"/>
    <w:rsid w:val="00BE32BE"/>
    <w:rsid w:val="00BE6354"/>
    <w:rsid w:val="00C138D1"/>
    <w:rsid w:val="00C15B5E"/>
    <w:rsid w:val="00C17D8F"/>
    <w:rsid w:val="00C20036"/>
    <w:rsid w:val="00C200B6"/>
    <w:rsid w:val="00C20899"/>
    <w:rsid w:val="00C22B32"/>
    <w:rsid w:val="00C23A97"/>
    <w:rsid w:val="00C2407D"/>
    <w:rsid w:val="00C2557D"/>
    <w:rsid w:val="00C25B18"/>
    <w:rsid w:val="00C302B1"/>
    <w:rsid w:val="00C314D2"/>
    <w:rsid w:val="00C32233"/>
    <w:rsid w:val="00C34AD2"/>
    <w:rsid w:val="00C46AAF"/>
    <w:rsid w:val="00C52EBE"/>
    <w:rsid w:val="00C54201"/>
    <w:rsid w:val="00C5776D"/>
    <w:rsid w:val="00C64855"/>
    <w:rsid w:val="00C70EA7"/>
    <w:rsid w:val="00C71344"/>
    <w:rsid w:val="00C7433F"/>
    <w:rsid w:val="00C7516E"/>
    <w:rsid w:val="00C75374"/>
    <w:rsid w:val="00C75770"/>
    <w:rsid w:val="00C846D4"/>
    <w:rsid w:val="00C85609"/>
    <w:rsid w:val="00C87A6F"/>
    <w:rsid w:val="00C9225A"/>
    <w:rsid w:val="00CA2C45"/>
    <w:rsid w:val="00CA3082"/>
    <w:rsid w:val="00CA329C"/>
    <w:rsid w:val="00CA51B3"/>
    <w:rsid w:val="00CA56BB"/>
    <w:rsid w:val="00CA77F7"/>
    <w:rsid w:val="00CB0542"/>
    <w:rsid w:val="00CB2561"/>
    <w:rsid w:val="00CC2565"/>
    <w:rsid w:val="00CC34E0"/>
    <w:rsid w:val="00CC6225"/>
    <w:rsid w:val="00CC637C"/>
    <w:rsid w:val="00CC6B3D"/>
    <w:rsid w:val="00CC70D9"/>
    <w:rsid w:val="00CD2EE5"/>
    <w:rsid w:val="00CD460E"/>
    <w:rsid w:val="00CD595D"/>
    <w:rsid w:val="00CD7C76"/>
    <w:rsid w:val="00CE0C97"/>
    <w:rsid w:val="00CE71E5"/>
    <w:rsid w:val="00CF6230"/>
    <w:rsid w:val="00D00B2B"/>
    <w:rsid w:val="00D04E4B"/>
    <w:rsid w:val="00D16963"/>
    <w:rsid w:val="00D24877"/>
    <w:rsid w:val="00D2720E"/>
    <w:rsid w:val="00D33D76"/>
    <w:rsid w:val="00D3469B"/>
    <w:rsid w:val="00D43A72"/>
    <w:rsid w:val="00D4453E"/>
    <w:rsid w:val="00D52D59"/>
    <w:rsid w:val="00D53E1F"/>
    <w:rsid w:val="00D56B0C"/>
    <w:rsid w:val="00D6032F"/>
    <w:rsid w:val="00D6226C"/>
    <w:rsid w:val="00D65665"/>
    <w:rsid w:val="00D7105A"/>
    <w:rsid w:val="00D71D8F"/>
    <w:rsid w:val="00D76FA9"/>
    <w:rsid w:val="00D8250F"/>
    <w:rsid w:val="00D858FC"/>
    <w:rsid w:val="00D86BB3"/>
    <w:rsid w:val="00D91E0E"/>
    <w:rsid w:val="00D9222F"/>
    <w:rsid w:val="00D95C4C"/>
    <w:rsid w:val="00D96FFA"/>
    <w:rsid w:val="00DA36ED"/>
    <w:rsid w:val="00DA642D"/>
    <w:rsid w:val="00DA6CF0"/>
    <w:rsid w:val="00DA74EB"/>
    <w:rsid w:val="00DB1AB9"/>
    <w:rsid w:val="00DB48FE"/>
    <w:rsid w:val="00DC0353"/>
    <w:rsid w:val="00DC0516"/>
    <w:rsid w:val="00DC68B3"/>
    <w:rsid w:val="00DD334A"/>
    <w:rsid w:val="00DD4BFB"/>
    <w:rsid w:val="00DD5ECE"/>
    <w:rsid w:val="00DD710E"/>
    <w:rsid w:val="00DE34F1"/>
    <w:rsid w:val="00DE5B8A"/>
    <w:rsid w:val="00DE6160"/>
    <w:rsid w:val="00DE6C07"/>
    <w:rsid w:val="00DF4942"/>
    <w:rsid w:val="00DF7699"/>
    <w:rsid w:val="00E019FC"/>
    <w:rsid w:val="00E01E4F"/>
    <w:rsid w:val="00E0480D"/>
    <w:rsid w:val="00E123FA"/>
    <w:rsid w:val="00E14327"/>
    <w:rsid w:val="00E16EFD"/>
    <w:rsid w:val="00E17108"/>
    <w:rsid w:val="00E17C63"/>
    <w:rsid w:val="00E20AE4"/>
    <w:rsid w:val="00E2125F"/>
    <w:rsid w:val="00E244E1"/>
    <w:rsid w:val="00E32041"/>
    <w:rsid w:val="00E34A47"/>
    <w:rsid w:val="00E40A7A"/>
    <w:rsid w:val="00E4150C"/>
    <w:rsid w:val="00E41616"/>
    <w:rsid w:val="00E446D1"/>
    <w:rsid w:val="00E46C23"/>
    <w:rsid w:val="00E523AE"/>
    <w:rsid w:val="00E54227"/>
    <w:rsid w:val="00E54E2E"/>
    <w:rsid w:val="00E5638D"/>
    <w:rsid w:val="00E627B1"/>
    <w:rsid w:val="00E634DB"/>
    <w:rsid w:val="00E70169"/>
    <w:rsid w:val="00E849B8"/>
    <w:rsid w:val="00E84F84"/>
    <w:rsid w:val="00E9232A"/>
    <w:rsid w:val="00E9376C"/>
    <w:rsid w:val="00E942CB"/>
    <w:rsid w:val="00E95AE2"/>
    <w:rsid w:val="00EA335E"/>
    <w:rsid w:val="00EA528C"/>
    <w:rsid w:val="00EA580C"/>
    <w:rsid w:val="00EA7C27"/>
    <w:rsid w:val="00EA7C29"/>
    <w:rsid w:val="00EC6F8D"/>
    <w:rsid w:val="00ED1700"/>
    <w:rsid w:val="00ED39B2"/>
    <w:rsid w:val="00ED5538"/>
    <w:rsid w:val="00ED64C0"/>
    <w:rsid w:val="00ED711D"/>
    <w:rsid w:val="00EE3415"/>
    <w:rsid w:val="00EE379A"/>
    <w:rsid w:val="00EE49F4"/>
    <w:rsid w:val="00EE4DAC"/>
    <w:rsid w:val="00EE5D7D"/>
    <w:rsid w:val="00EF0131"/>
    <w:rsid w:val="00EF1119"/>
    <w:rsid w:val="00EF34E2"/>
    <w:rsid w:val="00EF4185"/>
    <w:rsid w:val="00EF6FB6"/>
    <w:rsid w:val="00F01F42"/>
    <w:rsid w:val="00F13B69"/>
    <w:rsid w:val="00F27214"/>
    <w:rsid w:val="00F30DC6"/>
    <w:rsid w:val="00F31E61"/>
    <w:rsid w:val="00F31EDD"/>
    <w:rsid w:val="00F3290C"/>
    <w:rsid w:val="00F32C23"/>
    <w:rsid w:val="00F3479C"/>
    <w:rsid w:val="00F437BD"/>
    <w:rsid w:val="00F45B84"/>
    <w:rsid w:val="00F470CB"/>
    <w:rsid w:val="00F51602"/>
    <w:rsid w:val="00F53DE9"/>
    <w:rsid w:val="00F56FA1"/>
    <w:rsid w:val="00F576CB"/>
    <w:rsid w:val="00F65E6C"/>
    <w:rsid w:val="00F7035D"/>
    <w:rsid w:val="00F70D9C"/>
    <w:rsid w:val="00F71A02"/>
    <w:rsid w:val="00F76289"/>
    <w:rsid w:val="00F771CF"/>
    <w:rsid w:val="00F80290"/>
    <w:rsid w:val="00F82B0F"/>
    <w:rsid w:val="00F851A4"/>
    <w:rsid w:val="00F87CD0"/>
    <w:rsid w:val="00F91559"/>
    <w:rsid w:val="00F92792"/>
    <w:rsid w:val="00FA0D63"/>
    <w:rsid w:val="00FA5AA3"/>
    <w:rsid w:val="00FA794F"/>
    <w:rsid w:val="00FB357B"/>
    <w:rsid w:val="00FC27AA"/>
    <w:rsid w:val="00FC582A"/>
    <w:rsid w:val="00FC582E"/>
    <w:rsid w:val="00FC67CA"/>
    <w:rsid w:val="00FD0212"/>
    <w:rsid w:val="00FD1226"/>
    <w:rsid w:val="00FD208E"/>
    <w:rsid w:val="00FD5374"/>
    <w:rsid w:val="00FE44E7"/>
    <w:rsid w:val="00FE620E"/>
    <w:rsid w:val="00FE6C4C"/>
    <w:rsid w:val="00FE7560"/>
    <w:rsid w:val="00FF459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character" w:styleId="Hyperlink">
    <w:name w:val="Hyperlink"/>
    <w:basedOn w:val="DefaultParagraphFont"/>
    <w:unhideWhenUsed/>
    <w:rsid w:val="00046667"/>
    <w:rPr>
      <w:color w:val="0000FF" w:themeColor="hyperlink"/>
      <w:u w:val="single"/>
    </w:rPr>
  </w:style>
  <w:style w:type="character" w:styleId="UnresolvedMention">
    <w:name w:val="Unresolved Mention"/>
    <w:basedOn w:val="DefaultParagraphFont"/>
    <w:uiPriority w:val="99"/>
    <w:semiHidden/>
    <w:unhideWhenUsed/>
    <w:rsid w:val="00046667"/>
    <w:rPr>
      <w:color w:val="605E5C"/>
      <w:shd w:val="clear" w:color="auto" w:fill="E1DFDD"/>
    </w:rPr>
  </w:style>
  <w:style w:type="character" w:styleId="CommentReference">
    <w:name w:val="annotation reference"/>
    <w:basedOn w:val="DefaultParagraphFont"/>
    <w:uiPriority w:val="99"/>
    <w:semiHidden/>
    <w:unhideWhenUsed/>
    <w:rsid w:val="00E0480D"/>
    <w:rPr>
      <w:sz w:val="16"/>
      <w:szCs w:val="16"/>
    </w:rPr>
  </w:style>
  <w:style w:type="paragraph" w:styleId="CommentText">
    <w:name w:val="annotation text"/>
    <w:basedOn w:val="Normal"/>
    <w:link w:val="CommentTextChar"/>
    <w:uiPriority w:val="99"/>
    <w:unhideWhenUsed/>
    <w:rsid w:val="00E0480D"/>
    <w:rPr>
      <w:sz w:val="20"/>
      <w:szCs w:val="20"/>
    </w:rPr>
  </w:style>
  <w:style w:type="character" w:customStyle="1" w:styleId="CommentTextChar">
    <w:name w:val="Comment Text Char"/>
    <w:basedOn w:val="DefaultParagraphFont"/>
    <w:link w:val="CommentText"/>
    <w:uiPriority w:val="99"/>
    <w:rsid w:val="00E048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0480D"/>
    <w:rPr>
      <w:b/>
      <w:bCs/>
    </w:rPr>
  </w:style>
  <w:style w:type="character" w:customStyle="1" w:styleId="CommentSubjectChar">
    <w:name w:val="Comment Subject Char"/>
    <w:basedOn w:val="CommentTextChar"/>
    <w:link w:val="CommentSubject"/>
    <w:uiPriority w:val="99"/>
    <w:semiHidden/>
    <w:rsid w:val="00E0480D"/>
    <w:rPr>
      <w:rFonts w:ascii="Times New Roman" w:eastAsia="Times New Roman" w:hAnsi="Times New Roman"/>
      <w:b/>
      <w:bCs/>
    </w:rPr>
  </w:style>
  <w:style w:type="paragraph" w:styleId="Revision">
    <w:name w:val="Revision"/>
    <w:hidden/>
    <w:uiPriority w:val="99"/>
    <w:semiHidden/>
    <w:rsid w:val="00CC34E0"/>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802239"/>
    <w:rPr>
      <w:sz w:val="20"/>
      <w:szCs w:val="20"/>
    </w:rPr>
  </w:style>
  <w:style w:type="character" w:customStyle="1" w:styleId="FootnoteTextChar">
    <w:name w:val="Footnote Text Char"/>
    <w:basedOn w:val="DefaultParagraphFont"/>
    <w:link w:val="FootnoteText"/>
    <w:uiPriority w:val="99"/>
    <w:semiHidden/>
    <w:rsid w:val="00802239"/>
    <w:rPr>
      <w:rFonts w:ascii="Times New Roman" w:eastAsia="Times New Roman" w:hAnsi="Times New Roman"/>
    </w:rPr>
  </w:style>
  <w:style w:type="character" w:styleId="FootnoteReference">
    <w:name w:val="footnote reference"/>
    <w:basedOn w:val="DefaultParagraphFont"/>
    <w:uiPriority w:val="99"/>
    <w:semiHidden/>
    <w:unhideWhenUsed/>
    <w:rsid w:val="00802239"/>
    <w:rPr>
      <w:vertAlign w:val="superscript"/>
    </w:rPr>
  </w:style>
  <w:style w:type="character" w:styleId="FollowedHyperlink">
    <w:name w:val="FollowedHyperlink"/>
    <w:basedOn w:val="DefaultParagraphFont"/>
    <w:uiPriority w:val="99"/>
    <w:semiHidden/>
    <w:unhideWhenUsed/>
    <w:rsid w:val="009D29C5"/>
    <w:rPr>
      <w:color w:val="800080" w:themeColor="followedHyperlink"/>
      <w:u w:val="single"/>
    </w:rPr>
  </w:style>
  <w:style w:type="paragraph" w:styleId="NormalWeb">
    <w:name w:val="Normal (Web)"/>
    <w:basedOn w:val="Normal"/>
    <w:uiPriority w:val="99"/>
    <w:semiHidden/>
    <w:unhideWhenUsed/>
    <w:rsid w:val="00F31EDD"/>
  </w:style>
  <w:style w:type="character" w:styleId="IntenseReference">
    <w:name w:val="Intense Reference"/>
    <w:basedOn w:val="DefaultParagraphFont"/>
    <w:uiPriority w:val="32"/>
    <w:qFormat/>
    <w:rsid w:val="007909C5"/>
    <w:rPr>
      <w:b/>
      <w:bCs/>
      <w:smallCaps/>
      <w:color w:val="365F91" w:themeColor="accent1" w:themeShade="BF"/>
      <w:spacing w:val="5"/>
    </w:rPr>
  </w:style>
  <w:style w:type="table" w:styleId="GridTable1Light">
    <w:name w:val="Grid Table 1 Light"/>
    <w:basedOn w:val="TableNormal"/>
    <w:uiPriority w:val="46"/>
    <w:rsid w:val="00EF41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8322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esco.org/en/articles/unesco-world-conference-cultural-policies-and-sustainable-development-mondiacult-2022" TargetMode="External"/><Relationship Id="rId18" Type="http://schemas.openxmlformats.org/officeDocument/2006/relationships/hyperlink" Target="https://ich.unesco.org/en/capacity-building-materials" TargetMode="External"/><Relationship Id="rId26" Type="http://schemas.openxmlformats.org/officeDocument/2006/relationships/hyperlink" Target="https://ich.unesco.org/doc/src/LHE-19-14.COM-8-EN.docx?t=1573057049" TargetMode="External"/><Relationship Id="rId39" Type="http://schemas.openxmlformats.org/officeDocument/2006/relationships/hyperlink" Target="https://ich.unesco.org/en/decisions/17.COM/6.B" TargetMode="External"/><Relationship Id="rId21" Type="http://schemas.openxmlformats.org/officeDocument/2006/relationships/hyperlink" Target="https://ich.unesco.org/en/decisions/12.COM/10" TargetMode="External"/><Relationship Id="rId34" Type="http://schemas.openxmlformats.org/officeDocument/2006/relationships/hyperlink" Target="https://ich.unesco.org/en/decisions/16.COM/7.C" TargetMode="External"/><Relationship Id="rId42" Type="http://schemas.openxmlformats.org/officeDocument/2006/relationships/hyperlink" Target="https://ich.unesco.org/doc/src/LHE-22-17.COM-INF.6.c_Rev-EN.pdf?t=1669757924" TargetMode="External"/><Relationship Id="rId47" Type="http://schemas.openxmlformats.org/officeDocument/2006/relationships/hyperlink" Target="https://ich.unesco.org/doc/src/LHE-23-18.COM-7.b_EN_Rev..docx?t=1701538027" TargetMode="External"/><Relationship Id="rId50" Type="http://schemas.openxmlformats.org/officeDocument/2006/relationships/hyperlink" Target="https://ich.unesco.org/en/decisions/18.COM/7.C" TargetMode="External"/><Relationship Id="rId55" Type="http://schemas.openxmlformats.org/officeDocument/2006/relationships/hyperlink" Target="https://ich.unesco.org/doc/src/LHE-24-10.GA-6_EN.docx?t=1715637478" TargetMode="External"/><Relationship Id="rId63" Type="http://schemas.openxmlformats.org/officeDocument/2006/relationships/hyperlink" Target="https://ich.unesco.org/en/decisions/19.COM/6.C" TargetMode="External"/><Relationship Id="rId68" Type="http://schemas.openxmlformats.org/officeDocument/2006/relationships/hyperlink" Target="https://ich.unesco.org/en/20com"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ich.unesco.org/doc/src/LHE-25-20.COM-6.c_EN.docx?t=1764185657" TargetMode="External"/><Relationship Id="rId2" Type="http://schemas.openxmlformats.org/officeDocument/2006/relationships/numbering" Target="numbering.xml"/><Relationship Id="rId16" Type="http://schemas.openxmlformats.org/officeDocument/2006/relationships/hyperlink" Target="https://ich.unesco.org/en/regional-consultation-meetings-in-preparation-of-the-reflection-year-01394" TargetMode="External"/><Relationship Id="rId29" Type="http://schemas.openxmlformats.org/officeDocument/2006/relationships/hyperlink" Target="https://ich.unesco.org/en/decisions/16.COM/7.A" TargetMode="External"/><Relationship Id="rId11" Type="http://schemas.openxmlformats.org/officeDocument/2006/relationships/hyperlink" Target="https://ich.unesco.org/en/Decisions/14.COM/8" TargetMode="External"/><Relationship Id="rId24" Type="http://schemas.openxmlformats.org/officeDocument/2006/relationships/hyperlink" Target="https://ich.unesco.org/doc/src/ITH-18-13.COM-8-EN.docx?t=1540565106" TargetMode="External"/><Relationship Id="rId32" Type="http://schemas.openxmlformats.org/officeDocument/2006/relationships/hyperlink" Target="https://ich.unesco.org/en/decisions/16.COM/7.B" TargetMode="External"/><Relationship Id="rId37" Type="http://schemas.openxmlformats.org/officeDocument/2006/relationships/hyperlink" Target="https://ich.unesco.org/en/17com" TargetMode="External"/><Relationship Id="rId40" Type="http://schemas.openxmlformats.org/officeDocument/2006/relationships/hyperlink" Target="https://ich.unesco.org/doc/src/LHE-22-17.COM-6.c-EN.docx?t=1667253536" TargetMode="External"/><Relationship Id="rId45" Type="http://schemas.openxmlformats.org/officeDocument/2006/relationships/hyperlink" Target="https://ich.unesco.org/en/decisions/18.COM/7.A" TargetMode="External"/><Relationship Id="rId53" Type="http://schemas.openxmlformats.org/officeDocument/2006/relationships/hyperlink" Target="https://ich.unesco.org/doc/src/LHE-24-10.GA-5_EN.docx?t=1715634270" TargetMode="External"/><Relationship Id="rId58" Type="http://schemas.openxmlformats.org/officeDocument/2006/relationships/hyperlink" Target="https://ich.unesco.org/en/decisions/19.COM/6.A" TargetMode="External"/><Relationship Id="rId66" Type="http://schemas.openxmlformats.org/officeDocument/2006/relationships/hyperlink" Target="https://ich.unesco.org/doc/src/LHE-25-20.COM-6.a_EN.docx?t=1762797022" TargetMode="External"/><Relationship Id="rId74" Type="http://schemas.openxmlformats.org/officeDocument/2006/relationships/hyperlink" Target="https://ich.unesco.org/en/decisions/20.COM/6.C"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ch.unesco.org/en/decisions/19.COM/6.B" TargetMode="External"/><Relationship Id="rId10" Type="http://schemas.openxmlformats.org/officeDocument/2006/relationships/hyperlink" Target="https://ich.unesco.org/en/Resolutions/7.GA/9" TargetMode="External"/><Relationship Id="rId19" Type="http://schemas.openxmlformats.org/officeDocument/2006/relationships/hyperlink" Target="https://ich.unesco.org/en/events/global-reflection-meeting-on-the-periodic-reporting-mechanisms-of-the-2003-convention-01058" TargetMode="External"/><Relationship Id="rId31" Type="http://schemas.openxmlformats.org/officeDocument/2006/relationships/hyperlink" Target="https://ich.unesco.org/doc/src/LHE-21-16.COM-7.b-EN.docx?t=1638892093" TargetMode="External"/><Relationship Id="rId44" Type="http://schemas.openxmlformats.org/officeDocument/2006/relationships/hyperlink" Target="https://ich.unesco.org/doc/src/LHE-23-18.COM-7.a_EN.docx?t=1699314935" TargetMode="External"/><Relationship Id="rId52" Type="http://schemas.openxmlformats.org/officeDocument/2006/relationships/hyperlink" Target="https://ich.unesco.org/en/decisions/18.COM/7.C" TargetMode="External"/><Relationship Id="rId60" Type="http://schemas.openxmlformats.org/officeDocument/2006/relationships/hyperlink" Target="https://ich.unesco.org/doc/src/LHE-24-19.COM-6.b_EN.docx?t=1730758245" TargetMode="External"/><Relationship Id="rId65" Type="http://schemas.openxmlformats.org/officeDocument/2006/relationships/hyperlink" Target="https://ich.unesco.org/en/decisions/19.COM/6.C" TargetMode="External"/><Relationship Id="rId73" Type="http://schemas.openxmlformats.org/officeDocument/2006/relationships/hyperlink" Target="https://ich.unesco.org/doc/src/LHE-25-20.COM-INF-6.c_EN.docx?t=176401820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overall-results-framework-00984" TargetMode="External"/><Relationship Id="rId14" Type="http://schemas.openxmlformats.org/officeDocument/2006/relationships/hyperlink" Target="https://unesdoc.unesco.org/ark:/48223/pf0000395504/PDF/395504eng.pdf.multi" TargetMode="External"/><Relationship Id="rId22" Type="http://schemas.openxmlformats.org/officeDocument/2006/relationships/hyperlink" Target="https://ich.unesco.org/doc/src/ITH-18-7.GA-9-EN.docx?t=1525450424" TargetMode="External"/><Relationship Id="rId27" Type="http://schemas.openxmlformats.org/officeDocument/2006/relationships/hyperlink" Target="https://ich.unesco.org/en/decisions/14.COM/8" TargetMode="External"/><Relationship Id="rId30" Type="http://schemas.openxmlformats.org/officeDocument/2006/relationships/hyperlink" Target="https://ich.unesco.org/en/16com" TargetMode="External"/><Relationship Id="rId35" Type="http://schemas.openxmlformats.org/officeDocument/2006/relationships/hyperlink" Target="https://ich.unesco.org/doc/src/LHE-22-17.COM-6.a-_Rev.-EN.docx?t=1669467076" TargetMode="External"/><Relationship Id="rId43" Type="http://schemas.openxmlformats.org/officeDocument/2006/relationships/hyperlink" Target="https://ich.unesco.org/en/decisions/17.COM/6.C" TargetMode="External"/><Relationship Id="rId48" Type="http://schemas.openxmlformats.org/officeDocument/2006/relationships/hyperlink" Target="https://ich.unesco.org/en/decisions/18.COM/7.B" TargetMode="External"/><Relationship Id="rId56" Type="http://schemas.openxmlformats.org/officeDocument/2006/relationships/hyperlink" Target="https://ich.unesco.org/en/decisions/10.GA/6" TargetMode="External"/><Relationship Id="rId64" Type="http://schemas.openxmlformats.org/officeDocument/2006/relationships/hyperlink" Target="https://ich.unesco.org/doc/src/LHE-24-19.COM-INF.6.c_EN.docx?t=1730758618" TargetMode="External"/><Relationship Id="rId69" Type="http://schemas.openxmlformats.org/officeDocument/2006/relationships/hyperlink" Target="https://ich.unesco.org/doc/src/LHE-25-20.COM-6.b_EN.docx?t=1762812696" TargetMode="External"/><Relationship Id="rId77" Type="http://schemas.openxmlformats.org/officeDocument/2006/relationships/header" Target="header3.xml"/><Relationship Id="rId8" Type="http://schemas.openxmlformats.org/officeDocument/2006/relationships/hyperlink" Target="https://ich.unesco.org/en/Decisions/12.COM/10" TargetMode="External"/><Relationship Id="rId51" Type="http://schemas.openxmlformats.org/officeDocument/2006/relationships/hyperlink" Target="https://ich.unesco.org/doc/src/LHE-23-18.COM-INF.7.c_EN.docx?t=1699309498" TargetMode="External"/><Relationship Id="rId72" Type="http://schemas.openxmlformats.org/officeDocument/2006/relationships/hyperlink" Target="https://ich.unesco.org/en/decisions/20.COM/6.C" TargetMode="External"/><Relationship Id="rId3" Type="http://schemas.openxmlformats.org/officeDocument/2006/relationships/styles" Target="styles.xml"/><Relationship Id="rId12" Type="http://schemas.openxmlformats.org/officeDocument/2006/relationships/hyperlink" Target="https://ich.unesco.org/en/Decisions/13.COM/8" TargetMode="External"/><Relationship Id="rId17" Type="http://schemas.openxmlformats.org/officeDocument/2006/relationships/hyperlink" Target="https://ich.unesco.org/en/sharing-good-safeguarding-experiences" TargetMode="External"/><Relationship Id="rId25" Type="http://schemas.openxmlformats.org/officeDocument/2006/relationships/hyperlink" Target="https://ich.unesco.org/en/decisions/13.COM/8" TargetMode="External"/><Relationship Id="rId33" Type="http://schemas.openxmlformats.org/officeDocument/2006/relationships/hyperlink" Target="https://ich.unesco.org/doc/src/LHE-21-16.COM-7.c-EN.docx?t=1638892040" TargetMode="External"/><Relationship Id="rId38" Type="http://schemas.openxmlformats.org/officeDocument/2006/relationships/hyperlink" Target="https://ich.unesco.org/doc/src/LHE-22-17.COM-6.b-_Rev.-EN.docx?t=1667939934" TargetMode="External"/><Relationship Id="rId46" Type="http://schemas.openxmlformats.org/officeDocument/2006/relationships/hyperlink" Target="https://ich.unesco.org/en/18com" TargetMode="External"/><Relationship Id="rId59" Type="http://schemas.openxmlformats.org/officeDocument/2006/relationships/hyperlink" Target="https://ich.unesco.org/en/19com" TargetMode="External"/><Relationship Id="rId67" Type="http://schemas.openxmlformats.org/officeDocument/2006/relationships/hyperlink" Target="https://ich.unesco.org/en/decisions/20.COM/6.A" TargetMode="External"/><Relationship Id="rId20" Type="http://schemas.openxmlformats.org/officeDocument/2006/relationships/hyperlink" Target="https://ich.unesco.org/doc/src/ITH-17-12.COM-10-EN.docx?t=1509557309" TargetMode="External"/><Relationship Id="rId41" Type="http://schemas.openxmlformats.org/officeDocument/2006/relationships/hyperlink" Target="https://ich.unesco.org/en/decisions/17.COM/6.C" TargetMode="External"/><Relationship Id="rId54" Type="http://schemas.openxmlformats.org/officeDocument/2006/relationships/hyperlink" Target="https://ich.unesco.org/en/decisions/10.GA/5" TargetMode="External"/><Relationship Id="rId62" Type="http://schemas.openxmlformats.org/officeDocument/2006/relationships/hyperlink" Target="https://ich.unesco.org/doc/src/LHE-24-19.COM-6.c-EN.docx?t=1730756487" TargetMode="External"/><Relationship Id="rId70" Type="http://schemas.openxmlformats.org/officeDocument/2006/relationships/hyperlink" Target="https://ich.unesco.org/en/decisions/20.COM/6.B"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20.COM/6.C" TargetMode="External"/><Relationship Id="rId23" Type="http://schemas.openxmlformats.org/officeDocument/2006/relationships/hyperlink" Target="https://ich.unesco.org/en/decisions/7.GA/9" TargetMode="External"/><Relationship Id="rId28" Type="http://schemas.openxmlformats.org/officeDocument/2006/relationships/hyperlink" Target="file:///\\hqfs\OurDrive\CLT\ProgrammeExecution\2003Convention\2003-PeriodicReporting\2026\Reflection%20year\04%20Global%20meeting\Concept%20note%20and%20related%20documents\LHE\21\16.COM\7.a" TargetMode="External"/><Relationship Id="rId36" Type="http://schemas.openxmlformats.org/officeDocument/2006/relationships/hyperlink" Target="https://ich.unesco.org/en/decisions/17.COM/6.A" TargetMode="External"/><Relationship Id="rId49" Type="http://schemas.openxmlformats.org/officeDocument/2006/relationships/hyperlink" Target="https://ich.unesco.org/doc/src/LHE-23-18.COM-7.c_Rev_EN.docx?t=1701537689" TargetMode="External"/><Relationship Id="rId57" Type="http://schemas.openxmlformats.org/officeDocument/2006/relationships/hyperlink" Target="https://ich.unesco.org/doc/src/LHE-24-19.COM-6.a_EN.docx?t=173076084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1736</TotalTime>
  <Pages>10</Pages>
  <Words>4067</Words>
  <Characters>23186</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Martinotti, Alessandro</cp:lastModifiedBy>
  <cp:revision>230</cp:revision>
  <cp:lastPrinted>2025-03-04T09:28:00Z</cp:lastPrinted>
  <dcterms:created xsi:type="dcterms:W3CDTF">2025-04-03T11:46:00Z</dcterms:created>
  <dcterms:modified xsi:type="dcterms:W3CDTF">2026-04-17T13:48:00Z</dcterms:modified>
</cp:coreProperties>
</file>