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875673" w:rsidRDefault="00EC6F8D" w:rsidP="00357323">
      <w:pPr>
        <w:spacing w:before="1440" w:after="120"/>
        <w:jc w:val="center"/>
        <w:rPr>
          <w:rFonts w:ascii="Arial" w:hAnsi="Arial" w:cs="Arial"/>
          <w:b/>
          <w:sz w:val="22"/>
          <w:szCs w:val="22"/>
          <w:lang w:val="en-GB"/>
        </w:rPr>
      </w:pPr>
      <w:r w:rsidRPr="00875673">
        <w:rPr>
          <w:rFonts w:ascii="Arial" w:hAnsi="Arial" w:cs="Arial"/>
          <w:b/>
          <w:sz w:val="22"/>
          <w:szCs w:val="22"/>
          <w:lang w:val="en-GB"/>
        </w:rPr>
        <w:t>CONVENTION FOR THE SAFEGUARDING OF THE</w:t>
      </w:r>
      <w:r w:rsidRPr="00875673">
        <w:rPr>
          <w:rFonts w:ascii="Arial" w:hAnsi="Arial" w:cs="Arial"/>
          <w:b/>
          <w:sz w:val="22"/>
          <w:szCs w:val="22"/>
          <w:lang w:val="en-GB"/>
        </w:rPr>
        <w:br/>
        <w:t>INTANGIBLE CULTURAL HERITAGE</w:t>
      </w:r>
    </w:p>
    <w:p w14:paraId="00E2C338" w14:textId="77777777" w:rsidR="0015117E" w:rsidRPr="00875673" w:rsidRDefault="0015117E" w:rsidP="00357323">
      <w:pPr>
        <w:spacing w:before="1200" w:after="120"/>
        <w:ind w:right="-1"/>
        <w:jc w:val="center"/>
        <w:rPr>
          <w:rFonts w:ascii="Arial" w:eastAsia="Calibri" w:hAnsi="Arial" w:cs="Arial"/>
          <w:b/>
          <w:bCs/>
          <w:caps/>
          <w:sz w:val="22"/>
          <w:szCs w:val="22"/>
          <w:lang w:val="en-US"/>
        </w:rPr>
      </w:pPr>
      <w:bookmarkStart w:id="0" w:name="_Hlk70514086"/>
      <w:r w:rsidRPr="00875673">
        <w:rPr>
          <w:rFonts w:ascii="Arial" w:eastAsia="Calibri" w:hAnsi="Arial" w:cs="Arial"/>
          <w:b/>
          <w:bCs/>
          <w:caps/>
          <w:sz w:val="22"/>
          <w:szCs w:val="22"/>
          <w:lang w:val="en-US"/>
        </w:rPr>
        <w:t>Training programme for the Global facilitators’ network</w:t>
      </w:r>
    </w:p>
    <w:p w14:paraId="3C70C197" w14:textId="69B4CE85" w:rsidR="00273B6D" w:rsidRPr="00875673" w:rsidRDefault="0015117E" w:rsidP="00357323">
      <w:pPr>
        <w:spacing w:before="1200" w:after="120"/>
        <w:ind w:right="-1"/>
        <w:jc w:val="center"/>
        <w:rPr>
          <w:rFonts w:ascii="Arial" w:eastAsia="Calibri" w:hAnsi="Arial" w:cs="Arial"/>
          <w:b/>
          <w:bCs/>
          <w:caps/>
          <w:sz w:val="22"/>
          <w:szCs w:val="22"/>
          <w:lang w:val="en-US"/>
        </w:rPr>
      </w:pPr>
      <w:r w:rsidRPr="00875673">
        <w:rPr>
          <w:rFonts w:ascii="Arial" w:eastAsia="Calibri" w:hAnsi="Arial" w:cs="Arial"/>
          <w:b/>
          <w:bCs/>
          <w:caps/>
          <w:sz w:val="22"/>
          <w:szCs w:val="22"/>
          <w:lang w:val="en-US"/>
        </w:rPr>
        <w:t xml:space="preserve">Living heritage </w:t>
      </w:r>
      <w:r w:rsidR="00481EEA">
        <w:rPr>
          <w:rFonts w:ascii="Arial" w:eastAsia="Calibri" w:hAnsi="Arial" w:cs="Arial"/>
          <w:b/>
          <w:bCs/>
          <w:caps/>
          <w:sz w:val="22"/>
          <w:szCs w:val="22"/>
          <w:lang w:val="en-US"/>
        </w:rPr>
        <w:t>IN URBAN CONTEXTS</w:t>
      </w:r>
    </w:p>
    <w:bookmarkEnd w:id="0"/>
    <w:p w14:paraId="1BA8DE75" w14:textId="09A5C1D6" w:rsidR="00174D0C" w:rsidRPr="00875673" w:rsidRDefault="00D90FC9" w:rsidP="0015218B">
      <w:pPr>
        <w:spacing w:before="840"/>
        <w:jc w:val="center"/>
        <w:rPr>
          <w:rFonts w:ascii="Arial" w:eastAsia="Calibri" w:hAnsi="Arial" w:cs="Arial"/>
          <w:b/>
          <w:bCs/>
          <w:sz w:val="22"/>
          <w:szCs w:val="22"/>
          <w:lang w:val="en-US"/>
        </w:rPr>
      </w:pPr>
      <w:r>
        <w:rPr>
          <w:rFonts w:ascii="Arial" w:eastAsia="Calibri" w:hAnsi="Arial" w:cs="Arial"/>
          <w:b/>
          <w:bCs/>
          <w:sz w:val="22"/>
          <w:szCs w:val="22"/>
          <w:lang w:val="en-US"/>
        </w:rPr>
        <w:t>23 April</w:t>
      </w:r>
      <w:r w:rsidR="00277688" w:rsidRPr="00875673">
        <w:rPr>
          <w:rFonts w:ascii="Arial" w:eastAsia="Calibri" w:hAnsi="Arial" w:cs="Arial"/>
          <w:b/>
          <w:bCs/>
          <w:sz w:val="22"/>
          <w:szCs w:val="22"/>
          <w:lang w:val="en-US"/>
        </w:rPr>
        <w:t xml:space="preserve"> </w:t>
      </w:r>
      <w:r w:rsidR="00174D0C" w:rsidRPr="00875673">
        <w:rPr>
          <w:rFonts w:ascii="Arial" w:eastAsia="Calibri" w:hAnsi="Arial" w:cs="Arial"/>
          <w:b/>
          <w:bCs/>
          <w:sz w:val="22"/>
          <w:szCs w:val="22"/>
          <w:lang w:val="en-US"/>
        </w:rPr>
        <w:t>202</w:t>
      </w:r>
      <w:r>
        <w:rPr>
          <w:rFonts w:ascii="Arial" w:eastAsia="Calibri" w:hAnsi="Arial" w:cs="Arial"/>
          <w:b/>
          <w:bCs/>
          <w:sz w:val="22"/>
          <w:szCs w:val="22"/>
          <w:lang w:val="en-US"/>
        </w:rPr>
        <w:t>6</w:t>
      </w:r>
      <w:r w:rsidR="00174D0C" w:rsidRPr="00875673">
        <w:rPr>
          <w:rFonts w:ascii="Arial" w:eastAsia="Calibri" w:hAnsi="Arial" w:cs="Arial"/>
          <w:b/>
          <w:bCs/>
          <w:sz w:val="22"/>
          <w:szCs w:val="22"/>
          <w:lang w:val="en-US"/>
        </w:rPr>
        <w:br/>
        <w:t>Online</w:t>
      </w:r>
    </w:p>
    <w:p w14:paraId="5BBC5BDE" w14:textId="5E25DC36" w:rsidR="0015117E" w:rsidRPr="00875673" w:rsidRDefault="0015117E" w:rsidP="00657EBB">
      <w:pPr>
        <w:spacing w:before="840"/>
        <w:jc w:val="center"/>
        <w:rPr>
          <w:rFonts w:ascii="Arial" w:eastAsia="Calibri" w:hAnsi="Arial" w:cs="Arial"/>
          <w:b/>
          <w:bCs/>
          <w:sz w:val="22"/>
          <w:szCs w:val="22"/>
          <w:lang w:val="en-US"/>
        </w:rPr>
      </w:pPr>
      <w:r w:rsidRPr="00875673">
        <w:rPr>
          <w:rFonts w:ascii="Arial" w:eastAsia="Calibri" w:hAnsi="Arial" w:cs="Arial"/>
          <w:b/>
          <w:bCs/>
          <w:sz w:val="22"/>
          <w:szCs w:val="22"/>
          <w:lang w:val="en-US"/>
        </w:rPr>
        <w:t>Concept note</w:t>
      </w:r>
      <w:r w:rsidR="00D76AD9" w:rsidRPr="00875673">
        <w:rPr>
          <w:rFonts w:ascii="Arial" w:eastAsia="Calibri" w:hAnsi="Arial" w:cs="Arial"/>
          <w:b/>
          <w:bCs/>
          <w:sz w:val="22"/>
          <w:szCs w:val="22"/>
          <w:lang w:val="en-US"/>
        </w:rPr>
        <w:t>, agenda and timetable</w:t>
      </w:r>
    </w:p>
    <w:p w14:paraId="713D819F" w14:textId="77777777" w:rsidR="004A2875" w:rsidRPr="00875673" w:rsidRDefault="00655736" w:rsidP="00357323">
      <w:pPr>
        <w:pStyle w:val="ListParagraph"/>
        <w:keepLines/>
        <w:numPr>
          <w:ilvl w:val="0"/>
          <w:numId w:val="13"/>
        </w:numPr>
        <w:spacing w:after="120"/>
        <w:ind w:left="567" w:hanging="567"/>
        <w:contextualSpacing w:val="0"/>
        <w:rPr>
          <w:rFonts w:ascii="Arial" w:hAnsi="Arial" w:cs="Arial"/>
          <w:b/>
          <w:snapToGrid w:val="0"/>
          <w:sz w:val="22"/>
          <w:szCs w:val="22"/>
          <w:lang w:val="en-GB" w:eastAsia="en-US"/>
        </w:rPr>
      </w:pPr>
      <w:r w:rsidRPr="00875673">
        <w:rPr>
          <w:lang w:val="en-US"/>
        </w:rPr>
        <w:br w:type="page"/>
      </w:r>
    </w:p>
    <w:p w14:paraId="42C51797" w14:textId="2CE97365" w:rsidR="0050062D" w:rsidRPr="00E30A5E" w:rsidRDefault="0050062D" w:rsidP="00792490">
      <w:pPr>
        <w:pStyle w:val="COMPara"/>
        <w:numPr>
          <w:ilvl w:val="0"/>
          <w:numId w:val="33"/>
        </w:numPr>
        <w:spacing w:before="240"/>
        <w:ind w:left="540" w:hanging="540"/>
        <w:jc w:val="both"/>
        <w:rPr>
          <w:b/>
          <w:bCs/>
        </w:rPr>
      </w:pPr>
      <w:bookmarkStart w:id="1" w:name="_Hlk124351255"/>
      <w:r>
        <w:rPr>
          <w:b/>
          <w:bCs/>
        </w:rPr>
        <w:lastRenderedPageBreak/>
        <w:t>Background</w:t>
      </w:r>
    </w:p>
    <w:bookmarkEnd w:id="1"/>
    <w:p w14:paraId="4B859B50" w14:textId="5BA3B53B" w:rsidR="0050062D" w:rsidRPr="0011214D" w:rsidRDefault="0050062D" w:rsidP="00792490">
      <w:pPr>
        <w:pStyle w:val="COMPara"/>
        <w:ind w:left="567" w:hanging="567"/>
        <w:jc w:val="both"/>
      </w:pPr>
      <w:r w:rsidRPr="0011214D">
        <w:t xml:space="preserve">The </w:t>
      </w:r>
      <w:r>
        <w:t>purpose</w:t>
      </w:r>
      <w:r w:rsidRPr="0011214D">
        <w:t xml:space="preserve"> of this session is to provide facilitators of the 2003 Convention's global network with a basic introduction to the </w:t>
      </w:r>
      <w:r w:rsidR="009246C8">
        <w:t>s</w:t>
      </w:r>
      <w:r w:rsidRPr="0011214D">
        <w:t xml:space="preserve">afeguarding of </w:t>
      </w:r>
      <w:r w:rsidR="009246C8">
        <w:t>i</w:t>
      </w:r>
      <w:r w:rsidRPr="0011214D">
        <w:t xml:space="preserve">ntangible </w:t>
      </w:r>
      <w:r w:rsidR="009246C8">
        <w:t>c</w:t>
      </w:r>
      <w:r w:rsidRPr="0011214D">
        <w:t xml:space="preserve">ultural </w:t>
      </w:r>
      <w:r w:rsidR="009246C8">
        <w:t>h</w:t>
      </w:r>
      <w:r w:rsidRPr="0011214D">
        <w:t xml:space="preserve">eritage in </w:t>
      </w:r>
      <w:r w:rsidR="009246C8">
        <w:t>u</w:t>
      </w:r>
      <w:r w:rsidRPr="0011214D">
        <w:t xml:space="preserve">rban </w:t>
      </w:r>
      <w:r w:rsidR="009246C8">
        <w:t>c</w:t>
      </w:r>
      <w:r w:rsidRPr="0011214D">
        <w:t>ontexts</w:t>
      </w:r>
      <w:r w:rsidR="006E0D89">
        <w:t>, while also sharing facilitators’ experiences on this important topic</w:t>
      </w:r>
      <w:r w:rsidRPr="0011214D">
        <w:t xml:space="preserve">. </w:t>
      </w:r>
      <w:r w:rsidRPr="0011214D">
        <w:rPr>
          <w:lang w:val="en-US"/>
        </w:rPr>
        <w:t xml:space="preserve">Living heritage </w:t>
      </w:r>
      <w:r>
        <w:t xml:space="preserve">is </w:t>
      </w:r>
      <w:r w:rsidR="009246C8">
        <w:t xml:space="preserve">closely </w:t>
      </w:r>
      <w:r>
        <w:t xml:space="preserve">linked to sustainable urban </w:t>
      </w:r>
      <w:r w:rsidR="009246C8">
        <w:t xml:space="preserve">development and </w:t>
      </w:r>
      <w:r>
        <w:rPr>
          <w:lang w:val="en-US"/>
        </w:rPr>
        <w:t xml:space="preserve">has </w:t>
      </w:r>
      <w:r w:rsidRPr="0011214D">
        <w:rPr>
          <w:lang w:val="en-US"/>
        </w:rPr>
        <w:t xml:space="preserve">the potential to contribute positively to urban lifestyles, social cohesion, improved living conditions, and ultimately, the functioning of the city itself. In turn, urban planning can facilitate the safeguarding of living heritage by </w:t>
      </w:r>
      <w:proofErr w:type="gramStart"/>
      <w:r w:rsidR="006E0D89">
        <w:rPr>
          <w:lang w:val="en-US"/>
        </w:rPr>
        <w:t>taking into account</w:t>
      </w:r>
      <w:proofErr w:type="gramEnd"/>
      <w:r w:rsidR="006E0D89">
        <w:rPr>
          <w:lang w:val="en-US"/>
        </w:rPr>
        <w:t xml:space="preserve"> the needs of </w:t>
      </w:r>
      <w:r w:rsidRPr="0011214D">
        <w:rPr>
          <w:lang w:val="en-US"/>
        </w:rPr>
        <w:t xml:space="preserve">communities and practitioners </w:t>
      </w:r>
      <w:r w:rsidR="006E0D89">
        <w:rPr>
          <w:lang w:val="en-US"/>
        </w:rPr>
        <w:t xml:space="preserve">in areas such as </w:t>
      </w:r>
      <w:r w:rsidRPr="0011214D">
        <w:rPr>
          <w:lang w:val="en-US"/>
        </w:rPr>
        <w:t>spatial organization</w:t>
      </w:r>
      <w:r w:rsidR="006E0D89">
        <w:rPr>
          <w:lang w:val="en-US"/>
        </w:rPr>
        <w:t>, access to spaces, and inclusive planning processes</w:t>
      </w:r>
      <w:r w:rsidRPr="00F77267">
        <w:rPr>
          <w:lang w:val="en-US"/>
        </w:rPr>
        <w:t>.</w:t>
      </w:r>
    </w:p>
    <w:p w14:paraId="18080B9E" w14:textId="4D758D4A" w:rsidR="0050062D" w:rsidRPr="00451620" w:rsidRDefault="00507AAC" w:rsidP="00792490">
      <w:pPr>
        <w:pStyle w:val="COMPara"/>
        <w:ind w:left="567" w:hanging="567"/>
        <w:jc w:val="both"/>
        <w:rPr>
          <w:lang w:val="en-US"/>
        </w:rPr>
      </w:pPr>
      <w:r>
        <w:t xml:space="preserve">This session is part of the 2026 training programme for the Global </w:t>
      </w:r>
      <w:r w:rsidR="00357323">
        <w:t>F</w:t>
      </w:r>
      <w:r>
        <w:t xml:space="preserve">acilitators’ </w:t>
      </w:r>
      <w:r w:rsidR="00357323">
        <w:t>N</w:t>
      </w:r>
      <w:r>
        <w:t xml:space="preserve">etwork, which takes a two-way approach to both update facilitators’ knowledge in key thematic areas and provide opportunities for experience sharing. </w:t>
      </w:r>
      <w:r w:rsidR="006E0D89">
        <w:t>In this context</w:t>
      </w:r>
      <w:r w:rsidR="009D7F4B">
        <w:t xml:space="preserve">, </w:t>
      </w:r>
      <w:r w:rsidR="006E0D89">
        <w:t xml:space="preserve">the session will </w:t>
      </w:r>
      <w:r w:rsidR="00E711B1">
        <w:t xml:space="preserve">introduce key concepts and </w:t>
      </w:r>
      <w:r w:rsidR="0050062D">
        <w:t>a practical approach</w:t>
      </w:r>
      <w:r w:rsidR="0050062D" w:rsidRPr="00451620">
        <w:t xml:space="preserve"> </w:t>
      </w:r>
      <w:r w:rsidR="00E711B1">
        <w:t>for</w:t>
      </w:r>
      <w:r w:rsidR="0050062D" w:rsidRPr="00451620">
        <w:t xml:space="preserve"> safeguarding intangible cultural heritage in urban contexts.</w:t>
      </w:r>
    </w:p>
    <w:p w14:paraId="278382C0" w14:textId="0B0421EA" w:rsidR="009D7F4B" w:rsidRDefault="0050062D" w:rsidP="00792490">
      <w:pPr>
        <w:pStyle w:val="COMPara"/>
        <w:ind w:left="567" w:hanging="567"/>
        <w:jc w:val="both"/>
        <w:rPr>
          <w:lang w:val="en-US"/>
        </w:rPr>
      </w:pPr>
      <w:r w:rsidRPr="007333F6">
        <w:rPr>
          <w:lang w:val="en-US"/>
        </w:rPr>
        <w:t xml:space="preserve">UNESCO’s approach </w:t>
      </w:r>
      <w:r w:rsidR="00507AAC">
        <w:rPr>
          <w:lang w:val="en-US"/>
        </w:rPr>
        <w:t xml:space="preserve">in this field </w:t>
      </w:r>
      <w:r w:rsidRPr="007333F6">
        <w:rPr>
          <w:lang w:val="en-US"/>
        </w:rPr>
        <w:t xml:space="preserve">is </w:t>
      </w:r>
      <w:r w:rsidR="00507AAC">
        <w:rPr>
          <w:lang w:val="en-US"/>
        </w:rPr>
        <w:t>based on</w:t>
      </w:r>
      <w:r w:rsidRPr="007333F6">
        <w:rPr>
          <w:lang w:val="en-US"/>
        </w:rPr>
        <w:t xml:space="preserve"> the </w:t>
      </w:r>
      <w:hyperlink r:id="rId8" w:history="1">
        <w:r w:rsidRPr="00507AAC">
          <w:rPr>
            <w:rStyle w:val="Hyperlink"/>
          </w:rPr>
          <w:t>Guidance Note</w:t>
        </w:r>
        <w:r w:rsidR="00507AAC" w:rsidRPr="00507AAC">
          <w:rPr>
            <w:rStyle w:val="Hyperlink"/>
          </w:rPr>
          <w:t xml:space="preserve"> on safeguarding intangible cultural heritage in urban contexts</w:t>
        </w:r>
      </w:hyperlink>
      <w:r w:rsidR="00507AAC">
        <w:t>,</w:t>
      </w:r>
      <w:r>
        <w:t xml:space="preserve"> </w:t>
      </w:r>
      <w:r w:rsidR="00507AAC">
        <w:t xml:space="preserve">which was </w:t>
      </w:r>
      <w:r w:rsidR="00507AAC">
        <w:rPr>
          <w:lang w:val="en-US"/>
        </w:rPr>
        <w:t>endorsed</w:t>
      </w:r>
      <w:r w:rsidRPr="007333F6">
        <w:rPr>
          <w:lang w:val="en-US"/>
        </w:rPr>
        <w:t xml:space="preserve"> by the </w:t>
      </w:r>
      <w:r>
        <w:rPr>
          <w:lang w:val="en-US"/>
        </w:rPr>
        <w:t>Intergovernmental Committee</w:t>
      </w:r>
      <w:r w:rsidRPr="007333F6">
        <w:rPr>
          <w:lang w:val="en-US"/>
        </w:rPr>
        <w:t xml:space="preserve"> </w:t>
      </w:r>
      <w:r>
        <w:rPr>
          <w:lang w:val="en-US"/>
        </w:rPr>
        <w:t>of the 2003 Convention</w:t>
      </w:r>
      <w:r w:rsidR="00507AAC">
        <w:rPr>
          <w:lang w:val="en-US"/>
        </w:rPr>
        <w:t xml:space="preserve"> at its twentieth session</w:t>
      </w:r>
      <w:r>
        <w:rPr>
          <w:lang w:val="en-US"/>
        </w:rPr>
        <w:t xml:space="preserve"> </w:t>
      </w:r>
      <w:r w:rsidR="00507AAC">
        <w:rPr>
          <w:lang w:val="en-US"/>
        </w:rPr>
        <w:t>in 2025</w:t>
      </w:r>
      <w:r w:rsidR="00BA2063">
        <w:rPr>
          <w:lang w:val="en-US"/>
        </w:rPr>
        <w:t xml:space="preserve"> (see Decision </w:t>
      </w:r>
      <w:hyperlink r:id="rId9" w:history="1">
        <w:r w:rsidR="00BA2063" w:rsidRPr="00BA2063">
          <w:rPr>
            <w:rStyle w:val="Hyperlink"/>
            <w:lang w:val="en-US"/>
          </w:rPr>
          <w:t>20.COM 12</w:t>
        </w:r>
      </w:hyperlink>
      <w:r w:rsidR="00BA2063">
        <w:rPr>
          <w:lang w:val="en-US"/>
        </w:rPr>
        <w:t>)</w:t>
      </w:r>
      <w:r w:rsidR="00507AAC">
        <w:rPr>
          <w:lang w:val="en-US"/>
        </w:rPr>
        <w:t xml:space="preserve">. </w:t>
      </w:r>
    </w:p>
    <w:p w14:paraId="3D6E531C" w14:textId="1320BF7D" w:rsidR="006E0D89" w:rsidRDefault="0050062D" w:rsidP="00357323">
      <w:pPr>
        <w:pStyle w:val="COMPara"/>
        <w:numPr>
          <w:ilvl w:val="0"/>
          <w:numId w:val="0"/>
        </w:numPr>
        <w:ind w:left="567"/>
        <w:jc w:val="both"/>
        <w:rPr>
          <w:lang w:val="en-US"/>
        </w:rPr>
      </w:pPr>
      <w:r w:rsidRPr="00BA2063">
        <w:rPr>
          <w:lang w:val="en-US"/>
        </w:rPr>
        <w:t xml:space="preserve">UNESCO </w:t>
      </w:r>
      <w:r w:rsidR="003B4CF8">
        <w:rPr>
          <w:lang w:val="en-US"/>
        </w:rPr>
        <w:t xml:space="preserve">has </w:t>
      </w:r>
      <w:r w:rsidR="009D7F4B">
        <w:rPr>
          <w:lang w:val="en-US"/>
        </w:rPr>
        <w:t xml:space="preserve">also designed and implemented </w:t>
      </w:r>
      <w:r w:rsidRPr="00BA2063">
        <w:rPr>
          <w:lang w:val="en-US"/>
        </w:rPr>
        <w:t>a</w:t>
      </w:r>
      <w:r w:rsidR="00792490">
        <w:rPr>
          <w:lang w:val="en-US"/>
        </w:rPr>
        <w:t xml:space="preserve"> training-of-trainers </w:t>
      </w:r>
      <w:r w:rsidR="009D7F4B">
        <w:rPr>
          <w:lang w:val="en-US"/>
        </w:rPr>
        <w:t>online</w:t>
      </w:r>
      <w:r w:rsidRPr="00BA2063">
        <w:rPr>
          <w:lang w:val="en-US"/>
        </w:rPr>
        <w:t xml:space="preserve"> course for expert teams from 10 countries on safeguarding intangible cultural heritage in urban contexts (</w:t>
      </w:r>
      <w:r w:rsidR="00D04B7E">
        <w:rPr>
          <w:lang w:val="en-US"/>
        </w:rPr>
        <w:t xml:space="preserve">5 </w:t>
      </w:r>
      <w:r w:rsidRPr="00BA2063">
        <w:rPr>
          <w:lang w:val="en-US"/>
        </w:rPr>
        <w:t xml:space="preserve">March to </w:t>
      </w:r>
      <w:r w:rsidR="00D04B7E">
        <w:rPr>
          <w:lang w:val="en-US"/>
        </w:rPr>
        <w:t xml:space="preserve">1 </w:t>
      </w:r>
      <w:r w:rsidRPr="00BA2063">
        <w:rPr>
          <w:lang w:val="en-US"/>
        </w:rPr>
        <w:t>April 2025</w:t>
      </w:r>
      <w:r w:rsidR="00B55E50">
        <w:rPr>
          <w:lang w:val="en-US"/>
        </w:rPr>
        <w:t>, online</w:t>
      </w:r>
      <w:r w:rsidRPr="00BA2063">
        <w:rPr>
          <w:lang w:val="en-US"/>
        </w:rPr>
        <w:t xml:space="preserve">), </w:t>
      </w:r>
      <w:r w:rsidR="009D7F4B">
        <w:rPr>
          <w:lang w:val="en-US"/>
        </w:rPr>
        <w:t xml:space="preserve">implemented </w:t>
      </w:r>
      <w:r w:rsidRPr="00BA2063">
        <w:rPr>
          <w:lang w:val="en-US"/>
        </w:rPr>
        <w:t>within the project</w:t>
      </w:r>
      <w:r w:rsidRPr="003952F7">
        <w:t xml:space="preserve"> </w:t>
      </w:r>
      <w:hyperlink r:id="rId10" w:history="1">
        <w:r w:rsidRPr="00BA2063">
          <w:rPr>
            <w:rStyle w:val="Hyperlink"/>
          </w:rPr>
          <w:t>‘</w:t>
        </w:r>
        <w:r w:rsidRPr="00BA2063">
          <w:rPr>
            <w:rStyle w:val="Hyperlink"/>
            <w:shd w:val="clear" w:color="auto" w:fill="FFFFFF"/>
          </w:rPr>
          <w:t>Latin America and the Caribbean: Strengthening Capacities for Resilient Communities through Sustainable Tourism and Heritage Safeguarding</w:t>
        </w:r>
        <w:r w:rsidRPr="00BA2063">
          <w:rPr>
            <w:rStyle w:val="Hyperlink"/>
          </w:rPr>
          <w:t>’</w:t>
        </w:r>
      </w:hyperlink>
      <w:r w:rsidRPr="00BA2063">
        <w:rPr>
          <w:color w:val="000000"/>
          <w:shd w:val="clear" w:color="auto" w:fill="FFFFFF"/>
        </w:rPr>
        <w:t>.</w:t>
      </w:r>
      <w:r w:rsidR="00BA2063">
        <w:t xml:space="preserve"> </w:t>
      </w:r>
      <w:r w:rsidRPr="00BA2063">
        <w:rPr>
          <w:lang w:val="en-US"/>
        </w:rPr>
        <w:t xml:space="preserve">Following the online course, the trained expert teams delivered an in-person workshop in each of the project cities </w:t>
      </w:r>
      <w:r w:rsidR="00E42DBE">
        <w:rPr>
          <w:lang w:val="en-US"/>
        </w:rPr>
        <w:t>between</w:t>
      </w:r>
      <w:r w:rsidRPr="00BA2063">
        <w:rPr>
          <w:lang w:val="en-US"/>
        </w:rPr>
        <w:t xml:space="preserve"> June </w:t>
      </w:r>
      <w:r w:rsidR="00E42DBE">
        <w:rPr>
          <w:lang w:val="en-US"/>
        </w:rPr>
        <w:t>and</w:t>
      </w:r>
      <w:r w:rsidRPr="00BA2063">
        <w:rPr>
          <w:lang w:val="en-US"/>
        </w:rPr>
        <w:t xml:space="preserve"> October 2025.</w:t>
      </w:r>
      <w:r w:rsidR="006E0D89">
        <w:rPr>
          <w:lang w:val="en-US"/>
        </w:rPr>
        <w:t xml:space="preserve"> The training materials are available </w:t>
      </w:r>
      <w:r w:rsidR="009D7F4B">
        <w:rPr>
          <w:lang w:val="en-US"/>
        </w:rPr>
        <w:t>on the dedicated webpage</w:t>
      </w:r>
      <w:r w:rsidR="006E0D89">
        <w:rPr>
          <w:lang w:val="en-US"/>
        </w:rPr>
        <w:t xml:space="preserve">: </w:t>
      </w:r>
      <w:hyperlink r:id="rId11" w:history="1">
        <w:r w:rsidR="009D7F4B" w:rsidRPr="009D7F4B">
          <w:rPr>
            <w:rStyle w:val="Hyperlink"/>
            <w:lang w:val="en-US"/>
          </w:rPr>
          <w:t>Training-of-trainers on living heritage and sustainable urban development</w:t>
        </w:r>
      </w:hyperlink>
      <w:r w:rsidR="009D7F4B">
        <w:rPr>
          <w:lang w:val="en-US"/>
        </w:rPr>
        <w:t>.</w:t>
      </w:r>
    </w:p>
    <w:p w14:paraId="016FD921" w14:textId="60C9FD19" w:rsidR="0015117E" w:rsidRPr="0050062D" w:rsidRDefault="0015117E" w:rsidP="00792490">
      <w:pPr>
        <w:pStyle w:val="COMPara"/>
        <w:numPr>
          <w:ilvl w:val="0"/>
          <w:numId w:val="33"/>
        </w:numPr>
        <w:spacing w:before="120"/>
        <w:ind w:left="540" w:hanging="540"/>
        <w:jc w:val="both"/>
        <w:rPr>
          <w:b/>
          <w:bCs/>
        </w:rPr>
      </w:pPr>
      <w:r w:rsidRPr="0050062D">
        <w:rPr>
          <w:b/>
          <w:bCs/>
        </w:rPr>
        <w:t>Objectives</w:t>
      </w:r>
    </w:p>
    <w:p w14:paraId="6A927A7C" w14:textId="3E3ACA89" w:rsidR="0050062D" w:rsidRPr="00B726B8" w:rsidRDefault="0050062D" w:rsidP="00792490">
      <w:pPr>
        <w:pStyle w:val="COMPara"/>
        <w:ind w:left="567" w:hanging="567"/>
        <w:jc w:val="both"/>
        <w:rPr>
          <w:lang w:val="en-US"/>
        </w:rPr>
      </w:pPr>
      <w:r>
        <w:rPr>
          <w:lang w:val="en-US"/>
        </w:rPr>
        <w:t xml:space="preserve">Within this framework, </w:t>
      </w:r>
      <w:r w:rsidRPr="007333F6">
        <w:rPr>
          <w:lang w:val="en-US"/>
        </w:rPr>
        <w:t xml:space="preserve">UNESCO is organizing an online training session for members of the </w:t>
      </w:r>
      <w:r w:rsidR="00BA2063">
        <w:rPr>
          <w:lang w:val="en-US"/>
        </w:rPr>
        <w:t xml:space="preserve">Global </w:t>
      </w:r>
      <w:r w:rsidR="00357323">
        <w:rPr>
          <w:lang w:val="en-US"/>
        </w:rPr>
        <w:t>F</w:t>
      </w:r>
      <w:r w:rsidR="00BA2063">
        <w:rPr>
          <w:lang w:val="en-US"/>
        </w:rPr>
        <w:t xml:space="preserve">acilitators’ </w:t>
      </w:r>
      <w:r w:rsidR="00357323">
        <w:rPr>
          <w:lang w:val="en-US"/>
        </w:rPr>
        <w:t>N</w:t>
      </w:r>
      <w:r w:rsidR="00BA2063">
        <w:rPr>
          <w:lang w:val="en-US"/>
        </w:rPr>
        <w:t>etwork</w:t>
      </w:r>
      <w:r w:rsidRPr="007333F6">
        <w:rPr>
          <w:lang w:val="en-US"/>
        </w:rPr>
        <w:t xml:space="preserve"> to </w:t>
      </w:r>
      <w:r w:rsidR="00792490">
        <w:rPr>
          <w:lang w:val="en-US"/>
        </w:rPr>
        <w:t>strengthen</w:t>
      </w:r>
      <w:r w:rsidRPr="007333F6">
        <w:rPr>
          <w:lang w:val="en-US"/>
        </w:rPr>
        <w:t xml:space="preserve"> their conceptual and practical knowledge in this specific thematic area. Th</w:t>
      </w:r>
      <w:r w:rsidR="00792490">
        <w:rPr>
          <w:lang w:val="en-US"/>
        </w:rPr>
        <w:t>e webinar session</w:t>
      </w:r>
      <w:r w:rsidRPr="007333F6">
        <w:rPr>
          <w:lang w:val="en-US"/>
        </w:rPr>
        <w:t xml:space="preserve"> will </w:t>
      </w:r>
      <w:r w:rsidR="00BA2063">
        <w:rPr>
          <w:lang w:val="en-US"/>
        </w:rPr>
        <w:t>introduce</w:t>
      </w:r>
      <w:r>
        <w:rPr>
          <w:lang w:val="en-US"/>
        </w:rPr>
        <w:t xml:space="preserve"> </w:t>
      </w:r>
      <w:r w:rsidRPr="007333F6">
        <w:rPr>
          <w:lang w:val="en-US"/>
        </w:rPr>
        <w:t>the</w:t>
      </w:r>
      <w:r>
        <w:rPr>
          <w:lang w:val="en-US"/>
        </w:rPr>
        <w:t xml:space="preserve"> Guidance Note on </w:t>
      </w:r>
      <w:r w:rsidR="00D06866">
        <w:rPr>
          <w:lang w:val="en-US"/>
        </w:rPr>
        <w:t>s</w:t>
      </w:r>
      <w:r>
        <w:rPr>
          <w:lang w:val="en-US"/>
        </w:rPr>
        <w:t xml:space="preserve">afeguarding intangible cultural heritage in urban contexts, </w:t>
      </w:r>
      <w:r w:rsidR="00792490">
        <w:rPr>
          <w:lang w:val="en-US"/>
        </w:rPr>
        <w:t>present relevant</w:t>
      </w:r>
      <w:r>
        <w:rPr>
          <w:lang w:val="en-US"/>
        </w:rPr>
        <w:t xml:space="preserve"> </w:t>
      </w:r>
      <w:r w:rsidRPr="007333F6">
        <w:rPr>
          <w:lang w:val="en-US"/>
        </w:rPr>
        <w:t xml:space="preserve">training materials, and </w:t>
      </w:r>
      <w:r>
        <w:rPr>
          <w:lang w:val="en-US"/>
        </w:rPr>
        <w:t xml:space="preserve">provide an </w:t>
      </w:r>
      <w:r w:rsidRPr="007333F6">
        <w:rPr>
          <w:lang w:val="en-US"/>
        </w:rPr>
        <w:t xml:space="preserve">opportunity </w:t>
      </w:r>
      <w:r w:rsidR="00BA2063">
        <w:rPr>
          <w:lang w:val="en-US"/>
        </w:rPr>
        <w:t xml:space="preserve">for facilitators </w:t>
      </w:r>
      <w:r w:rsidRPr="007333F6">
        <w:rPr>
          <w:lang w:val="en-US"/>
        </w:rPr>
        <w:t xml:space="preserve">to </w:t>
      </w:r>
      <w:r w:rsidR="00792490">
        <w:rPr>
          <w:lang w:val="en-US"/>
        </w:rPr>
        <w:t>exchange</w:t>
      </w:r>
      <w:r w:rsidR="00792490" w:rsidRPr="007333F6">
        <w:rPr>
          <w:lang w:val="en-US"/>
        </w:rPr>
        <w:t xml:space="preserve"> </w:t>
      </w:r>
      <w:r w:rsidRPr="007333F6">
        <w:rPr>
          <w:lang w:val="en-US"/>
        </w:rPr>
        <w:t>experiences</w:t>
      </w:r>
      <w:r>
        <w:rPr>
          <w:lang w:val="en-US"/>
        </w:rPr>
        <w:t xml:space="preserve">. </w:t>
      </w:r>
      <w:r w:rsidR="00792490">
        <w:rPr>
          <w:lang w:val="en-US"/>
        </w:rPr>
        <w:t>The</w:t>
      </w:r>
      <w:r w:rsidRPr="00B726B8">
        <w:rPr>
          <w:lang w:val="en-US"/>
        </w:rPr>
        <w:t xml:space="preserve"> learning objectives are </w:t>
      </w:r>
      <w:r w:rsidR="00792490">
        <w:rPr>
          <w:lang w:val="en-US"/>
        </w:rPr>
        <w:t>the following</w:t>
      </w:r>
      <w:r w:rsidRPr="00B726B8">
        <w:rPr>
          <w:lang w:val="en-US"/>
        </w:rPr>
        <w:t>:</w:t>
      </w:r>
    </w:p>
    <w:p w14:paraId="1071E142" w14:textId="1B888AB7" w:rsidR="0050062D" w:rsidRPr="007333F6" w:rsidRDefault="00792490" w:rsidP="00792490">
      <w:pPr>
        <w:pStyle w:val="COMPara"/>
        <w:numPr>
          <w:ilvl w:val="0"/>
          <w:numId w:val="14"/>
        </w:numPr>
        <w:jc w:val="both"/>
        <w:rPr>
          <w:lang w:val="en-US"/>
        </w:rPr>
      </w:pPr>
      <w:r>
        <w:rPr>
          <w:lang w:val="en-US"/>
        </w:rPr>
        <w:t>F</w:t>
      </w:r>
      <w:r w:rsidR="0050062D" w:rsidRPr="007333F6">
        <w:rPr>
          <w:lang w:val="en-US"/>
        </w:rPr>
        <w:t>amiliari</w:t>
      </w:r>
      <w:r>
        <w:rPr>
          <w:lang w:val="en-US"/>
        </w:rPr>
        <w:t xml:space="preserve">ze participants with key concepts and guidance, notably </w:t>
      </w:r>
      <w:r w:rsidR="0050062D" w:rsidRPr="007333F6">
        <w:rPr>
          <w:lang w:val="en-US"/>
        </w:rPr>
        <w:t xml:space="preserve">the </w:t>
      </w:r>
      <w:r>
        <w:rPr>
          <w:lang w:val="en-US"/>
        </w:rPr>
        <w:t xml:space="preserve">UNESCO </w:t>
      </w:r>
      <w:r w:rsidR="0050062D" w:rsidRPr="007333F6">
        <w:rPr>
          <w:lang w:val="en-US"/>
        </w:rPr>
        <w:t xml:space="preserve">Guidance Note on </w:t>
      </w:r>
      <w:r w:rsidR="00BF4A97">
        <w:rPr>
          <w:lang w:val="en-US"/>
        </w:rPr>
        <w:t>s</w:t>
      </w:r>
      <w:r w:rsidR="0050062D">
        <w:rPr>
          <w:lang w:val="en-US"/>
        </w:rPr>
        <w:t>afeguarding intangible cultural heritage in urban contexts</w:t>
      </w:r>
      <w:r w:rsidR="0050062D" w:rsidRPr="007333F6">
        <w:rPr>
          <w:lang w:val="en-US"/>
        </w:rPr>
        <w:t xml:space="preserve"> (202</w:t>
      </w:r>
      <w:r w:rsidR="0050062D">
        <w:rPr>
          <w:lang w:val="en-US"/>
        </w:rPr>
        <w:t>5</w:t>
      </w:r>
      <w:proofErr w:type="gramStart"/>
      <w:r w:rsidR="0050062D" w:rsidRPr="007333F6">
        <w:rPr>
          <w:lang w:val="en-US"/>
        </w:rPr>
        <w:t>)</w:t>
      </w:r>
      <w:r w:rsidR="003C7A41">
        <w:rPr>
          <w:lang w:val="en-US"/>
        </w:rPr>
        <w:t>;</w:t>
      </w:r>
      <w:proofErr w:type="gramEnd"/>
    </w:p>
    <w:p w14:paraId="29BC46DF" w14:textId="09B4CA2C" w:rsidR="0050062D" w:rsidRPr="007333F6" w:rsidRDefault="0050062D" w:rsidP="00792490">
      <w:pPr>
        <w:pStyle w:val="COMPara"/>
        <w:numPr>
          <w:ilvl w:val="0"/>
          <w:numId w:val="14"/>
        </w:numPr>
        <w:jc w:val="both"/>
        <w:rPr>
          <w:lang w:val="en-US"/>
        </w:rPr>
      </w:pPr>
      <w:r>
        <w:rPr>
          <w:lang w:val="en-US"/>
        </w:rPr>
        <w:t>Explore the r</w:t>
      </w:r>
      <w:r w:rsidRPr="00490966">
        <w:rPr>
          <w:lang w:val="en-US"/>
        </w:rPr>
        <w:t xml:space="preserve">elationship </w:t>
      </w:r>
      <w:r w:rsidR="00BA2063">
        <w:rPr>
          <w:lang w:val="en-US"/>
        </w:rPr>
        <w:t>between</w:t>
      </w:r>
      <w:r>
        <w:rPr>
          <w:lang w:val="en-US"/>
        </w:rPr>
        <w:t xml:space="preserve"> intangible cultural heritage</w:t>
      </w:r>
      <w:r w:rsidRPr="00490966">
        <w:rPr>
          <w:lang w:val="en-US"/>
        </w:rPr>
        <w:t xml:space="preserve"> and urban planning structures</w:t>
      </w:r>
      <w:r w:rsidR="00792490">
        <w:rPr>
          <w:lang w:val="en-US"/>
        </w:rPr>
        <w:t xml:space="preserve">, including associated challenges and </w:t>
      </w:r>
      <w:r w:rsidRPr="007333F6">
        <w:t xml:space="preserve">opportunities </w:t>
      </w:r>
      <w:r w:rsidR="00792490">
        <w:t>for</w:t>
      </w:r>
      <w:r w:rsidRPr="007333F6">
        <w:t xml:space="preserve"> safeguarding living </w:t>
      </w:r>
      <w:proofErr w:type="gramStart"/>
      <w:r w:rsidRPr="007333F6">
        <w:t>heritage</w:t>
      </w:r>
      <w:r w:rsidR="003C7A41">
        <w:t>;</w:t>
      </w:r>
      <w:proofErr w:type="gramEnd"/>
    </w:p>
    <w:p w14:paraId="571C6C4C" w14:textId="294D4F41" w:rsidR="0050062D" w:rsidRPr="007333F6" w:rsidRDefault="00792490" w:rsidP="00792490">
      <w:pPr>
        <w:pStyle w:val="COMPara"/>
        <w:numPr>
          <w:ilvl w:val="0"/>
          <w:numId w:val="14"/>
        </w:numPr>
        <w:jc w:val="both"/>
        <w:rPr>
          <w:lang w:val="en-US"/>
        </w:rPr>
      </w:pPr>
      <w:proofErr w:type="gramStart"/>
      <w:r>
        <w:rPr>
          <w:lang w:val="en-US"/>
        </w:rPr>
        <w:t>Introduce</w:t>
      </w:r>
      <w:proofErr w:type="gramEnd"/>
      <w:r>
        <w:rPr>
          <w:lang w:val="en-US"/>
        </w:rPr>
        <w:t xml:space="preserve"> </w:t>
      </w:r>
      <w:r w:rsidR="0050062D">
        <w:rPr>
          <w:lang w:val="en-US"/>
        </w:rPr>
        <w:t xml:space="preserve">practical </w:t>
      </w:r>
      <w:r w:rsidR="0050062D" w:rsidRPr="00F9705A">
        <w:rPr>
          <w:lang w:val="en-US"/>
        </w:rPr>
        <w:t xml:space="preserve">tools </w:t>
      </w:r>
      <w:r>
        <w:rPr>
          <w:lang w:val="en-US"/>
        </w:rPr>
        <w:t>and f</w:t>
      </w:r>
      <w:r w:rsidR="0050062D" w:rsidRPr="007333F6">
        <w:rPr>
          <w:lang w:val="en-US"/>
        </w:rPr>
        <w:t>oster</w:t>
      </w:r>
      <w:r>
        <w:rPr>
          <w:lang w:val="en-US"/>
        </w:rPr>
        <w:t xml:space="preserve"> exchange among facilitators working </w:t>
      </w:r>
      <w:r w:rsidR="0050062D" w:rsidRPr="007333F6">
        <w:rPr>
          <w:lang w:val="en-US"/>
        </w:rPr>
        <w:t xml:space="preserve">on safeguarding living heritage in </w:t>
      </w:r>
      <w:r w:rsidR="0050062D">
        <w:rPr>
          <w:lang w:val="en-US"/>
        </w:rPr>
        <w:t xml:space="preserve">urban </w:t>
      </w:r>
      <w:r w:rsidR="0050062D" w:rsidRPr="007333F6">
        <w:rPr>
          <w:lang w:val="en-US"/>
        </w:rPr>
        <w:t>contexts.</w:t>
      </w:r>
    </w:p>
    <w:p w14:paraId="2BA1064C" w14:textId="4B917DF7" w:rsidR="00EE5D7D" w:rsidRPr="00875673" w:rsidRDefault="0015117E" w:rsidP="00792490">
      <w:pPr>
        <w:pStyle w:val="COMPara"/>
        <w:ind w:left="567" w:hanging="567"/>
        <w:jc w:val="both"/>
      </w:pPr>
      <w:r w:rsidRPr="00875673">
        <w:rPr>
          <w:lang w:val="en-US"/>
        </w:rPr>
        <w:t>This session is designed for</w:t>
      </w:r>
      <w:r w:rsidR="00CF6E68">
        <w:rPr>
          <w:lang w:val="en-US"/>
        </w:rPr>
        <w:t xml:space="preserve"> all</w:t>
      </w:r>
      <w:r w:rsidRPr="00875673">
        <w:rPr>
          <w:lang w:val="en-US"/>
        </w:rPr>
        <w:t xml:space="preserve"> facilitators</w:t>
      </w:r>
      <w:r w:rsidR="00CF6E68">
        <w:rPr>
          <w:lang w:val="en-US"/>
        </w:rPr>
        <w:t>,</w:t>
      </w:r>
      <w:r w:rsidRPr="00875673">
        <w:rPr>
          <w:lang w:val="en-US"/>
        </w:rPr>
        <w:t xml:space="preserve"> regardless of prior experience in </w:t>
      </w:r>
      <w:r w:rsidR="00CF6E68">
        <w:rPr>
          <w:lang w:val="en-US"/>
        </w:rPr>
        <w:t>urban contexts</w:t>
      </w:r>
      <w:r w:rsidRPr="00875673">
        <w:rPr>
          <w:lang w:val="en-US"/>
        </w:rPr>
        <w:t xml:space="preserve">. A short survey will be conducted before the training to collect </w:t>
      </w:r>
      <w:r w:rsidR="00CF6E68" w:rsidRPr="00875673">
        <w:rPr>
          <w:lang w:val="en-US"/>
        </w:rPr>
        <w:t>participants’</w:t>
      </w:r>
      <w:r w:rsidRPr="00875673">
        <w:rPr>
          <w:lang w:val="en-US"/>
        </w:rPr>
        <w:t xml:space="preserve"> examples and insights </w:t>
      </w:r>
      <w:proofErr w:type="gramStart"/>
      <w:r w:rsidRPr="00875673">
        <w:rPr>
          <w:lang w:val="en-US"/>
        </w:rPr>
        <w:t>from</w:t>
      </w:r>
      <w:proofErr w:type="gramEnd"/>
      <w:r w:rsidRPr="00875673">
        <w:rPr>
          <w:lang w:val="en-US"/>
        </w:rPr>
        <w:t xml:space="preserve"> their relevant experiences</w:t>
      </w:r>
      <w:r w:rsidR="00B51CDF" w:rsidRPr="00875673">
        <w:rPr>
          <w:lang w:val="en-US"/>
        </w:rPr>
        <w:t xml:space="preserve"> that may be shared during the session</w:t>
      </w:r>
      <w:r w:rsidRPr="00875673">
        <w:rPr>
          <w:lang w:val="en-US"/>
        </w:rPr>
        <w:t>.</w:t>
      </w:r>
      <w:r w:rsidR="00EE5D7D" w:rsidRPr="00875673">
        <w:rPr>
          <w:lang w:val="en-US"/>
        </w:rPr>
        <w:br w:type="page"/>
      </w:r>
    </w:p>
    <w:p w14:paraId="40303697" w14:textId="0DFF14D3" w:rsidR="005777E8" w:rsidRDefault="005777E8" w:rsidP="00357323">
      <w:pPr>
        <w:pStyle w:val="COMPara"/>
        <w:numPr>
          <w:ilvl w:val="0"/>
          <w:numId w:val="0"/>
        </w:numPr>
        <w:ind w:left="567" w:hanging="567"/>
        <w:jc w:val="both"/>
        <w:rPr>
          <w:b/>
          <w:bCs/>
        </w:rPr>
      </w:pPr>
      <w:r w:rsidRPr="00875673">
        <w:rPr>
          <w:b/>
          <w:bCs/>
        </w:rPr>
        <w:lastRenderedPageBreak/>
        <w:t>Agenda</w:t>
      </w:r>
    </w:p>
    <w:tbl>
      <w:tblPr>
        <w:tblStyle w:val="TableGrid"/>
        <w:tblW w:w="0" w:type="auto"/>
        <w:tblLook w:val="04A0" w:firstRow="1" w:lastRow="0" w:firstColumn="1" w:lastColumn="0" w:noHBand="0" w:noVBand="1"/>
      </w:tblPr>
      <w:tblGrid>
        <w:gridCol w:w="2547"/>
        <w:gridCol w:w="7081"/>
      </w:tblGrid>
      <w:tr w:rsidR="00847B41" w:rsidRPr="00334F4D" w14:paraId="6A1E69B6" w14:textId="77777777" w:rsidTr="00847B41">
        <w:tc>
          <w:tcPr>
            <w:tcW w:w="9628" w:type="dxa"/>
            <w:gridSpan w:val="2"/>
            <w:shd w:val="clear" w:color="auto" w:fill="B8CCE4" w:themeFill="accent1" w:themeFillTint="66"/>
          </w:tcPr>
          <w:p w14:paraId="6BC7C6B1" w14:textId="6A66374F" w:rsidR="00847B41" w:rsidRPr="00334F4D" w:rsidRDefault="00847B41" w:rsidP="00792490">
            <w:pPr>
              <w:pStyle w:val="COMPara"/>
              <w:numPr>
                <w:ilvl w:val="0"/>
                <w:numId w:val="0"/>
              </w:numPr>
              <w:spacing w:before="120"/>
              <w:ind w:left="567" w:hanging="567"/>
              <w:jc w:val="center"/>
              <w:rPr>
                <w:b/>
                <w:bCs/>
              </w:rPr>
            </w:pPr>
            <w:r>
              <w:rPr>
                <w:b/>
                <w:bCs/>
              </w:rPr>
              <w:t>Thursday, 23 April 2026</w:t>
            </w:r>
          </w:p>
        </w:tc>
      </w:tr>
      <w:tr w:rsidR="00847B41" w:rsidRPr="00334F4D" w14:paraId="0E4601D3" w14:textId="77777777" w:rsidTr="00847B41">
        <w:tc>
          <w:tcPr>
            <w:tcW w:w="2547" w:type="dxa"/>
          </w:tcPr>
          <w:p w14:paraId="2BCA6B9F" w14:textId="674121CD" w:rsidR="00847B41" w:rsidRPr="00334F4D" w:rsidRDefault="001875DB" w:rsidP="00792490">
            <w:pPr>
              <w:pStyle w:val="COMPara"/>
              <w:numPr>
                <w:ilvl w:val="0"/>
                <w:numId w:val="0"/>
              </w:numPr>
              <w:spacing w:before="120"/>
              <w:rPr>
                <w:rFonts w:eastAsia="SimSun"/>
                <w:lang w:eastAsia="zh-CN"/>
              </w:rPr>
            </w:pPr>
            <w:r>
              <w:rPr>
                <w:rFonts w:eastAsia="SimSun"/>
                <w:lang w:eastAsia="zh-CN"/>
              </w:rPr>
              <w:t>1.50</w:t>
            </w:r>
            <w:r w:rsidR="00847B41" w:rsidRPr="00334F4D">
              <w:rPr>
                <w:rFonts w:eastAsia="SimSun"/>
                <w:lang w:eastAsia="zh-CN"/>
              </w:rPr>
              <w:t xml:space="preserve"> </w:t>
            </w:r>
            <w:r w:rsidR="00847B41" w:rsidRPr="00334F4D">
              <w:t xml:space="preserve">– </w:t>
            </w:r>
            <w:r>
              <w:t>2.00</w:t>
            </w:r>
            <w:r w:rsidR="00847B41" w:rsidRPr="00334F4D">
              <w:rPr>
                <w:rFonts w:eastAsia="SimSun"/>
                <w:lang w:eastAsia="zh-CN"/>
              </w:rPr>
              <w:t xml:space="preserve"> </w:t>
            </w:r>
            <w:r w:rsidR="00847B41">
              <w:rPr>
                <w:rFonts w:eastAsia="SimSun"/>
                <w:lang w:eastAsia="zh-CN"/>
              </w:rPr>
              <w:t>p</w:t>
            </w:r>
            <w:r w:rsidR="00847B41" w:rsidRPr="00334F4D">
              <w:rPr>
                <w:rFonts w:eastAsia="SimSun"/>
                <w:lang w:eastAsia="zh-CN"/>
              </w:rPr>
              <w:t>.m.</w:t>
            </w:r>
          </w:p>
        </w:tc>
        <w:tc>
          <w:tcPr>
            <w:tcW w:w="7081" w:type="dxa"/>
          </w:tcPr>
          <w:p w14:paraId="0F8F79F2" w14:textId="0315BB16" w:rsidR="00847B41" w:rsidRPr="00334F4D" w:rsidRDefault="00C53186" w:rsidP="00792490">
            <w:pPr>
              <w:pStyle w:val="COMPara"/>
              <w:numPr>
                <w:ilvl w:val="0"/>
                <w:numId w:val="0"/>
              </w:numPr>
              <w:spacing w:before="120"/>
              <w:ind w:left="567" w:hanging="567"/>
              <w:jc w:val="both"/>
              <w:rPr>
                <w:rFonts w:eastAsia="SimSun"/>
                <w:lang w:eastAsia="zh-CN"/>
              </w:rPr>
            </w:pPr>
            <w:r>
              <w:rPr>
                <w:rFonts w:eastAsia="SimSun"/>
                <w:lang w:eastAsia="zh-CN"/>
              </w:rPr>
              <w:t>C</w:t>
            </w:r>
            <w:r w:rsidR="001875DB">
              <w:rPr>
                <w:rFonts w:eastAsia="SimSun"/>
                <w:lang w:eastAsia="zh-CN"/>
              </w:rPr>
              <w:t>onnection</w:t>
            </w:r>
            <w:r w:rsidR="001875DB" w:rsidRPr="00334F4D">
              <w:rPr>
                <w:rFonts w:eastAsia="SimSun"/>
                <w:lang w:eastAsia="zh-CN"/>
              </w:rPr>
              <w:t xml:space="preserve"> </w:t>
            </w:r>
            <w:r w:rsidR="00847B41" w:rsidRPr="00334F4D">
              <w:rPr>
                <w:rFonts w:eastAsia="SimSun"/>
                <w:lang w:eastAsia="zh-CN"/>
              </w:rPr>
              <w:t>of participants</w:t>
            </w:r>
          </w:p>
        </w:tc>
      </w:tr>
      <w:tr w:rsidR="00847B41" w:rsidRPr="00AF279F" w14:paraId="3E2C76AD" w14:textId="77777777" w:rsidTr="00847B41">
        <w:tc>
          <w:tcPr>
            <w:tcW w:w="2547" w:type="dxa"/>
          </w:tcPr>
          <w:p w14:paraId="6FB0064F" w14:textId="73B6F8CE" w:rsidR="00847B41" w:rsidRDefault="00847B41" w:rsidP="00792490">
            <w:pPr>
              <w:pStyle w:val="COMPara"/>
              <w:numPr>
                <w:ilvl w:val="0"/>
                <w:numId w:val="0"/>
              </w:numPr>
              <w:spacing w:before="120"/>
              <w:rPr>
                <w:rFonts w:eastAsia="SimSun"/>
                <w:lang w:eastAsia="zh-CN"/>
              </w:rPr>
            </w:pPr>
            <w:r>
              <w:rPr>
                <w:rFonts w:eastAsia="SimSun"/>
                <w:lang w:eastAsia="zh-CN"/>
              </w:rPr>
              <w:t>2.0</w:t>
            </w:r>
            <w:r w:rsidR="001875DB">
              <w:rPr>
                <w:rFonts w:eastAsia="SimSun"/>
                <w:lang w:eastAsia="zh-CN"/>
              </w:rPr>
              <w:t>0</w:t>
            </w:r>
            <w:r>
              <w:rPr>
                <w:rFonts w:eastAsia="SimSun"/>
                <w:lang w:eastAsia="zh-CN"/>
              </w:rPr>
              <w:t xml:space="preserve"> – 2.10 p.m.</w:t>
            </w:r>
          </w:p>
        </w:tc>
        <w:tc>
          <w:tcPr>
            <w:tcW w:w="7081" w:type="dxa"/>
          </w:tcPr>
          <w:p w14:paraId="15C67787" w14:textId="77777777" w:rsidR="00847B41" w:rsidRPr="00334F4D" w:rsidRDefault="00847B41" w:rsidP="00792490">
            <w:pPr>
              <w:pStyle w:val="COMPara"/>
              <w:numPr>
                <w:ilvl w:val="0"/>
                <w:numId w:val="0"/>
              </w:numPr>
              <w:spacing w:before="120"/>
              <w:ind w:left="567" w:hanging="567"/>
              <w:jc w:val="both"/>
              <w:rPr>
                <w:b/>
                <w:bCs/>
              </w:rPr>
            </w:pPr>
            <w:r w:rsidRPr="00334F4D">
              <w:rPr>
                <w:b/>
                <w:bCs/>
              </w:rPr>
              <w:t>Item 1: Opening</w:t>
            </w:r>
          </w:p>
          <w:p w14:paraId="79E42CBD" w14:textId="06665A9D" w:rsidR="00847B41" w:rsidRPr="00334F4D" w:rsidRDefault="00445647" w:rsidP="00792490">
            <w:pPr>
              <w:pStyle w:val="COMPara"/>
              <w:numPr>
                <w:ilvl w:val="0"/>
                <w:numId w:val="0"/>
              </w:numPr>
              <w:spacing w:before="120"/>
              <w:jc w:val="both"/>
            </w:pPr>
            <w:r>
              <w:t>Opening</w:t>
            </w:r>
            <w:r w:rsidR="00847B41" w:rsidRPr="00334F4D">
              <w:t xml:space="preserve"> remarks by </w:t>
            </w:r>
            <w:r w:rsidR="00EE3BEC">
              <w:t xml:space="preserve">Ms </w:t>
            </w:r>
            <w:r w:rsidR="00847B41" w:rsidRPr="00334F4D">
              <w:t xml:space="preserve">Fumiko Ohinata, Secretary of the 2003 Convention for the Safeguarding of the Intangible Cultural </w:t>
            </w:r>
            <w:r w:rsidR="00CF6E68">
              <w:t>H</w:t>
            </w:r>
            <w:r w:rsidR="00847B41" w:rsidRPr="00334F4D">
              <w:t>eritage</w:t>
            </w:r>
          </w:p>
          <w:p w14:paraId="4EEEE74E" w14:textId="4D73F16C" w:rsidR="00847B41" w:rsidRDefault="00847B41" w:rsidP="00792490">
            <w:pPr>
              <w:pStyle w:val="COMPara"/>
              <w:numPr>
                <w:ilvl w:val="0"/>
                <w:numId w:val="0"/>
              </w:numPr>
              <w:spacing w:before="120"/>
              <w:ind w:left="567" w:hanging="567"/>
              <w:jc w:val="both"/>
              <w:rPr>
                <w:rFonts w:eastAsia="SimSun"/>
                <w:lang w:eastAsia="zh-CN"/>
              </w:rPr>
            </w:pPr>
            <w:r>
              <w:t xml:space="preserve">Introduction and presentation of </w:t>
            </w:r>
            <w:r w:rsidR="00792490">
              <w:t xml:space="preserve">the session </w:t>
            </w:r>
            <w:r>
              <w:t>objectives</w:t>
            </w:r>
          </w:p>
        </w:tc>
      </w:tr>
      <w:tr w:rsidR="00847B41" w:rsidRPr="00C53186" w14:paraId="5FE7FCE6" w14:textId="77777777" w:rsidTr="00847B41">
        <w:tc>
          <w:tcPr>
            <w:tcW w:w="2547" w:type="dxa"/>
          </w:tcPr>
          <w:p w14:paraId="2EC0A504" w14:textId="3773B787" w:rsidR="00847B41" w:rsidRPr="00334F4D" w:rsidRDefault="00847B41" w:rsidP="00792490">
            <w:pPr>
              <w:pStyle w:val="COMPara"/>
              <w:numPr>
                <w:ilvl w:val="0"/>
                <w:numId w:val="0"/>
              </w:numPr>
              <w:spacing w:before="120"/>
              <w:ind w:left="567" w:hanging="567"/>
            </w:pPr>
            <w:r w:rsidRPr="00334F4D">
              <w:t>2.</w:t>
            </w:r>
            <w:r w:rsidR="00CF6E68">
              <w:t>10</w:t>
            </w:r>
            <w:r w:rsidRPr="00334F4D">
              <w:t xml:space="preserve"> – 2.1</w:t>
            </w:r>
            <w:r w:rsidR="00CF6E68">
              <w:t>5</w:t>
            </w:r>
            <w:r w:rsidRPr="00334F4D">
              <w:t xml:space="preserve"> p.m.</w:t>
            </w:r>
          </w:p>
        </w:tc>
        <w:tc>
          <w:tcPr>
            <w:tcW w:w="7081" w:type="dxa"/>
          </w:tcPr>
          <w:p w14:paraId="6FB723DE" w14:textId="74018D14" w:rsidR="00847B41" w:rsidRPr="00334F4D" w:rsidRDefault="00847B41" w:rsidP="00792490">
            <w:pPr>
              <w:pStyle w:val="COMPara"/>
              <w:numPr>
                <w:ilvl w:val="0"/>
                <w:numId w:val="0"/>
              </w:numPr>
              <w:spacing w:before="120"/>
              <w:jc w:val="both"/>
            </w:pPr>
            <w:r>
              <w:rPr>
                <w:b/>
                <w:bCs/>
              </w:rPr>
              <w:t xml:space="preserve">Zoom poll – </w:t>
            </w:r>
            <w:r w:rsidR="00792490">
              <w:rPr>
                <w:b/>
                <w:bCs/>
              </w:rPr>
              <w:t>opening</w:t>
            </w:r>
            <w:r>
              <w:rPr>
                <w:b/>
                <w:bCs/>
              </w:rPr>
              <w:t xml:space="preserve"> questions</w:t>
            </w:r>
          </w:p>
        </w:tc>
      </w:tr>
      <w:tr w:rsidR="00847B41" w:rsidRPr="00EE3BEC" w14:paraId="4A18FBC3" w14:textId="77777777" w:rsidTr="00847B41">
        <w:tc>
          <w:tcPr>
            <w:tcW w:w="2547" w:type="dxa"/>
          </w:tcPr>
          <w:p w14:paraId="0566E398" w14:textId="600CB8B4" w:rsidR="00847B41" w:rsidRPr="00334F4D" w:rsidRDefault="00847B41" w:rsidP="00792490">
            <w:pPr>
              <w:pStyle w:val="COMPara"/>
              <w:numPr>
                <w:ilvl w:val="0"/>
                <w:numId w:val="0"/>
              </w:numPr>
              <w:spacing w:before="120"/>
              <w:ind w:left="567" w:hanging="567"/>
            </w:pPr>
            <w:r w:rsidRPr="00334F4D">
              <w:t>2.</w:t>
            </w:r>
            <w:r>
              <w:t>1</w:t>
            </w:r>
            <w:r w:rsidR="00CF6E68">
              <w:t>5</w:t>
            </w:r>
            <w:r w:rsidRPr="00334F4D">
              <w:t xml:space="preserve"> – 2.</w:t>
            </w:r>
            <w:r>
              <w:t>3</w:t>
            </w:r>
            <w:r w:rsidR="00CF6E68">
              <w:t>5</w:t>
            </w:r>
            <w:r w:rsidRPr="00334F4D">
              <w:t xml:space="preserve"> p.m.</w:t>
            </w:r>
          </w:p>
        </w:tc>
        <w:tc>
          <w:tcPr>
            <w:tcW w:w="7081" w:type="dxa"/>
          </w:tcPr>
          <w:p w14:paraId="0DCB24D3" w14:textId="77B3056B" w:rsidR="00847B41" w:rsidRPr="00A85A0E" w:rsidRDefault="00847B41" w:rsidP="00792490">
            <w:pPr>
              <w:pStyle w:val="COMPara"/>
              <w:numPr>
                <w:ilvl w:val="0"/>
                <w:numId w:val="0"/>
              </w:numPr>
              <w:spacing w:before="120"/>
              <w:jc w:val="both"/>
              <w:rPr>
                <w:b/>
                <w:bCs/>
                <w:lang w:val="en-US"/>
              </w:rPr>
            </w:pPr>
            <w:r w:rsidRPr="00334F4D">
              <w:rPr>
                <w:b/>
                <w:bCs/>
              </w:rPr>
              <w:t xml:space="preserve">Item </w:t>
            </w:r>
            <w:r w:rsidR="00CF6E68">
              <w:rPr>
                <w:b/>
                <w:bCs/>
              </w:rPr>
              <w:t>2</w:t>
            </w:r>
            <w:r w:rsidRPr="00334F4D">
              <w:rPr>
                <w:b/>
                <w:bCs/>
              </w:rPr>
              <w:t xml:space="preserve">: </w:t>
            </w:r>
            <w:r w:rsidR="00A85A0E" w:rsidRPr="00A85A0E">
              <w:rPr>
                <w:b/>
                <w:bCs/>
              </w:rPr>
              <w:t>Guidance Note on safeguarding intangible cultural heritage in urban contexts</w:t>
            </w:r>
          </w:p>
          <w:p w14:paraId="5735E82D" w14:textId="790785DC" w:rsidR="00847B41" w:rsidRPr="00CF6E68" w:rsidRDefault="000210C3" w:rsidP="00792490">
            <w:pPr>
              <w:pStyle w:val="COMPara"/>
              <w:numPr>
                <w:ilvl w:val="0"/>
                <w:numId w:val="0"/>
              </w:numPr>
              <w:spacing w:before="120"/>
              <w:jc w:val="both"/>
            </w:pPr>
            <w:r>
              <w:t>Presentation</w:t>
            </w:r>
            <w:r w:rsidR="00CF6E68">
              <w:t xml:space="preserve"> by </w:t>
            </w:r>
            <w:r w:rsidR="00EE3BEC">
              <w:t xml:space="preserve">Ms </w:t>
            </w:r>
            <w:r w:rsidR="00CF6E68" w:rsidRPr="00CF6E68">
              <w:t>María Claudia López</w:t>
            </w:r>
            <w:r w:rsidR="00CF6E68">
              <w:t>, Facilitator</w:t>
            </w:r>
          </w:p>
        </w:tc>
      </w:tr>
      <w:tr w:rsidR="00847B41" w:rsidRPr="00AF279F" w14:paraId="09ABED83" w14:textId="77777777" w:rsidTr="00CF6E68">
        <w:trPr>
          <w:trHeight w:val="1389"/>
        </w:trPr>
        <w:tc>
          <w:tcPr>
            <w:tcW w:w="2547" w:type="dxa"/>
          </w:tcPr>
          <w:p w14:paraId="61DDEA21" w14:textId="1860ED0F" w:rsidR="00847B41" w:rsidRPr="00334F4D" w:rsidRDefault="00847B41" w:rsidP="00792490">
            <w:pPr>
              <w:pStyle w:val="COMPara"/>
              <w:numPr>
                <w:ilvl w:val="0"/>
                <w:numId w:val="0"/>
              </w:numPr>
              <w:spacing w:before="120"/>
              <w:ind w:left="567" w:hanging="567"/>
            </w:pPr>
            <w:r w:rsidRPr="00334F4D">
              <w:t>2.</w:t>
            </w:r>
            <w:r w:rsidR="00CF6E68">
              <w:t>35</w:t>
            </w:r>
            <w:r w:rsidRPr="00334F4D">
              <w:t xml:space="preserve"> – 3.</w:t>
            </w:r>
            <w:r w:rsidR="00CF6E68">
              <w:t>0</w:t>
            </w:r>
            <w:r w:rsidRPr="00334F4D">
              <w:t>0 p.m.</w:t>
            </w:r>
          </w:p>
        </w:tc>
        <w:tc>
          <w:tcPr>
            <w:tcW w:w="7081" w:type="dxa"/>
          </w:tcPr>
          <w:p w14:paraId="196BE761" w14:textId="3D0AC610" w:rsidR="00847B41" w:rsidRPr="00334F4D" w:rsidRDefault="00847B41" w:rsidP="00792490">
            <w:pPr>
              <w:pStyle w:val="COMPara"/>
              <w:numPr>
                <w:ilvl w:val="0"/>
                <w:numId w:val="0"/>
              </w:numPr>
              <w:spacing w:before="120"/>
              <w:jc w:val="both"/>
              <w:rPr>
                <w:b/>
                <w:bCs/>
              </w:rPr>
            </w:pPr>
            <w:r w:rsidRPr="00334F4D">
              <w:rPr>
                <w:b/>
                <w:bCs/>
              </w:rPr>
              <w:t xml:space="preserve">Item </w:t>
            </w:r>
            <w:r w:rsidR="00CF6E68">
              <w:rPr>
                <w:b/>
                <w:bCs/>
              </w:rPr>
              <w:t>3</w:t>
            </w:r>
            <w:r w:rsidRPr="00334F4D">
              <w:rPr>
                <w:b/>
                <w:bCs/>
              </w:rPr>
              <w:t xml:space="preserve">: </w:t>
            </w:r>
            <w:r w:rsidR="00E711B1">
              <w:rPr>
                <w:b/>
                <w:bCs/>
              </w:rPr>
              <w:t>A p</w:t>
            </w:r>
            <w:r w:rsidR="00CF6E68">
              <w:rPr>
                <w:b/>
                <w:bCs/>
              </w:rPr>
              <w:t>ractical approach to safeguarding intangible cultural heritage in urban contexts – Part I</w:t>
            </w:r>
          </w:p>
          <w:p w14:paraId="6F2215D1" w14:textId="449D0C82" w:rsidR="00847B41" w:rsidRPr="00334F4D" w:rsidRDefault="00E711B1" w:rsidP="00792490">
            <w:pPr>
              <w:pStyle w:val="COMPara"/>
              <w:numPr>
                <w:ilvl w:val="0"/>
                <w:numId w:val="0"/>
              </w:numPr>
              <w:spacing w:before="120"/>
              <w:jc w:val="both"/>
            </w:pPr>
            <w:r>
              <w:t>Connecting the structures of urban planning to safeguarding intangible cultural heritage</w:t>
            </w:r>
            <w:r w:rsidR="00CF6E68">
              <w:t xml:space="preserve"> </w:t>
            </w:r>
          </w:p>
        </w:tc>
      </w:tr>
      <w:tr w:rsidR="00CF6E68" w:rsidRPr="00AF279F" w14:paraId="6E0438E6" w14:textId="77777777" w:rsidTr="00CF6E68">
        <w:trPr>
          <w:trHeight w:val="894"/>
        </w:trPr>
        <w:tc>
          <w:tcPr>
            <w:tcW w:w="2547" w:type="dxa"/>
          </w:tcPr>
          <w:p w14:paraId="628DE5F9" w14:textId="57F5A85F" w:rsidR="00CF6E68" w:rsidRPr="00CF6E68" w:rsidRDefault="00CF6E68" w:rsidP="00792490">
            <w:pPr>
              <w:pStyle w:val="COMPara"/>
              <w:numPr>
                <w:ilvl w:val="0"/>
                <w:numId w:val="0"/>
              </w:numPr>
              <w:spacing w:before="120"/>
              <w:ind w:left="567" w:hanging="567"/>
              <w:rPr>
                <w:lang w:val="en-US"/>
              </w:rPr>
            </w:pPr>
            <w:r w:rsidRPr="00CF6E68">
              <w:rPr>
                <w:lang w:val="en-US"/>
              </w:rPr>
              <w:t>3.00 – 3.</w:t>
            </w:r>
            <w:r w:rsidR="00956784">
              <w:rPr>
                <w:lang w:val="en-US"/>
              </w:rPr>
              <w:t>3</w:t>
            </w:r>
            <w:r w:rsidRPr="00CF6E68">
              <w:rPr>
                <w:lang w:val="en-US"/>
              </w:rPr>
              <w:t>0 p.m.</w:t>
            </w:r>
          </w:p>
        </w:tc>
        <w:tc>
          <w:tcPr>
            <w:tcW w:w="7081" w:type="dxa"/>
          </w:tcPr>
          <w:p w14:paraId="3737BBAB" w14:textId="16110C99" w:rsidR="00CF6E68" w:rsidRPr="00CF6E68" w:rsidRDefault="00CF6E68" w:rsidP="00792490">
            <w:pPr>
              <w:pStyle w:val="COMPara"/>
              <w:numPr>
                <w:ilvl w:val="0"/>
                <w:numId w:val="0"/>
              </w:numPr>
              <w:spacing w:before="120"/>
              <w:jc w:val="both"/>
              <w:rPr>
                <w:b/>
                <w:bCs/>
                <w:lang w:val="en-US"/>
              </w:rPr>
            </w:pPr>
            <w:r w:rsidRPr="00CF6E68">
              <w:rPr>
                <w:b/>
                <w:bCs/>
                <w:lang w:val="en-US"/>
              </w:rPr>
              <w:t xml:space="preserve">Experience sharing from </w:t>
            </w:r>
            <w:r w:rsidR="00EB375D">
              <w:rPr>
                <w:b/>
                <w:bCs/>
                <w:lang w:val="en-US"/>
              </w:rPr>
              <w:t xml:space="preserve">members of the </w:t>
            </w:r>
            <w:r w:rsidRPr="00CF6E68">
              <w:rPr>
                <w:b/>
                <w:bCs/>
                <w:lang w:val="en-US"/>
              </w:rPr>
              <w:t>facilitators</w:t>
            </w:r>
            <w:r w:rsidR="00EB375D">
              <w:rPr>
                <w:b/>
                <w:bCs/>
                <w:lang w:val="en-US"/>
              </w:rPr>
              <w:t xml:space="preserve"> network</w:t>
            </w:r>
          </w:p>
          <w:p w14:paraId="78BC61E3" w14:textId="1FB181D6" w:rsidR="00CF6E68" w:rsidRPr="00CF6E68" w:rsidRDefault="00CF6E68" w:rsidP="00792490">
            <w:pPr>
              <w:pStyle w:val="COMPara"/>
              <w:numPr>
                <w:ilvl w:val="0"/>
                <w:numId w:val="0"/>
              </w:numPr>
              <w:spacing w:before="120"/>
              <w:jc w:val="both"/>
              <w:rPr>
                <w:lang w:val="en-US"/>
              </w:rPr>
            </w:pPr>
            <w:r w:rsidRPr="00CF6E68">
              <w:rPr>
                <w:lang w:val="en-US"/>
              </w:rPr>
              <w:t xml:space="preserve">Moderated by </w:t>
            </w:r>
            <w:r w:rsidR="00CD15A7">
              <w:rPr>
                <w:lang w:val="en-US"/>
              </w:rPr>
              <w:t xml:space="preserve">Ms </w:t>
            </w:r>
            <w:r w:rsidR="005A1339">
              <w:rPr>
                <w:lang w:val="en-US"/>
              </w:rPr>
              <w:t xml:space="preserve">Susanne </w:t>
            </w:r>
            <w:r w:rsidR="005A1339" w:rsidRPr="00B546A6">
              <w:rPr>
                <w:lang w:val="en-US"/>
              </w:rPr>
              <w:t>Schn</w:t>
            </w:r>
            <w:r w:rsidR="005A1339">
              <w:rPr>
                <w:lang w:val="en-US"/>
              </w:rPr>
              <w:t>ü</w:t>
            </w:r>
            <w:r w:rsidR="005A1339" w:rsidRPr="00B546A6">
              <w:rPr>
                <w:lang w:val="en-US"/>
              </w:rPr>
              <w:t>ttgen</w:t>
            </w:r>
            <w:r w:rsidR="005A1339">
              <w:rPr>
                <w:lang w:val="en-US"/>
              </w:rPr>
              <w:t xml:space="preserve">, Head of the Capacity Building and Heritage Policy Unit, </w:t>
            </w:r>
            <w:r w:rsidR="005A1339" w:rsidRPr="00B546A6">
              <w:rPr>
                <w:lang w:val="en-US"/>
              </w:rPr>
              <w:t>Living Heritage Entity</w:t>
            </w:r>
          </w:p>
        </w:tc>
      </w:tr>
      <w:tr w:rsidR="00CF6E68" w:rsidRPr="00CF6E68" w14:paraId="7E55E121" w14:textId="77777777" w:rsidTr="00CF6E68">
        <w:trPr>
          <w:trHeight w:val="435"/>
        </w:trPr>
        <w:tc>
          <w:tcPr>
            <w:tcW w:w="2547" w:type="dxa"/>
            <w:shd w:val="clear" w:color="auto" w:fill="D9D9D9" w:themeFill="background1" w:themeFillShade="D9"/>
          </w:tcPr>
          <w:p w14:paraId="142520B5" w14:textId="212197B9" w:rsidR="00CF6E68" w:rsidRPr="00CF6E68" w:rsidRDefault="00CF6E68" w:rsidP="00792490">
            <w:pPr>
              <w:pStyle w:val="COMPara"/>
              <w:numPr>
                <w:ilvl w:val="0"/>
                <w:numId w:val="0"/>
              </w:numPr>
              <w:spacing w:before="120"/>
              <w:ind w:left="567" w:hanging="567"/>
              <w:rPr>
                <w:lang w:val="en-US"/>
              </w:rPr>
            </w:pPr>
            <w:r>
              <w:rPr>
                <w:lang w:val="en-US"/>
              </w:rPr>
              <w:t>3.</w:t>
            </w:r>
            <w:r w:rsidR="00956784">
              <w:rPr>
                <w:lang w:val="en-US"/>
              </w:rPr>
              <w:t>3</w:t>
            </w:r>
            <w:r>
              <w:rPr>
                <w:lang w:val="en-US"/>
              </w:rPr>
              <w:t>0 – 3.</w:t>
            </w:r>
            <w:r w:rsidR="00956784">
              <w:rPr>
                <w:lang w:val="en-US"/>
              </w:rPr>
              <w:t>4</w:t>
            </w:r>
            <w:r>
              <w:rPr>
                <w:lang w:val="en-US"/>
              </w:rPr>
              <w:t>0 p.m.</w:t>
            </w:r>
          </w:p>
        </w:tc>
        <w:tc>
          <w:tcPr>
            <w:tcW w:w="7081" w:type="dxa"/>
            <w:shd w:val="clear" w:color="auto" w:fill="D9D9D9" w:themeFill="background1" w:themeFillShade="D9"/>
          </w:tcPr>
          <w:p w14:paraId="6F64852C" w14:textId="7C05E750" w:rsidR="00CF6E68" w:rsidRPr="00D676E5" w:rsidRDefault="00CF6E68" w:rsidP="00792490">
            <w:pPr>
              <w:pStyle w:val="COMPara"/>
              <w:numPr>
                <w:ilvl w:val="0"/>
                <w:numId w:val="0"/>
              </w:numPr>
              <w:spacing w:before="120"/>
              <w:jc w:val="both"/>
              <w:rPr>
                <w:i/>
                <w:iCs/>
                <w:lang w:val="en-US"/>
              </w:rPr>
            </w:pPr>
            <w:r w:rsidRPr="00D676E5">
              <w:rPr>
                <w:i/>
                <w:iCs/>
                <w:lang w:val="en-US"/>
              </w:rPr>
              <w:t>Break</w:t>
            </w:r>
            <w:r w:rsidR="00D676E5">
              <w:rPr>
                <w:i/>
                <w:iCs/>
                <w:lang w:val="en-US"/>
              </w:rPr>
              <w:t xml:space="preserve"> (10 mins)</w:t>
            </w:r>
          </w:p>
        </w:tc>
      </w:tr>
      <w:tr w:rsidR="00847B41" w:rsidRPr="00C53186" w14:paraId="5008FAF7" w14:textId="77777777" w:rsidTr="00847B41">
        <w:trPr>
          <w:trHeight w:val="1074"/>
        </w:trPr>
        <w:tc>
          <w:tcPr>
            <w:tcW w:w="2547" w:type="dxa"/>
          </w:tcPr>
          <w:p w14:paraId="23C3745D" w14:textId="20C65792" w:rsidR="00847B41" w:rsidRPr="00334F4D" w:rsidRDefault="00847B41" w:rsidP="00792490">
            <w:pPr>
              <w:pStyle w:val="COMPara"/>
              <w:numPr>
                <w:ilvl w:val="0"/>
                <w:numId w:val="0"/>
              </w:numPr>
              <w:spacing w:before="120"/>
              <w:ind w:left="567" w:hanging="567"/>
            </w:pPr>
            <w:r>
              <w:t>3.</w:t>
            </w:r>
            <w:r w:rsidR="00956784">
              <w:t>4</w:t>
            </w:r>
            <w:r>
              <w:t xml:space="preserve">0 </w:t>
            </w:r>
            <w:r w:rsidRPr="00334F4D">
              <w:t>–</w:t>
            </w:r>
            <w:r>
              <w:t xml:space="preserve"> 4.1</w:t>
            </w:r>
            <w:r w:rsidR="003C7A41">
              <w:t>0</w:t>
            </w:r>
            <w:r>
              <w:t xml:space="preserve"> p.m.</w:t>
            </w:r>
          </w:p>
        </w:tc>
        <w:tc>
          <w:tcPr>
            <w:tcW w:w="7081" w:type="dxa"/>
          </w:tcPr>
          <w:p w14:paraId="1C53C8FD" w14:textId="2D4FB919" w:rsidR="00847B41" w:rsidRPr="00D56B62" w:rsidRDefault="00847B41" w:rsidP="00792490">
            <w:pPr>
              <w:pStyle w:val="COMPara"/>
              <w:numPr>
                <w:ilvl w:val="0"/>
                <w:numId w:val="0"/>
              </w:numPr>
              <w:spacing w:before="120"/>
              <w:jc w:val="both"/>
              <w:rPr>
                <w:b/>
                <w:bCs/>
              </w:rPr>
            </w:pPr>
            <w:r w:rsidRPr="00D56B62">
              <w:rPr>
                <w:b/>
                <w:bCs/>
              </w:rPr>
              <w:t xml:space="preserve">Item </w:t>
            </w:r>
            <w:r w:rsidR="00060E4F">
              <w:rPr>
                <w:b/>
                <w:bCs/>
              </w:rPr>
              <w:t>4</w:t>
            </w:r>
            <w:r w:rsidRPr="00D56B62">
              <w:rPr>
                <w:b/>
                <w:bCs/>
              </w:rPr>
              <w:t xml:space="preserve">: </w:t>
            </w:r>
            <w:r w:rsidR="00E711B1">
              <w:rPr>
                <w:b/>
                <w:bCs/>
              </w:rPr>
              <w:t>A p</w:t>
            </w:r>
            <w:r w:rsidR="00D676E5">
              <w:rPr>
                <w:b/>
                <w:bCs/>
              </w:rPr>
              <w:t xml:space="preserve">ractical approach to safeguarding intangible cultural heritage in urban contexts </w:t>
            </w:r>
            <w:r w:rsidR="00D676E5" w:rsidRPr="00357323">
              <w:rPr>
                <w:b/>
                <w:bCs/>
              </w:rPr>
              <w:t>– Part II</w:t>
            </w:r>
          </w:p>
          <w:p w14:paraId="55524409" w14:textId="486F1AD4" w:rsidR="00847B41" w:rsidRPr="00D56B62" w:rsidRDefault="00D676E5" w:rsidP="00792490">
            <w:pPr>
              <w:pStyle w:val="COMPara"/>
              <w:numPr>
                <w:ilvl w:val="0"/>
                <w:numId w:val="0"/>
              </w:numPr>
              <w:spacing w:before="120"/>
              <w:jc w:val="both"/>
              <w:rPr>
                <w:b/>
                <w:bCs/>
              </w:rPr>
            </w:pPr>
            <w:r>
              <w:t>Methodologi</w:t>
            </w:r>
            <w:r w:rsidR="00E711B1">
              <w:t xml:space="preserve">es and </w:t>
            </w:r>
            <w:r>
              <w:t xml:space="preserve">tools </w:t>
            </w:r>
          </w:p>
        </w:tc>
      </w:tr>
      <w:tr w:rsidR="00D676E5" w:rsidRPr="00AF279F" w14:paraId="39AB350E" w14:textId="77777777" w:rsidTr="00CD5ACB">
        <w:trPr>
          <w:trHeight w:val="2964"/>
        </w:trPr>
        <w:tc>
          <w:tcPr>
            <w:tcW w:w="2547" w:type="dxa"/>
          </w:tcPr>
          <w:p w14:paraId="62C8D375" w14:textId="2C9A9563" w:rsidR="00D676E5" w:rsidRDefault="003C7A41" w:rsidP="00792490">
            <w:pPr>
              <w:pStyle w:val="COMPara"/>
              <w:numPr>
                <w:ilvl w:val="0"/>
                <w:numId w:val="0"/>
              </w:numPr>
              <w:spacing w:before="120"/>
              <w:ind w:left="567" w:hanging="567"/>
            </w:pPr>
            <w:r>
              <w:t>4</w:t>
            </w:r>
            <w:r w:rsidR="00D676E5">
              <w:t>.</w:t>
            </w:r>
            <w:r>
              <w:t>10</w:t>
            </w:r>
            <w:r w:rsidR="00D676E5">
              <w:t xml:space="preserve"> </w:t>
            </w:r>
            <w:r w:rsidR="00D676E5" w:rsidRPr="00334F4D">
              <w:t>–</w:t>
            </w:r>
            <w:r w:rsidR="00D676E5">
              <w:t xml:space="preserve"> 4.</w:t>
            </w:r>
            <w:r w:rsidR="00871F19">
              <w:t>5</w:t>
            </w:r>
            <w:r w:rsidR="00D676E5">
              <w:t>0 p.m.</w:t>
            </w:r>
          </w:p>
        </w:tc>
        <w:tc>
          <w:tcPr>
            <w:tcW w:w="7081" w:type="dxa"/>
          </w:tcPr>
          <w:p w14:paraId="02546839" w14:textId="493DF690" w:rsidR="00D676E5" w:rsidRPr="00D56B62" w:rsidRDefault="00D676E5" w:rsidP="00792490">
            <w:pPr>
              <w:pStyle w:val="COMPara"/>
              <w:numPr>
                <w:ilvl w:val="0"/>
                <w:numId w:val="0"/>
              </w:numPr>
              <w:spacing w:before="120"/>
              <w:jc w:val="both"/>
              <w:rPr>
                <w:b/>
                <w:bCs/>
              </w:rPr>
            </w:pPr>
            <w:r>
              <w:rPr>
                <w:b/>
                <w:bCs/>
              </w:rPr>
              <w:t>Item 5: Plenary discussion</w:t>
            </w:r>
          </w:p>
          <w:p w14:paraId="7F08B8D7" w14:textId="77CEBC84" w:rsidR="00D676E5" w:rsidRDefault="007356F1" w:rsidP="00792490">
            <w:pPr>
              <w:pStyle w:val="COMPara"/>
              <w:numPr>
                <w:ilvl w:val="0"/>
                <w:numId w:val="0"/>
              </w:numPr>
              <w:spacing w:before="120"/>
              <w:jc w:val="both"/>
              <w:rPr>
                <w:lang w:val="en-US"/>
              </w:rPr>
            </w:pPr>
            <w:r>
              <w:t>Co-m</w:t>
            </w:r>
            <w:r w:rsidR="00D676E5">
              <w:t xml:space="preserve">oderated by </w:t>
            </w:r>
            <w:r w:rsidR="00CD15A7">
              <w:t xml:space="preserve">Ms </w:t>
            </w:r>
            <w:r w:rsidR="00D676E5" w:rsidRPr="00CF6E68">
              <w:rPr>
                <w:lang w:val="en-US"/>
              </w:rPr>
              <w:t>María Claudia López</w:t>
            </w:r>
            <w:r>
              <w:rPr>
                <w:lang w:val="en-US"/>
              </w:rPr>
              <w:t xml:space="preserve"> and </w:t>
            </w:r>
            <w:proofErr w:type="spellStart"/>
            <w:r w:rsidR="00CD15A7">
              <w:rPr>
                <w:lang w:val="en-US"/>
              </w:rPr>
              <w:t>Mr</w:t>
            </w:r>
            <w:proofErr w:type="spellEnd"/>
            <w:r w:rsidR="00CD15A7">
              <w:rPr>
                <w:lang w:val="en-US"/>
              </w:rPr>
              <w:t xml:space="preserve"> </w:t>
            </w:r>
            <w:r w:rsidR="005A1339">
              <w:rPr>
                <w:lang w:val="en-US"/>
              </w:rPr>
              <w:t>Nicholas Tan</w:t>
            </w:r>
            <w:r>
              <w:rPr>
                <w:lang w:val="en-US"/>
              </w:rPr>
              <w:t xml:space="preserve">, </w:t>
            </w:r>
            <w:r w:rsidRPr="00B546A6">
              <w:rPr>
                <w:lang w:val="en-US"/>
              </w:rPr>
              <w:t>Living Heritage Entity</w:t>
            </w:r>
          </w:p>
          <w:p w14:paraId="59136A5A" w14:textId="0856C291" w:rsidR="00D676E5" w:rsidRPr="00D676E5" w:rsidRDefault="00D676E5" w:rsidP="00792490">
            <w:pPr>
              <w:pStyle w:val="COMPara"/>
              <w:numPr>
                <w:ilvl w:val="0"/>
                <w:numId w:val="0"/>
              </w:numPr>
              <w:spacing w:before="120"/>
              <w:jc w:val="both"/>
              <w:rPr>
                <w:u w:val="single"/>
                <w:lang w:val="en-US"/>
              </w:rPr>
            </w:pPr>
            <w:r>
              <w:rPr>
                <w:u w:val="single"/>
                <w:lang w:val="en-US"/>
              </w:rPr>
              <w:t>Guiding questions</w:t>
            </w:r>
            <w:r w:rsidRPr="00D676E5">
              <w:rPr>
                <w:u w:val="single"/>
                <w:lang w:val="en-US"/>
              </w:rPr>
              <w:t>:</w:t>
            </w:r>
          </w:p>
          <w:p w14:paraId="34DBA87F" w14:textId="54B192BF" w:rsidR="00D676E5" w:rsidRDefault="00D676E5" w:rsidP="00357323">
            <w:pPr>
              <w:pStyle w:val="ListParagraph"/>
              <w:numPr>
                <w:ilvl w:val="0"/>
                <w:numId w:val="37"/>
              </w:numPr>
              <w:spacing w:before="60" w:after="120" w:line="280" w:lineRule="atLeast"/>
              <w:ind w:left="406"/>
              <w:contextualSpacing w:val="0"/>
              <w:jc w:val="both"/>
              <w:rPr>
                <w:rFonts w:ascii="Arial" w:hAnsi="Arial" w:cs="Arial"/>
                <w:snapToGrid w:val="0"/>
                <w:sz w:val="22"/>
                <w:szCs w:val="22"/>
                <w:lang w:val="en-US" w:eastAsia="en-US"/>
              </w:rPr>
            </w:pPr>
            <w:r w:rsidRPr="00D676E5">
              <w:rPr>
                <w:rFonts w:ascii="Arial" w:hAnsi="Arial" w:cs="Arial"/>
                <w:snapToGrid w:val="0"/>
                <w:sz w:val="22"/>
                <w:szCs w:val="22"/>
                <w:lang w:val="en-US" w:eastAsia="en-US"/>
              </w:rPr>
              <w:t>Are you aware of any concrete urban planning measures to safeguard living heritage</w:t>
            </w:r>
            <w:r w:rsidR="00EB6260">
              <w:rPr>
                <w:rFonts w:ascii="Arial" w:hAnsi="Arial" w:cs="Arial"/>
                <w:snapToGrid w:val="0"/>
                <w:sz w:val="22"/>
                <w:szCs w:val="22"/>
                <w:lang w:val="en-US" w:eastAsia="en-US"/>
              </w:rPr>
              <w:t xml:space="preserve"> (e.g. </w:t>
            </w:r>
            <w:r w:rsidRPr="00D676E5">
              <w:rPr>
                <w:rFonts w:ascii="Arial" w:hAnsi="Arial" w:cs="Arial"/>
                <w:snapToGrid w:val="0"/>
                <w:sz w:val="22"/>
                <w:szCs w:val="22"/>
                <w:lang w:val="en-US" w:eastAsia="en-US"/>
              </w:rPr>
              <w:t>physical interventions, works, infrastructure, legal provisions, impact studies, incentives</w:t>
            </w:r>
            <w:r w:rsidR="00EB6260">
              <w:rPr>
                <w:rFonts w:ascii="Arial" w:hAnsi="Arial" w:cs="Arial"/>
                <w:snapToGrid w:val="0"/>
                <w:sz w:val="22"/>
                <w:szCs w:val="22"/>
                <w:lang w:val="en-US" w:eastAsia="en-US"/>
              </w:rPr>
              <w:t xml:space="preserve"> or</w:t>
            </w:r>
            <w:r w:rsidRPr="00D676E5">
              <w:rPr>
                <w:rFonts w:ascii="Arial" w:hAnsi="Arial" w:cs="Arial"/>
                <w:snapToGrid w:val="0"/>
                <w:sz w:val="22"/>
                <w:szCs w:val="22"/>
                <w:lang w:val="en-US" w:eastAsia="en-US"/>
              </w:rPr>
              <w:t xml:space="preserve"> subsidies</w:t>
            </w:r>
            <w:r w:rsidR="00EB6260">
              <w:rPr>
                <w:rFonts w:ascii="Arial" w:hAnsi="Arial" w:cs="Arial"/>
                <w:snapToGrid w:val="0"/>
                <w:sz w:val="22"/>
                <w:szCs w:val="22"/>
                <w:lang w:val="en-US" w:eastAsia="en-US"/>
              </w:rPr>
              <w:t>)</w:t>
            </w:r>
            <w:r w:rsidR="00C62F70">
              <w:rPr>
                <w:rFonts w:ascii="Arial" w:hAnsi="Arial" w:cs="Arial"/>
                <w:snapToGrid w:val="0"/>
                <w:sz w:val="22"/>
                <w:szCs w:val="22"/>
                <w:lang w:val="en-US" w:eastAsia="en-US"/>
              </w:rPr>
              <w:t>?</w:t>
            </w:r>
          </w:p>
          <w:p w14:paraId="4D651388" w14:textId="43C29DC8" w:rsidR="00D676E5" w:rsidRPr="00D676E5" w:rsidRDefault="00D676E5" w:rsidP="00357323">
            <w:pPr>
              <w:pStyle w:val="ListParagraph"/>
              <w:numPr>
                <w:ilvl w:val="0"/>
                <w:numId w:val="37"/>
              </w:numPr>
              <w:spacing w:before="60" w:after="120" w:line="280" w:lineRule="atLeast"/>
              <w:ind w:left="406"/>
              <w:contextualSpacing w:val="0"/>
              <w:jc w:val="both"/>
              <w:rPr>
                <w:rFonts w:ascii="Arial" w:hAnsi="Arial" w:cs="Arial"/>
                <w:snapToGrid w:val="0"/>
                <w:sz w:val="22"/>
                <w:szCs w:val="22"/>
                <w:lang w:val="en-US" w:eastAsia="en-US"/>
              </w:rPr>
            </w:pPr>
            <w:r w:rsidRPr="00D676E5">
              <w:rPr>
                <w:rFonts w:ascii="Arial" w:hAnsi="Arial" w:cs="Arial"/>
                <w:snapToGrid w:val="0"/>
                <w:sz w:val="22"/>
                <w:szCs w:val="22"/>
                <w:lang w:val="en-US" w:eastAsia="en-US"/>
              </w:rPr>
              <w:t xml:space="preserve">What are the main challenges for facilitators working </w:t>
            </w:r>
            <w:r w:rsidR="00EB6260">
              <w:rPr>
                <w:rFonts w:ascii="Arial" w:hAnsi="Arial" w:cs="Arial"/>
                <w:snapToGrid w:val="0"/>
                <w:sz w:val="22"/>
                <w:szCs w:val="22"/>
                <w:lang w:val="en-US" w:eastAsia="en-US"/>
              </w:rPr>
              <w:t>on</w:t>
            </w:r>
            <w:r w:rsidRPr="00D676E5">
              <w:rPr>
                <w:rFonts w:ascii="Arial" w:hAnsi="Arial" w:cs="Arial"/>
                <w:snapToGrid w:val="0"/>
                <w:sz w:val="22"/>
                <w:szCs w:val="22"/>
                <w:lang w:val="en-US" w:eastAsia="en-US"/>
              </w:rPr>
              <w:t xml:space="preserve"> safeguarding </w:t>
            </w:r>
            <w:r w:rsidR="00EB6260">
              <w:rPr>
                <w:rFonts w:ascii="Arial" w:hAnsi="Arial" w:cs="Arial"/>
                <w:snapToGrid w:val="0"/>
                <w:sz w:val="22"/>
                <w:szCs w:val="22"/>
                <w:lang w:val="en-US" w:eastAsia="en-US"/>
              </w:rPr>
              <w:t xml:space="preserve">intangible cultural heritage </w:t>
            </w:r>
            <w:r w:rsidRPr="00D676E5">
              <w:rPr>
                <w:rFonts w:ascii="Arial" w:hAnsi="Arial" w:cs="Arial"/>
                <w:snapToGrid w:val="0"/>
                <w:sz w:val="22"/>
                <w:szCs w:val="22"/>
                <w:lang w:val="en-US" w:eastAsia="en-US"/>
              </w:rPr>
              <w:t>in urban contexts?</w:t>
            </w:r>
          </w:p>
        </w:tc>
      </w:tr>
      <w:tr w:rsidR="00D676E5" w:rsidRPr="006E21D6" w14:paraId="7A943156" w14:textId="77777777" w:rsidTr="00847B41">
        <w:tc>
          <w:tcPr>
            <w:tcW w:w="2547" w:type="dxa"/>
          </w:tcPr>
          <w:p w14:paraId="0390AC94" w14:textId="61159AB0" w:rsidR="00D676E5" w:rsidRPr="00334F4D" w:rsidRDefault="00D676E5" w:rsidP="00792490">
            <w:pPr>
              <w:pStyle w:val="COMPara"/>
              <w:numPr>
                <w:ilvl w:val="0"/>
                <w:numId w:val="0"/>
              </w:numPr>
              <w:spacing w:before="120"/>
              <w:ind w:left="567" w:hanging="567"/>
            </w:pPr>
            <w:r>
              <w:t>4</w:t>
            </w:r>
            <w:r w:rsidRPr="00334F4D">
              <w:t>.</w:t>
            </w:r>
            <w:r w:rsidR="00871F19">
              <w:t>5</w:t>
            </w:r>
            <w:r w:rsidRPr="00334F4D">
              <w:t xml:space="preserve">0 – </w:t>
            </w:r>
            <w:r>
              <w:t xml:space="preserve">5.00 </w:t>
            </w:r>
            <w:r w:rsidRPr="00334F4D">
              <w:t>p.m.</w:t>
            </w:r>
          </w:p>
        </w:tc>
        <w:tc>
          <w:tcPr>
            <w:tcW w:w="7081" w:type="dxa"/>
          </w:tcPr>
          <w:p w14:paraId="10FAA4E2" w14:textId="30A8193A" w:rsidR="00D676E5" w:rsidRDefault="00871F19" w:rsidP="00792490">
            <w:pPr>
              <w:pStyle w:val="COMPara"/>
              <w:numPr>
                <w:ilvl w:val="0"/>
                <w:numId w:val="0"/>
              </w:numPr>
              <w:spacing w:before="120"/>
              <w:ind w:left="567" w:hanging="567"/>
              <w:jc w:val="both"/>
              <w:rPr>
                <w:b/>
                <w:bCs/>
              </w:rPr>
            </w:pPr>
            <w:r>
              <w:rPr>
                <w:b/>
                <w:bCs/>
              </w:rPr>
              <w:t>Closing</w:t>
            </w:r>
          </w:p>
        </w:tc>
      </w:tr>
    </w:tbl>
    <w:p w14:paraId="4F62F652" w14:textId="73DF8EE4" w:rsidR="00520908" w:rsidRDefault="00520908" w:rsidP="00357323">
      <w:pPr>
        <w:spacing w:after="120"/>
        <w:rPr>
          <w:lang w:val="en-GB"/>
        </w:rPr>
      </w:pPr>
    </w:p>
    <w:p w14:paraId="5EDBF270" w14:textId="77777777" w:rsidR="00D676E5" w:rsidRDefault="00D676E5" w:rsidP="00357323">
      <w:pPr>
        <w:spacing w:after="120"/>
        <w:rPr>
          <w:lang w:val="en-GB"/>
        </w:rPr>
      </w:pPr>
    </w:p>
    <w:p w14:paraId="4A53AEC7" w14:textId="77777777" w:rsidR="00D676E5" w:rsidRDefault="00D676E5" w:rsidP="00357323">
      <w:pPr>
        <w:spacing w:after="120"/>
        <w:rPr>
          <w:lang w:val="en-GB"/>
        </w:rPr>
      </w:pPr>
    </w:p>
    <w:p w14:paraId="437ACD14" w14:textId="77777777" w:rsidR="00D676E5" w:rsidRDefault="00D676E5" w:rsidP="00357323">
      <w:pPr>
        <w:spacing w:after="120"/>
        <w:rPr>
          <w:lang w:val="en-GB"/>
        </w:rPr>
      </w:pPr>
    </w:p>
    <w:p w14:paraId="70367343" w14:textId="5123029F" w:rsidR="00D676E5" w:rsidRPr="00D676E5" w:rsidRDefault="00D676E5" w:rsidP="00357323">
      <w:pPr>
        <w:pStyle w:val="COMPara"/>
        <w:keepNext/>
        <w:numPr>
          <w:ilvl w:val="0"/>
          <w:numId w:val="0"/>
        </w:numPr>
        <w:spacing w:before="240"/>
        <w:jc w:val="both"/>
        <w:rPr>
          <w:rFonts w:eastAsiaTheme="minorEastAsia"/>
          <w:lang w:eastAsia="ko-KR"/>
        </w:rPr>
      </w:pPr>
      <w:r w:rsidRPr="00D676E5">
        <w:rPr>
          <w:b/>
          <w:bCs/>
        </w:rPr>
        <w:lastRenderedPageBreak/>
        <w:t>List of references</w:t>
      </w:r>
    </w:p>
    <w:tbl>
      <w:tblPr>
        <w:tblStyle w:val="TableGrid"/>
        <w:tblW w:w="9796" w:type="dxa"/>
        <w:tblLayout w:type="fixed"/>
        <w:tblLook w:val="04A0" w:firstRow="1" w:lastRow="0" w:firstColumn="1" w:lastColumn="0" w:noHBand="0" w:noVBand="1"/>
      </w:tblPr>
      <w:tblGrid>
        <w:gridCol w:w="3955"/>
        <w:gridCol w:w="5841"/>
      </w:tblGrid>
      <w:tr w:rsidR="00D676E5" w:rsidRPr="007C32EA" w14:paraId="178DB0A2" w14:textId="77777777" w:rsidTr="0089649A">
        <w:trPr>
          <w:trHeight w:val="454"/>
        </w:trPr>
        <w:tc>
          <w:tcPr>
            <w:tcW w:w="9796" w:type="dxa"/>
            <w:gridSpan w:val="2"/>
            <w:shd w:val="clear" w:color="auto" w:fill="F2F2F2" w:themeFill="background1" w:themeFillShade="F2"/>
          </w:tcPr>
          <w:p w14:paraId="045DA4F3" w14:textId="77777777" w:rsidR="00D676E5" w:rsidRPr="00081A71" w:rsidRDefault="00D676E5" w:rsidP="00792490">
            <w:pPr>
              <w:pStyle w:val="1GAPara"/>
              <w:keepNext/>
              <w:spacing w:before="120"/>
              <w:ind w:left="0" w:firstLine="0"/>
              <w:rPr>
                <w:rFonts w:eastAsiaTheme="minorEastAsia"/>
                <w:lang w:eastAsia="ko-KR"/>
              </w:rPr>
            </w:pPr>
            <w:r>
              <w:rPr>
                <w:rFonts w:eastAsiaTheme="minorEastAsia"/>
                <w:lang w:eastAsia="ko-KR"/>
              </w:rPr>
              <w:t>Reference documents</w:t>
            </w:r>
          </w:p>
        </w:tc>
      </w:tr>
      <w:tr w:rsidR="00D676E5" w:rsidRPr="00AF279F" w14:paraId="5B6AC954" w14:textId="77777777" w:rsidTr="0089649A">
        <w:trPr>
          <w:trHeight w:val="454"/>
        </w:trPr>
        <w:tc>
          <w:tcPr>
            <w:tcW w:w="3955" w:type="dxa"/>
          </w:tcPr>
          <w:p w14:paraId="31BDECBA" w14:textId="77777777" w:rsidR="00D676E5" w:rsidRPr="00081A71" w:rsidRDefault="00D676E5" w:rsidP="00792490">
            <w:pPr>
              <w:pStyle w:val="1GAPara"/>
              <w:keepNext/>
              <w:spacing w:before="120"/>
              <w:ind w:left="0" w:firstLine="0"/>
              <w:rPr>
                <w:rFonts w:eastAsiaTheme="minorEastAsia"/>
                <w:lang w:eastAsia="ko-KR"/>
              </w:rPr>
            </w:pPr>
            <w:r w:rsidRPr="00081A71">
              <w:rPr>
                <w:rFonts w:eastAsiaTheme="minorEastAsia"/>
                <w:lang w:eastAsia="ko-KR"/>
              </w:rPr>
              <w:t>Basic Texts of the 2003 Convention (202</w:t>
            </w:r>
            <w:r>
              <w:rPr>
                <w:rFonts w:eastAsiaTheme="minorEastAsia"/>
                <w:lang w:eastAsia="ko-KR"/>
              </w:rPr>
              <w:t>4</w:t>
            </w:r>
            <w:r w:rsidRPr="00081A71">
              <w:rPr>
                <w:rFonts w:eastAsiaTheme="minorEastAsia"/>
                <w:lang w:eastAsia="ko-KR"/>
              </w:rPr>
              <w:t xml:space="preserve"> Edition)</w:t>
            </w:r>
          </w:p>
        </w:tc>
        <w:tc>
          <w:tcPr>
            <w:tcW w:w="5841" w:type="dxa"/>
            <w:vAlign w:val="center"/>
          </w:tcPr>
          <w:p w14:paraId="5E2F660C" w14:textId="77777777" w:rsidR="00D676E5" w:rsidRPr="00C66E1D" w:rsidRDefault="00D676E5" w:rsidP="00792490">
            <w:pPr>
              <w:pStyle w:val="1GAPara"/>
              <w:keepNext/>
              <w:spacing w:before="120"/>
              <w:ind w:left="0" w:firstLine="0"/>
              <w:rPr>
                <w:rFonts w:eastAsiaTheme="minorEastAsia"/>
                <w:lang w:eastAsia="ko-KR"/>
              </w:rPr>
            </w:pPr>
            <w:hyperlink r:id="rId12" w:history="1">
              <w:r>
                <w:rPr>
                  <w:rStyle w:val="Hyperlink"/>
                  <w:rFonts w:eastAsiaTheme="minorEastAsia"/>
                  <w:lang w:eastAsia="ko-KR"/>
                </w:rPr>
                <w:t>https://ich.unesco.org/doc/src/2003_Convention_Basic_Texts_2024_version_EN.pdf</w:t>
              </w:r>
            </w:hyperlink>
            <w:r w:rsidRPr="00C66E1D">
              <w:rPr>
                <w:rFonts w:eastAsiaTheme="minorEastAsia"/>
                <w:lang w:eastAsia="ko-KR"/>
              </w:rPr>
              <w:t xml:space="preserve"> </w:t>
            </w:r>
          </w:p>
        </w:tc>
      </w:tr>
      <w:tr w:rsidR="00D676E5" w:rsidRPr="00AF279F" w14:paraId="3E7DD055" w14:textId="77777777" w:rsidTr="0089649A">
        <w:trPr>
          <w:trHeight w:val="454"/>
        </w:trPr>
        <w:tc>
          <w:tcPr>
            <w:tcW w:w="3955" w:type="dxa"/>
          </w:tcPr>
          <w:p w14:paraId="0612B09E" w14:textId="00491B42" w:rsidR="00D676E5" w:rsidRPr="00081A71" w:rsidRDefault="00D676E5" w:rsidP="00792490">
            <w:pPr>
              <w:pStyle w:val="1GAPara"/>
              <w:keepNext/>
              <w:spacing w:before="120"/>
              <w:ind w:left="0" w:firstLine="0"/>
              <w:rPr>
                <w:rFonts w:eastAsiaTheme="minorEastAsia"/>
                <w:lang w:eastAsia="ko-KR"/>
              </w:rPr>
            </w:pPr>
            <w:r>
              <w:rPr>
                <w:rFonts w:eastAsiaTheme="minorEastAsia"/>
                <w:lang w:eastAsia="ko-KR"/>
              </w:rPr>
              <w:t>G</w:t>
            </w:r>
            <w:r w:rsidRPr="00F7418E">
              <w:rPr>
                <w:rFonts w:eastAsiaTheme="minorEastAsia"/>
                <w:lang w:eastAsia="ko-KR"/>
              </w:rPr>
              <w:t xml:space="preserve">uidance </w:t>
            </w:r>
            <w:r>
              <w:rPr>
                <w:rFonts w:eastAsiaTheme="minorEastAsia"/>
                <w:lang w:eastAsia="ko-KR"/>
              </w:rPr>
              <w:t>N</w:t>
            </w:r>
            <w:r w:rsidRPr="00F7418E">
              <w:rPr>
                <w:rFonts w:eastAsiaTheme="minorEastAsia"/>
                <w:lang w:eastAsia="ko-KR"/>
              </w:rPr>
              <w:t>ote on safeguarding intangible cultural heritage in urban contexts</w:t>
            </w:r>
          </w:p>
        </w:tc>
        <w:tc>
          <w:tcPr>
            <w:tcW w:w="5841" w:type="dxa"/>
            <w:vAlign w:val="center"/>
          </w:tcPr>
          <w:p w14:paraId="160E5273" w14:textId="1DF917DF" w:rsidR="00D676E5" w:rsidRDefault="00871F19" w:rsidP="00792490">
            <w:pPr>
              <w:pStyle w:val="1GAPara"/>
              <w:keepNext/>
              <w:spacing w:before="120"/>
              <w:ind w:left="0" w:firstLine="0"/>
            </w:pPr>
            <w:hyperlink r:id="rId13" w:history="1">
              <w:r w:rsidRPr="00AB1390">
                <w:rPr>
                  <w:rStyle w:val="Hyperlink"/>
                </w:rPr>
                <w:t>https://ich.unesco.org/doc/src/72796-EN.pdf?t=1769168252</w:t>
              </w:r>
            </w:hyperlink>
          </w:p>
        </w:tc>
      </w:tr>
      <w:tr w:rsidR="00FF7F27" w:rsidRPr="00AF279F" w14:paraId="0420D202" w14:textId="77777777" w:rsidTr="0089649A">
        <w:trPr>
          <w:trHeight w:val="454"/>
        </w:trPr>
        <w:tc>
          <w:tcPr>
            <w:tcW w:w="3955" w:type="dxa"/>
          </w:tcPr>
          <w:p w14:paraId="5868114E" w14:textId="0DA88357" w:rsidR="00FF7F27" w:rsidRDefault="00FF7F27" w:rsidP="00792490">
            <w:pPr>
              <w:pStyle w:val="1GAPara"/>
              <w:keepNext/>
              <w:spacing w:before="120"/>
              <w:ind w:left="0" w:firstLine="0"/>
              <w:rPr>
                <w:rFonts w:eastAsiaTheme="minorEastAsia"/>
                <w:lang w:eastAsia="ko-KR"/>
              </w:rPr>
            </w:pPr>
            <w:r>
              <w:rPr>
                <w:rFonts w:eastAsiaTheme="minorEastAsia"/>
                <w:lang w:eastAsia="ko-KR"/>
              </w:rPr>
              <w:t>Webpage dedicated to the training-of-trainers for the project ‘</w:t>
            </w:r>
            <w:r w:rsidRPr="00FF7F27">
              <w:rPr>
                <w:rFonts w:eastAsiaTheme="minorEastAsia"/>
                <w:lang w:eastAsia="ko-KR"/>
              </w:rPr>
              <w:t>Strengthening Capacities for Resilient Communities through Sustainable Tourism and Heritage Safeguarding in Latin America and the Caribbean</w:t>
            </w:r>
            <w:r>
              <w:rPr>
                <w:rFonts w:eastAsiaTheme="minorEastAsia"/>
                <w:lang w:eastAsia="ko-KR"/>
              </w:rPr>
              <w:t>’</w:t>
            </w:r>
          </w:p>
        </w:tc>
        <w:tc>
          <w:tcPr>
            <w:tcW w:w="5841" w:type="dxa"/>
            <w:vAlign w:val="center"/>
          </w:tcPr>
          <w:p w14:paraId="2B6CB321" w14:textId="17802F6A" w:rsidR="00FF7F27" w:rsidRDefault="00FF7F27" w:rsidP="00792490">
            <w:pPr>
              <w:pStyle w:val="1GAPara"/>
              <w:keepNext/>
              <w:spacing w:before="120"/>
              <w:ind w:left="0" w:firstLine="0"/>
            </w:pPr>
            <w:hyperlink r:id="rId14" w:history="1">
              <w:r w:rsidRPr="00AB1390">
                <w:rPr>
                  <w:rStyle w:val="Hyperlink"/>
                </w:rPr>
                <w:t>https://ich.unesco.org/en/events/training-of-trainers-on-living-heritage-and-sustainable-urban-development-01026</w:t>
              </w:r>
            </w:hyperlink>
          </w:p>
        </w:tc>
      </w:tr>
      <w:tr w:rsidR="00D676E5" w:rsidRPr="00AF279F" w14:paraId="0823F1C8" w14:textId="77777777" w:rsidTr="0089649A">
        <w:trPr>
          <w:trHeight w:val="454"/>
        </w:trPr>
        <w:tc>
          <w:tcPr>
            <w:tcW w:w="3955" w:type="dxa"/>
          </w:tcPr>
          <w:p w14:paraId="2ABA75BB" w14:textId="77777777" w:rsidR="00D676E5" w:rsidRPr="00081A71" w:rsidRDefault="00D676E5" w:rsidP="00792490">
            <w:pPr>
              <w:pStyle w:val="1GAPara"/>
              <w:keepNext/>
              <w:spacing w:before="120"/>
              <w:ind w:left="0" w:firstLine="0"/>
              <w:rPr>
                <w:rFonts w:eastAsiaTheme="minorEastAsia"/>
                <w:lang w:eastAsia="ko-KR"/>
              </w:rPr>
            </w:pPr>
            <w:r w:rsidRPr="00081A71">
              <w:rPr>
                <w:rFonts w:eastAsiaTheme="minorEastAsia"/>
                <w:lang w:eastAsia="ko-KR"/>
              </w:rPr>
              <w:t>Webpage dedicated to the meeting</w:t>
            </w:r>
          </w:p>
        </w:tc>
        <w:tc>
          <w:tcPr>
            <w:tcW w:w="5841" w:type="dxa"/>
            <w:vAlign w:val="center"/>
          </w:tcPr>
          <w:p w14:paraId="4E435515" w14:textId="550E3956" w:rsidR="00D676E5" w:rsidRPr="007C32EA" w:rsidRDefault="006D7125" w:rsidP="00792490">
            <w:pPr>
              <w:pStyle w:val="1GAPara"/>
              <w:keepNext/>
              <w:spacing w:before="120"/>
              <w:ind w:left="0" w:firstLine="0"/>
              <w:rPr>
                <w:rFonts w:eastAsiaTheme="minorEastAsia"/>
                <w:lang w:eastAsia="ko-KR"/>
              </w:rPr>
            </w:pPr>
            <w:hyperlink r:id="rId15" w:history="1">
              <w:r w:rsidRPr="00333DD2">
                <w:rPr>
                  <w:rStyle w:val="Hyperlink"/>
                  <w:rFonts w:eastAsiaTheme="minorEastAsia"/>
                  <w:lang w:eastAsia="ko-KR"/>
                </w:rPr>
                <w:t>https://ich.unesco.org/en/events/01065</w:t>
              </w:r>
            </w:hyperlink>
          </w:p>
        </w:tc>
      </w:tr>
    </w:tbl>
    <w:p w14:paraId="54F7FB08" w14:textId="77777777" w:rsidR="00D676E5" w:rsidRPr="00875673" w:rsidRDefault="00D676E5" w:rsidP="00357323">
      <w:pPr>
        <w:spacing w:after="120"/>
        <w:rPr>
          <w:lang w:val="en-GB"/>
        </w:rPr>
      </w:pPr>
    </w:p>
    <w:sectPr w:rsidR="00D676E5" w:rsidRPr="00875673" w:rsidSect="00655736">
      <w:headerReference w:type="even" r:id="rId16"/>
      <w:headerReference w:type="default" r:id="rId17"/>
      <w:headerReference w:type="first" r:id="rId1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E677" w14:textId="77777777" w:rsidR="003B7522" w:rsidRDefault="003B7522" w:rsidP="00655736">
      <w:r>
        <w:separator/>
      </w:r>
    </w:p>
  </w:endnote>
  <w:endnote w:type="continuationSeparator" w:id="0">
    <w:p w14:paraId="58A2B457" w14:textId="77777777" w:rsidR="003B7522" w:rsidRDefault="003B752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3322" w14:textId="77777777" w:rsidR="003B7522" w:rsidRDefault="003B7522" w:rsidP="00655736">
      <w:r>
        <w:separator/>
      </w:r>
    </w:p>
  </w:footnote>
  <w:footnote w:type="continuationSeparator" w:id="0">
    <w:p w14:paraId="150646F0" w14:textId="77777777" w:rsidR="003B7522" w:rsidRDefault="003B752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2468E486" w:rsidR="00D95C4C" w:rsidRPr="00455314" w:rsidRDefault="00C5776D" w:rsidP="00C5776D">
    <w:pPr>
      <w:pStyle w:val="Header"/>
      <w:rPr>
        <w:rFonts w:ascii="Arial" w:hAnsi="Arial" w:cs="Arial"/>
        <w:lang w:val="es-ES"/>
      </w:rPr>
    </w:pPr>
    <w:r w:rsidRPr="00455314">
      <w:rPr>
        <w:rFonts w:ascii="Arial" w:hAnsi="Arial" w:cs="Arial"/>
        <w:sz w:val="20"/>
        <w:szCs w:val="20"/>
        <w:lang w:val="es-ES"/>
      </w:rPr>
      <w:t>L</w:t>
    </w:r>
    <w:r w:rsidR="00CB0542" w:rsidRPr="00455314">
      <w:rPr>
        <w:rFonts w:ascii="Arial" w:hAnsi="Arial" w:cs="Arial"/>
        <w:sz w:val="20"/>
        <w:szCs w:val="20"/>
        <w:lang w:val="es-ES"/>
      </w:rPr>
      <w:t>H</w:t>
    </w:r>
    <w:r w:rsidRPr="00455314">
      <w:rPr>
        <w:rFonts w:ascii="Arial" w:hAnsi="Arial" w:cs="Arial"/>
        <w:sz w:val="20"/>
        <w:szCs w:val="20"/>
        <w:lang w:val="es-ES"/>
      </w:rPr>
      <w:t>E</w:t>
    </w:r>
    <w:r w:rsidR="00CB0542" w:rsidRPr="00455314">
      <w:rPr>
        <w:rFonts w:ascii="Arial" w:hAnsi="Arial" w:cs="Arial"/>
        <w:sz w:val="20"/>
        <w:szCs w:val="20"/>
        <w:lang w:val="es-ES"/>
      </w:rPr>
      <w:t>/</w:t>
    </w:r>
    <w:r w:rsidR="00245680">
      <w:rPr>
        <w:rFonts w:ascii="Arial" w:hAnsi="Arial" w:cs="Arial"/>
        <w:sz w:val="20"/>
        <w:szCs w:val="20"/>
        <w:lang w:val="es-ES"/>
      </w:rPr>
      <w:t>26</w:t>
    </w:r>
    <w:r w:rsidR="00CB0542" w:rsidRPr="00455314">
      <w:rPr>
        <w:rFonts w:ascii="Arial" w:hAnsi="Arial" w:cs="Arial"/>
        <w:sz w:val="20"/>
        <w:szCs w:val="20"/>
        <w:lang w:val="es-ES"/>
      </w:rPr>
      <w:t>/</w:t>
    </w:r>
    <w:r w:rsidR="00CB7E90">
      <w:rPr>
        <w:rFonts w:ascii="Arial" w:hAnsi="Arial" w:cs="Arial"/>
        <w:sz w:val="20"/>
        <w:szCs w:val="20"/>
        <w:lang w:val="es-ES"/>
      </w:rPr>
      <w:t>TRA</w:t>
    </w:r>
    <w:r w:rsidR="0015117E">
      <w:rPr>
        <w:rFonts w:ascii="Arial" w:hAnsi="Arial" w:cs="Arial"/>
        <w:sz w:val="20"/>
        <w:szCs w:val="20"/>
        <w:lang w:val="es-ES"/>
      </w:rPr>
      <w:t xml:space="preserve"> </w:t>
    </w:r>
    <w:r w:rsidR="00245680">
      <w:rPr>
        <w:rFonts w:ascii="Arial" w:hAnsi="Arial" w:cs="Arial"/>
        <w:sz w:val="20"/>
        <w:szCs w:val="20"/>
        <w:lang w:val="es-ES"/>
      </w:rPr>
      <w:t>URB</w:t>
    </w:r>
    <w:r w:rsidR="004E1760" w:rsidRPr="00455314">
      <w:rPr>
        <w:rFonts w:ascii="Arial" w:hAnsi="Arial" w:cs="Arial"/>
        <w:sz w:val="20"/>
        <w:szCs w:val="20"/>
        <w:lang w:val="es-ES"/>
      </w:rPr>
      <w:t>/</w:t>
    </w:r>
    <w:r w:rsidR="0050062D">
      <w:rPr>
        <w:rFonts w:ascii="Arial" w:hAnsi="Arial" w:cs="Arial"/>
        <w:sz w:val="20"/>
        <w:szCs w:val="20"/>
        <w:lang w:val="es-ES"/>
      </w:rPr>
      <w:t>1</w:t>
    </w:r>
    <w:r w:rsidR="00E36641" w:rsidRPr="00455314">
      <w:rPr>
        <w:rFonts w:ascii="Arial" w:hAnsi="Arial" w:cs="Arial"/>
        <w:sz w:val="20"/>
        <w:szCs w:val="20"/>
        <w:lang w:val="es-ES"/>
      </w:rPr>
      <w:t xml:space="preserve"> </w:t>
    </w:r>
    <w:r w:rsidR="00D95C4C" w:rsidRPr="00455314">
      <w:rPr>
        <w:rFonts w:ascii="Arial" w:hAnsi="Arial" w:cs="Arial"/>
        <w:sz w:val="20"/>
        <w:szCs w:val="20"/>
        <w:lang w:val="es-ES"/>
      </w:rPr>
      <w:t xml:space="preserve">– page </w:t>
    </w:r>
    <w:r w:rsidR="00D95C4C" w:rsidRPr="00C23A97">
      <w:rPr>
        <w:rStyle w:val="PageNumber"/>
        <w:rFonts w:ascii="Arial" w:hAnsi="Arial" w:cs="Arial"/>
        <w:sz w:val="20"/>
        <w:szCs w:val="20"/>
        <w:lang w:val="en-GB"/>
      </w:rPr>
      <w:fldChar w:fldCharType="begin"/>
    </w:r>
    <w:r w:rsidR="00D95C4C" w:rsidRPr="00455314">
      <w:rPr>
        <w:rStyle w:val="PageNumber"/>
        <w:rFonts w:ascii="Arial" w:hAnsi="Arial" w:cs="Arial"/>
        <w:sz w:val="20"/>
        <w:szCs w:val="20"/>
        <w:lang w:val="es-ES"/>
      </w:rPr>
      <w:instrText xml:space="preserve"> PAGE </w:instrText>
    </w:r>
    <w:r w:rsidR="00D95C4C" w:rsidRPr="00C23A97">
      <w:rPr>
        <w:rStyle w:val="PageNumber"/>
        <w:rFonts w:ascii="Arial" w:hAnsi="Arial" w:cs="Arial"/>
        <w:sz w:val="20"/>
        <w:szCs w:val="20"/>
        <w:lang w:val="en-GB"/>
      </w:rPr>
      <w:fldChar w:fldCharType="separate"/>
    </w:r>
    <w:r w:rsidR="006E75EB" w:rsidRPr="00455314">
      <w:rPr>
        <w:rStyle w:val="PageNumber"/>
        <w:rFonts w:ascii="Arial" w:hAnsi="Arial" w:cs="Arial"/>
        <w:noProof/>
        <w:sz w:val="20"/>
        <w:szCs w:val="20"/>
        <w:lang w:val="es-ES"/>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287D1D4C" w:rsidR="00D95C4C" w:rsidRPr="00EE5D7D" w:rsidRDefault="00EE5D7D" w:rsidP="00EE5D7D">
    <w:pPr>
      <w:pStyle w:val="Header"/>
      <w:jc w:val="right"/>
      <w:rPr>
        <w:rFonts w:ascii="Arial" w:hAnsi="Arial" w:cs="Arial"/>
        <w:lang w:val="es-ES"/>
      </w:rPr>
    </w:pPr>
    <w:r w:rsidRPr="00455314">
      <w:rPr>
        <w:rFonts w:ascii="Arial" w:hAnsi="Arial" w:cs="Arial"/>
        <w:sz w:val="20"/>
        <w:szCs w:val="20"/>
        <w:lang w:val="es-ES"/>
      </w:rPr>
      <w:t>LHE/</w:t>
    </w:r>
    <w:r w:rsidR="00245680">
      <w:rPr>
        <w:rFonts w:ascii="Arial" w:hAnsi="Arial" w:cs="Arial"/>
        <w:sz w:val="20"/>
        <w:szCs w:val="20"/>
        <w:lang w:val="es-ES"/>
      </w:rPr>
      <w:t>26</w:t>
    </w:r>
    <w:r w:rsidRPr="00455314">
      <w:rPr>
        <w:rFonts w:ascii="Arial" w:hAnsi="Arial" w:cs="Arial"/>
        <w:sz w:val="20"/>
        <w:szCs w:val="20"/>
        <w:lang w:val="es-ES"/>
      </w:rPr>
      <w:t>/</w:t>
    </w:r>
    <w:r w:rsidR="00035B98">
      <w:rPr>
        <w:rFonts w:ascii="Arial" w:hAnsi="Arial" w:cs="Arial"/>
        <w:sz w:val="20"/>
        <w:szCs w:val="20"/>
        <w:lang w:val="es-ES"/>
      </w:rPr>
      <w:t xml:space="preserve">TRA </w:t>
    </w:r>
    <w:r w:rsidR="00245680">
      <w:rPr>
        <w:rFonts w:ascii="Arial" w:hAnsi="Arial" w:cs="Arial"/>
        <w:sz w:val="20"/>
        <w:szCs w:val="20"/>
        <w:lang w:val="es-ES"/>
      </w:rPr>
      <w:t>URB</w:t>
    </w:r>
    <w:r w:rsidRPr="00455314">
      <w:rPr>
        <w:rFonts w:ascii="Arial" w:hAnsi="Arial" w:cs="Arial"/>
        <w:sz w:val="20"/>
        <w:szCs w:val="20"/>
        <w:lang w:val="es-ES"/>
      </w:rPr>
      <w:t>/</w:t>
    </w:r>
    <w:r w:rsidR="0050062D">
      <w:rPr>
        <w:rFonts w:ascii="Arial" w:hAnsi="Arial" w:cs="Arial"/>
        <w:sz w:val="20"/>
        <w:szCs w:val="20"/>
        <w:lang w:val="es-ES"/>
      </w:rPr>
      <w:t>1</w:t>
    </w:r>
    <w:r w:rsidR="00E36641" w:rsidRPr="00455314">
      <w:rPr>
        <w:rFonts w:ascii="Arial" w:hAnsi="Arial" w:cs="Arial"/>
        <w:sz w:val="20"/>
        <w:szCs w:val="20"/>
        <w:lang w:val="es-ES"/>
      </w:rPr>
      <w:t xml:space="preserve"> </w:t>
    </w:r>
    <w:r w:rsidRPr="00455314">
      <w:rPr>
        <w:rFonts w:ascii="Arial" w:hAnsi="Arial" w:cs="Arial"/>
        <w:sz w:val="20"/>
        <w:szCs w:val="20"/>
        <w:lang w:val="es-ES"/>
      </w:rPr>
      <w:t xml:space="preserve">– page </w:t>
    </w:r>
    <w:r w:rsidRPr="00C23A97">
      <w:rPr>
        <w:rStyle w:val="PageNumber"/>
        <w:rFonts w:ascii="Arial" w:hAnsi="Arial" w:cs="Arial"/>
        <w:sz w:val="20"/>
        <w:szCs w:val="20"/>
        <w:lang w:val="en-GB"/>
      </w:rPr>
      <w:fldChar w:fldCharType="begin"/>
    </w:r>
    <w:r w:rsidRPr="00455314">
      <w:rPr>
        <w:rStyle w:val="PageNumber"/>
        <w:rFonts w:ascii="Arial" w:hAnsi="Arial" w:cs="Arial"/>
        <w:sz w:val="20"/>
        <w:szCs w:val="20"/>
        <w:lang w:val="es-ES"/>
      </w:rPr>
      <w:instrText xml:space="preserve"> PAGE </w:instrText>
    </w:r>
    <w:r w:rsidRPr="00C23A97">
      <w:rPr>
        <w:rStyle w:val="PageNumber"/>
        <w:rFonts w:ascii="Arial" w:hAnsi="Arial" w:cs="Arial"/>
        <w:sz w:val="20"/>
        <w:szCs w:val="20"/>
        <w:lang w:val="en-GB"/>
      </w:rPr>
      <w:fldChar w:fldCharType="separate"/>
    </w:r>
    <w:r w:rsidRPr="00EE5D7D">
      <w:rPr>
        <w:rStyle w:val="PageNumber"/>
        <w:rFonts w:ascii="Arial" w:hAnsi="Arial" w:cs="Arial"/>
        <w:sz w:val="20"/>
        <w:szCs w:val="20"/>
        <w:lang w:val="es-ES"/>
      </w:rPr>
      <w:t>2</w:t>
    </w:r>
    <w:r w:rsidRPr="00C23A97">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1BC6DE23" w:rsidR="004E1760" w:rsidRPr="00D7105A" w:rsidRDefault="004903C6" w:rsidP="004E1760">
    <w:pPr>
      <w:pStyle w:val="Header"/>
      <w:spacing w:after="520"/>
      <w:jc w:val="right"/>
      <w:rPr>
        <w:rFonts w:ascii="Arial" w:hAnsi="Arial" w:cs="Arial"/>
        <w:b/>
        <w:sz w:val="44"/>
        <w:szCs w:val="44"/>
        <w:lang w:val="pt-PT"/>
      </w:rPr>
    </w:pPr>
    <w:r>
      <w:rPr>
        <w:rFonts w:ascii="Arial" w:hAnsi="Arial" w:cs="Arial"/>
        <w:b/>
        <w:sz w:val="44"/>
        <w:szCs w:val="44"/>
        <w:lang w:val="pt-PT"/>
      </w:rPr>
      <w:t>TRA</w:t>
    </w:r>
    <w:r w:rsidR="0015117E">
      <w:rPr>
        <w:rFonts w:ascii="Arial" w:hAnsi="Arial" w:cs="Arial"/>
        <w:b/>
        <w:sz w:val="44"/>
        <w:szCs w:val="44"/>
        <w:lang w:val="pt-PT"/>
      </w:rPr>
      <w:t xml:space="preserve"> </w:t>
    </w:r>
    <w:r w:rsidR="00D90FC9">
      <w:rPr>
        <w:rFonts w:ascii="Arial" w:hAnsi="Arial" w:cs="Arial"/>
        <w:b/>
        <w:sz w:val="44"/>
        <w:szCs w:val="44"/>
        <w:lang w:val="pt-PT"/>
      </w:rPr>
      <w:t>URB</w:t>
    </w:r>
  </w:p>
  <w:p w14:paraId="6D1B3489" w14:textId="110784C8" w:rsidR="004E1760" w:rsidRPr="00D7105A"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D90FC9">
      <w:rPr>
        <w:rFonts w:ascii="Arial" w:hAnsi="Arial" w:cs="Arial"/>
        <w:b/>
        <w:sz w:val="22"/>
        <w:szCs w:val="22"/>
        <w:lang w:val="pt-PT"/>
      </w:rPr>
      <w:t>6</w:t>
    </w:r>
    <w:r w:rsidRPr="00D7105A">
      <w:rPr>
        <w:rFonts w:ascii="Arial" w:hAnsi="Arial" w:cs="Arial"/>
        <w:b/>
        <w:sz w:val="22"/>
        <w:szCs w:val="22"/>
        <w:lang w:val="pt-PT"/>
      </w:rPr>
      <w:t>/</w:t>
    </w:r>
    <w:bookmarkStart w:id="2" w:name="_Hlk94624970"/>
    <w:r w:rsidR="0015117E">
      <w:rPr>
        <w:rFonts w:ascii="Arial" w:hAnsi="Arial" w:cs="Arial"/>
        <w:b/>
        <w:sz w:val="22"/>
        <w:szCs w:val="22"/>
        <w:lang w:val="pt-PT"/>
      </w:rPr>
      <w:t>T</w:t>
    </w:r>
    <w:r w:rsidR="004903C6">
      <w:rPr>
        <w:rFonts w:ascii="Arial" w:hAnsi="Arial" w:cs="Arial"/>
        <w:b/>
        <w:sz w:val="22"/>
        <w:szCs w:val="22"/>
        <w:lang w:val="pt-PT"/>
      </w:rPr>
      <w:t xml:space="preserve">RA </w:t>
    </w:r>
    <w:r w:rsidR="00D90FC9">
      <w:rPr>
        <w:rFonts w:ascii="Arial" w:hAnsi="Arial" w:cs="Arial"/>
        <w:b/>
        <w:sz w:val="22"/>
        <w:szCs w:val="22"/>
        <w:lang w:val="pt-PT"/>
      </w:rPr>
      <w:t>URB</w:t>
    </w:r>
    <w:r w:rsidRPr="00D7105A">
      <w:rPr>
        <w:rFonts w:ascii="Arial" w:hAnsi="Arial" w:cs="Arial"/>
        <w:b/>
        <w:sz w:val="22"/>
        <w:szCs w:val="22"/>
        <w:lang w:val="pt-PT"/>
      </w:rPr>
      <w:t>/</w:t>
    </w:r>
    <w:r w:rsidR="00F80C08">
      <w:rPr>
        <w:rFonts w:ascii="Arial" w:hAnsi="Arial" w:cs="Arial"/>
        <w:b/>
        <w:sz w:val="22"/>
        <w:szCs w:val="22"/>
        <w:lang w:val="pt-PT"/>
      </w:rPr>
      <w:t>1</w:t>
    </w:r>
  </w:p>
  <w:bookmarkEnd w:id="2"/>
  <w:p w14:paraId="1B4446C3" w14:textId="04DB57A8" w:rsidR="00D95C4C" w:rsidRPr="00D7105A" w:rsidRDefault="00D95C4C" w:rsidP="00655736">
    <w:pPr>
      <w:jc w:val="right"/>
      <w:rPr>
        <w:rFonts w:ascii="Arial" w:eastAsiaTheme="minorEastAsia" w:hAnsi="Arial" w:cs="Arial"/>
        <w:b/>
        <w:sz w:val="22"/>
        <w:szCs w:val="22"/>
        <w:lang w:val="pt-PT" w:eastAsia="ko-KR"/>
      </w:rPr>
    </w:pPr>
    <w:r w:rsidRPr="005F0274">
      <w:rPr>
        <w:rFonts w:ascii="Arial" w:hAnsi="Arial" w:cs="Arial"/>
        <w:b/>
        <w:sz w:val="22"/>
        <w:szCs w:val="22"/>
        <w:lang w:val="pt-PT"/>
      </w:rPr>
      <w:t xml:space="preserve">Paris, </w:t>
    </w:r>
    <w:r w:rsidR="007B618D">
      <w:rPr>
        <w:rFonts w:ascii="Arial" w:hAnsi="Arial" w:cs="Arial"/>
        <w:b/>
        <w:sz w:val="22"/>
        <w:szCs w:val="22"/>
        <w:lang w:val="pt-PT"/>
      </w:rPr>
      <w:t>9</w:t>
    </w:r>
    <w:r w:rsidR="0015117E" w:rsidRPr="005F0274">
      <w:rPr>
        <w:rFonts w:ascii="Arial" w:hAnsi="Arial" w:cs="Arial"/>
        <w:b/>
        <w:sz w:val="22"/>
        <w:szCs w:val="22"/>
        <w:lang w:val="pt-PT"/>
      </w:rPr>
      <w:t xml:space="preserve"> </w:t>
    </w:r>
    <w:r w:rsidR="00D90FC9">
      <w:rPr>
        <w:rFonts w:ascii="Arial" w:hAnsi="Arial" w:cs="Arial"/>
        <w:b/>
        <w:sz w:val="22"/>
        <w:szCs w:val="22"/>
        <w:lang w:val="pt-PT"/>
      </w:rPr>
      <w:t>April</w:t>
    </w:r>
    <w:r w:rsidR="00D858FC" w:rsidRPr="005F0274">
      <w:rPr>
        <w:rFonts w:ascii="Arial" w:hAnsi="Arial" w:cs="Arial"/>
        <w:b/>
        <w:sz w:val="22"/>
        <w:szCs w:val="22"/>
        <w:lang w:val="pt-PT"/>
      </w:rPr>
      <w:t xml:space="preserve"> </w:t>
    </w:r>
    <w:r w:rsidR="00174D0C" w:rsidRPr="005F0274">
      <w:rPr>
        <w:rFonts w:ascii="Arial" w:hAnsi="Arial" w:cs="Arial"/>
        <w:b/>
        <w:sz w:val="22"/>
        <w:szCs w:val="22"/>
        <w:lang w:val="pt-PT"/>
      </w:rPr>
      <w:t>202</w:t>
    </w:r>
    <w:r w:rsidR="00D90FC9">
      <w:rPr>
        <w:rFonts w:ascii="Arial" w:hAnsi="Arial" w:cs="Arial"/>
        <w:b/>
        <w:sz w:val="22"/>
        <w:szCs w:val="22"/>
        <w:lang w:val="pt-PT"/>
      </w:rPr>
      <w:t>6</w:t>
    </w:r>
  </w:p>
  <w:p w14:paraId="255B57FF" w14:textId="427DD03E" w:rsidR="00D95C4C" w:rsidRPr="00151E44" w:rsidRDefault="00D95C4C" w:rsidP="00962034">
    <w:pPr>
      <w:spacing w:after="120"/>
      <w:jc w:val="right"/>
      <w:rPr>
        <w:rFonts w:ascii="Arial" w:hAnsi="Arial" w:cs="Arial"/>
        <w:b/>
        <w:sz w:val="22"/>
        <w:szCs w:val="22"/>
        <w:lang w:val="en-US"/>
      </w:rPr>
    </w:pPr>
    <w:r w:rsidRPr="00151E44">
      <w:rPr>
        <w:rFonts w:ascii="Arial" w:hAnsi="Arial" w:cs="Arial"/>
        <w:b/>
        <w:sz w:val="22"/>
        <w:szCs w:val="22"/>
        <w:lang w:val="en-US"/>
      </w:rPr>
      <w:t>Original</w:t>
    </w:r>
    <w:r w:rsidRPr="00C9225A">
      <w:rPr>
        <w:rFonts w:ascii="Arial" w:hAnsi="Arial" w:cs="Arial"/>
        <w:b/>
        <w:sz w:val="22"/>
        <w:szCs w:val="22"/>
        <w:lang w:val="en-US"/>
      </w:rPr>
      <w:t xml:space="preserve">: </w:t>
    </w:r>
    <w:r w:rsidR="00151E44" w:rsidRPr="00C9225A">
      <w:rPr>
        <w:rFonts w:ascii="Arial" w:hAnsi="Arial" w:cs="Arial"/>
        <w:b/>
        <w:sz w:val="22"/>
        <w:szCs w:val="22"/>
        <w:lang w:val="en-US"/>
      </w:rPr>
      <w:t>English</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0B95C7B"/>
    <w:multiLevelType w:val="hybridMultilevel"/>
    <w:tmpl w:val="24FAD7C0"/>
    <w:lvl w:ilvl="0" w:tplc="58587B0E">
      <w:start w:val="7"/>
      <w:numFmt w:val="bullet"/>
      <w:lvlText w:val="-"/>
      <w:lvlJc w:val="left"/>
      <w:pPr>
        <w:ind w:left="1069" w:hanging="360"/>
      </w:pPr>
      <w:rPr>
        <w:rFonts w:ascii="Calibri" w:eastAsiaTheme="minorEastAsia"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44FE052B"/>
    <w:multiLevelType w:val="hybridMultilevel"/>
    <w:tmpl w:val="B77CA870"/>
    <w:lvl w:ilvl="0" w:tplc="04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 w15:restartNumberingAfterBreak="0">
    <w:nsid w:val="52AB32E1"/>
    <w:multiLevelType w:val="hybridMultilevel"/>
    <w:tmpl w:val="A6D84EDC"/>
    <w:lvl w:ilvl="0" w:tplc="7EBEB03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9844406"/>
    <w:multiLevelType w:val="hybridMultilevel"/>
    <w:tmpl w:val="A4889604"/>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045980658">
    <w:abstractNumId w:val="12"/>
  </w:num>
  <w:num w:numId="2" w16cid:durableId="106117979">
    <w:abstractNumId w:val="5"/>
  </w:num>
  <w:num w:numId="3" w16cid:durableId="1708022341">
    <w:abstractNumId w:val="1"/>
  </w:num>
  <w:num w:numId="4" w16cid:durableId="1640528508">
    <w:abstractNumId w:val="15"/>
  </w:num>
  <w:num w:numId="5" w16cid:durableId="468011579">
    <w:abstractNumId w:val="13"/>
  </w:num>
  <w:num w:numId="6" w16cid:durableId="577862344">
    <w:abstractNumId w:val="0"/>
  </w:num>
  <w:num w:numId="7" w16cid:durableId="309292972">
    <w:abstractNumId w:val="2"/>
  </w:num>
  <w:num w:numId="8" w16cid:durableId="415399052">
    <w:abstractNumId w:val="9"/>
  </w:num>
  <w:num w:numId="9" w16cid:durableId="217087148">
    <w:abstractNumId w:val="4"/>
  </w:num>
  <w:num w:numId="10" w16cid:durableId="347945616">
    <w:abstractNumId w:val="6"/>
  </w:num>
  <w:num w:numId="11" w16cid:durableId="1867675660">
    <w:abstractNumId w:val="8"/>
  </w:num>
  <w:num w:numId="12" w16cid:durableId="1119109097">
    <w:abstractNumId w:val="7"/>
  </w:num>
  <w:num w:numId="13" w16cid:durableId="1445689247">
    <w:abstractNumId w:val="16"/>
  </w:num>
  <w:num w:numId="14" w16cid:durableId="1476558650">
    <w:abstractNumId w:val="3"/>
  </w:num>
  <w:num w:numId="15" w16cid:durableId="237789860">
    <w:abstractNumId w:val="4"/>
  </w:num>
  <w:num w:numId="16" w16cid:durableId="566500378">
    <w:abstractNumId w:val="4"/>
  </w:num>
  <w:num w:numId="17" w16cid:durableId="574701467">
    <w:abstractNumId w:val="4"/>
  </w:num>
  <w:num w:numId="18" w16cid:durableId="174735123">
    <w:abstractNumId w:val="4"/>
  </w:num>
  <w:num w:numId="19" w16cid:durableId="1161507841">
    <w:abstractNumId w:val="7"/>
  </w:num>
  <w:num w:numId="20" w16cid:durableId="173812351">
    <w:abstractNumId w:val="4"/>
  </w:num>
  <w:num w:numId="21" w16cid:durableId="1407220964">
    <w:abstractNumId w:val="4"/>
  </w:num>
  <w:num w:numId="22" w16cid:durableId="1893540131">
    <w:abstractNumId w:val="4"/>
  </w:num>
  <w:num w:numId="23" w16cid:durableId="325128723">
    <w:abstractNumId w:val="7"/>
  </w:num>
  <w:num w:numId="24" w16cid:durableId="1243487449">
    <w:abstractNumId w:val="7"/>
  </w:num>
  <w:num w:numId="25" w16cid:durableId="216859416">
    <w:abstractNumId w:val="4"/>
  </w:num>
  <w:num w:numId="26" w16cid:durableId="1138456050">
    <w:abstractNumId w:val="4"/>
  </w:num>
  <w:num w:numId="27" w16cid:durableId="1720981195">
    <w:abstractNumId w:val="7"/>
  </w:num>
  <w:num w:numId="28" w16cid:durableId="1722706079">
    <w:abstractNumId w:val="4"/>
  </w:num>
  <w:num w:numId="29" w16cid:durableId="2139446443">
    <w:abstractNumId w:val="4"/>
  </w:num>
  <w:num w:numId="30" w16cid:durableId="1344091233">
    <w:abstractNumId w:val="4"/>
  </w:num>
  <w:num w:numId="31" w16cid:durableId="529684715">
    <w:abstractNumId w:val="4"/>
  </w:num>
  <w:num w:numId="32" w16cid:durableId="142085844">
    <w:abstractNumId w:val="4"/>
  </w:num>
  <w:num w:numId="33" w16cid:durableId="2058822602">
    <w:abstractNumId w:val="11"/>
  </w:num>
  <w:num w:numId="34" w16cid:durableId="1506089925">
    <w:abstractNumId w:val="4"/>
  </w:num>
  <w:num w:numId="35" w16cid:durableId="1504588789">
    <w:abstractNumId w:val="4"/>
  </w:num>
  <w:num w:numId="36" w16cid:durableId="1672639898">
    <w:abstractNumId w:val="14"/>
  </w:num>
  <w:num w:numId="37" w16cid:durableId="1711341849">
    <w:abstractNumId w:val="10"/>
  </w:num>
  <w:num w:numId="38" w16cid:durableId="194834675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449"/>
    <w:rsid w:val="000048ED"/>
    <w:rsid w:val="00014915"/>
    <w:rsid w:val="000210C3"/>
    <w:rsid w:val="00035B98"/>
    <w:rsid w:val="00041A66"/>
    <w:rsid w:val="00042D88"/>
    <w:rsid w:val="0004329D"/>
    <w:rsid w:val="0005176E"/>
    <w:rsid w:val="00060E4F"/>
    <w:rsid w:val="000765F7"/>
    <w:rsid w:val="00077AB7"/>
    <w:rsid w:val="00081CD8"/>
    <w:rsid w:val="00091385"/>
    <w:rsid w:val="000974EC"/>
    <w:rsid w:val="000A3FF4"/>
    <w:rsid w:val="000A7F0E"/>
    <w:rsid w:val="000B1C8F"/>
    <w:rsid w:val="000B4B51"/>
    <w:rsid w:val="000C0D61"/>
    <w:rsid w:val="000C4D68"/>
    <w:rsid w:val="000D3B33"/>
    <w:rsid w:val="000D3E7C"/>
    <w:rsid w:val="000D65F4"/>
    <w:rsid w:val="000F3A3F"/>
    <w:rsid w:val="00102557"/>
    <w:rsid w:val="001169FF"/>
    <w:rsid w:val="0014260A"/>
    <w:rsid w:val="0015117E"/>
    <w:rsid w:val="00151E44"/>
    <w:rsid w:val="0015218B"/>
    <w:rsid w:val="00152867"/>
    <w:rsid w:val="001553EC"/>
    <w:rsid w:val="0015772D"/>
    <w:rsid w:val="00164D56"/>
    <w:rsid w:val="00167B10"/>
    <w:rsid w:val="0017402F"/>
    <w:rsid w:val="00174D0C"/>
    <w:rsid w:val="001875DB"/>
    <w:rsid w:val="00190205"/>
    <w:rsid w:val="00196C1B"/>
    <w:rsid w:val="00197BC4"/>
    <w:rsid w:val="001A49CF"/>
    <w:rsid w:val="001A730A"/>
    <w:rsid w:val="001B0F73"/>
    <w:rsid w:val="001B5D51"/>
    <w:rsid w:val="001C2DB7"/>
    <w:rsid w:val="001C78AC"/>
    <w:rsid w:val="001D124C"/>
    <w:rsid w:val="001D14FE"/>
    <w:rsid w:val="001D5C04"/>
    <w:rsid w:val="001E135E"/>
    <w:rsid w:val="001F26CF"/>
    <w:rsid w:val="001F4E62"/>
    <w:rsid w:val="001F7778"/>
    <w:rsid w:val="00222A2D"/>
    <w:rsid w:val="00223029"/>
    <w:rsid w:val="00231492"/>
    <w:rsid w:val="00234745"/>
    <w:rsid w:val="002351A6"/>
    <w:rsid w:val="00240072"/>
    <w:rsid w:val="002407AF"/>
    <w:rsid w:val="00245680"/>
    <w:rsid w:val="0026221A"/>
    <w:rsid w:val="00273B6D"/>
    <w:rsid w:val="0027466B"/>
    <w:rsid w:val="00277688"/>
    <w:rsid w:val="002838A5"/>
    <w:rsid w:val="0028471A"/>
    <w:rsid w:val="00285BB4"/>
    <w:rsid w:val="002874F5"/>
    <w:rsid w:val="002C09E3"/>
    <w:rsid w:val="002D1244"/>
    <w:rsid w:val="002D1E6F"/>
    <w:rsid w:val="002E2F7C"/>
    <w:rsid w:val="00314101"/>
    <w:rsid w:val="0031456C"/>
    <w:rsid w:val="00337CEB"/>
    <w:rsid w:val="003411B7"/>
    <w:rsid w:val="00344B58"/>
    <w:rsid w:val="0034539A"/>
    <w:rsid w:val="00345CB4"/>
    <w:rsid w:val="00357323"/>
    <w:rsid w:val="00360422"/>
    <w:rsid w:val="003627DF"/>
    <w:rsid w:val="00375D42"/>
    <w:rsid w:val="00382619"/>
    <w:rsid w:val="00396280"/>
    <w:rsid w:val="003A6BB8"/>
    <w:rsid w:val="003B0EC4"/>
    <w:rsid w:val="003B4595"/>
    <w:rsid w:val="003B4CF8"/>
    <w:rsid w:val="003B7522"/>
    <w:rsid w:val="003C3534"/>
    <w:rsid w:val="003C3C87"/>
    <w:rsid w:val="003C7A41"/>
    <w:rsid w:val="003D069C"/>
    <w:rsid w:val="003D7646"/>
    <w:rsid w:val="003F113A"/>
    <w:rsid w:val="003F37A1"/>
    <w:rsid w:val="003F3E63"/>
    <w:rsid w:val="00407480"/>
    <w:rsid w:val="004144C4"/>
    <w:rsid w:val="00414643"/>
    <w:rsid w:val="004162DA"/>
    <w:rsid w:val="00424790"/>
    <w:rsid w:val="004421E5"/>
    <w:rsid w:val="00445647"/>
    <w:rsid w:val="00452284"/>
    <w:rsid w:val="00455314"/>
    <w:rsid w:val="00457C8E"/>
    <w:rsid w:val="004738C1"/>
    <w:rsid w:val="00481EEA"/>
    <w:rsid w:val="00483586"/>
    <w:rsid w:val="004856CA"/>
    <w:rsid w:val="00487E67"/>
    <w:rsid w:val="004903C6"/>
    <w:rsid w:val="0049705E"/>
    <w:rsid w:val="004A2875"/>
    <w:rsid w:val="004A34A0"/>
    <w:rsid w:val="004A3554"/>
    <w:rsid w:val="004C3A08"/>
    <w:rsid w:val="004C596F"/>
    <w:rsid w:val="004C7C82"/>
    <w:rsid w:val="004D2EB4"/>
    <w:rsid w:val="004E1760"/>
    <w:rsid w:val="004E7232"/>
    <w:rsid w:val="0050062D"/>
    <w:rsid w:val="005008A8"/>
    <w:rsid w:val="00507AAC"/>
    <w:rsid w:val="00510E9D"/>
    <w:rsid w:val="00514C11"/>
    <w:rsid w:val="00517F71"/>
    <w:rsid w:val="00517FD8"/>
    <w:rsid w:val="00520908"/>
    <w:rsid w:val="00526B7B"/>
    <w:rsid w:val="005308CE"/>
    <w:rsid w:val="0053318C"/>
    <w:rsid w:val="00556D71"/>
    <w:rsid w:val="0056538E"/>
    <w:rsid w:val="0057439C"/>
    <w:rsid w:val="005777E8"/>
    <w:rsid w:val="0058014D"/>
    <w:rsid w:val="005A1339"/>
    <w:rsid w:val="005B0127"/>
    <w:rsid w:val="005B7A35"/>
    <w:rsid w:val="005C4B73"/>
    <w:rsid w:val="005C55AB"/>
    <w:rsid w:val="005E0154"/>
    <w:rsid w:val="005E1D2B"/>
    <w:rsid w:val="005E7074"/>
    <w:rsid w:val="005F0274"/>
    <w:rsid w:val="005F2BAF"/>
    <w:rsid w:val="00600D93"/>
    <w:rsid w:val="00601718"/>
    <w:rsid w:val="00626BEA"/>
    <w:rsid w:val="00631BC9"/>
    <w:rsid w:val="0063300C"/>
    <w:rsid w:val="00646685"/>
    <w:rsid w:val="00646882"/>
    <w:rsid w:val="00651A5B"/>
    <w:rsid w:val="00655736"/>
    <w:rsid w:val="00656A6B"/>
    <w:rsid w:val="00657EBB"/>
    <w:rsid w:val="00663B8D"/>
    <w:rsid w:val="00672F4E"/>
    <w:rsid w:val="006763C4"/>
    <w:rsid w:val="006829AA"/>
    <w:rsid w:val="0069033E"/>
    <w:rsid w:val="006909FD"/>
    <w:rsid w:val="00696C8D"/>
    <w:rsid w:val="006A2AC2"/>
    <w:rsid w:val="006A3617"/>
    <w:rsid w:val="006A7FB4"/>
    <w:rsid w:val="006B4452"/>
    <w:rsid w:val="006B4B82"/>
    <w:rsid w:val="006C7060"/>
    <w:rsid w:val="006D7125"/>
    <w:rsid w:val="006E0D89"/>
    <w:rsid w:val="006E46E4"/>
    <w:rsid w:val="006E75EB"/>
    <w:rsid w:val="006F26DD"/>
    <w:rsid w:val="006F57C3"/>
    <w:rsid w:val="00712429"/>
    <w:rsid w:val="00717DA5"/>
    <w:rsid w:val="007356F1"/>
    <w:rsid w:val="00744484"/>
    <w:rsid w:val="00747566"/>
    <w:rsid w:val="00773188"/>
    <w:rsid w:val="00782E7B"/>
    <w:rsid w:val="00783782"/>
    <w:rsid w:val="00784B8C"/>
    <w:rsid w:val="00784D93"/>
    <w:rsid w:val="00785470"/>
    <w:rsid w:val="007879E1"/>
    <w:rsid w:val="00792490"/>
    <w:rsid w:val="00797843"/>
    <w:rsid w:val="007A3712"/>
    <w:rsid w:val="007B126F"/>
    <w:rsid w:val="007B618D"/>
    <w:rsid w:val="007C23B5"/>
    <w:rsid w:val="007F0B02"/>
    <w:rsid w:val="00800B7B"/>
    <w:rsid w:val="00805323"/>
    <w:rsid w:val="00815F5B"/>
    <w:rsid w:val="00822F27"/>
    <w:rsid w:val="00823A11"/>
    <w:rsid w:val="00847B41"/>
    <w:rsid w:val="0085188D"/>
    <w:rsid w:val="0085405E"/>
    <w:rsid w:val="0085414A"/>
    <w:rsid w:val="00857EB9"/>
    <w:rsid w:val="008603E7"/>
    <w:rsid w:val="0086269D"/>
    <w:rsid w:val="0086543A"/>
    <w:rsid w:val="00871F19"/>
    <w:rsid w:val="008724E5"/>
    <w:rsid w:val="00875673"/>
    <w:rsid w:val="00884A9D"/>
    <w:rsid w:val="0088512B"/>
    <w:rsid w:val="008A2B2D"/>
    <w:rsid w:val="008A4E1E"/>
    <w:rsid w:val="008C22BE"/>
    <w:rsid w:val="008C296C"/>
    <w:rsid w:val="008D4305"/>
    <w:rsid w:val="008E1A85"/>
    <w:rsid w:val="009163A7"/>
    <w:rsid w:val="009246C8"/>
    <w:rsid w:val="00946D0B"/>
    <w:rsid w:val="00955877"/>
    <w:rsid w:val="00956784"/>
    <w:rsid w:val="00962034"/>
    <w:rsid w:val="00970E3F"/>
    <w:rsid w:val="009A0D57"/>
    <w:rsid w:val="009A18CD"/>
    <w:rsid w:val="009C0117"/>
    <w:rsid w:val="009C77F7"/>
    <w:rsid w:val="009D5428"/>
    <w:rsid w:val="009D7F4B"/>
    <w:rsid w:val="009E2765"/>
    <w:rsid w:val="009E4537"/>
    <w:rsid w:val="00A000DB"/>
    <w:rsid w:val="00A01033"/>
    <w:rsid w:val="00A12558"/>
    <w:rsid w:val="00A13903"/>
    <w:rsid w:val="00A305B8"/>
    <w:rsid w:val="00A34ED5"/>
    <w:rsid w:val="00A35111"/>
    <w:rsid w:val="00A35156"/>
    <w:rsid w:val="00A45DBF"/>
    <w:rsid w:val="00A50FFA"/>
    <w:rsid w:val="00A53F11"/>
    <w:rsid w:val="00A725CF"/>
    <w:rsid w:val="00A755A2"/>
    <w:rsid w:val="00A85A0E"/>
    <w:rsid w:val="00A87F8D"/>
    <w:rsid w:val="00AA6660"/>
    <w:rsid w:val="00AA6917"/>
    <w:rsid w:val="00AB2C36"/>
    <w:rsid w:val="00AB6DDE"/>
    <w:rsid w:val="00AB70B6"/>
    <w:rsid w:val="00AC23B5"/>
    <w:rsid w:val="00AD1A86"/>
    <w:rsid w:val="00AD2B7A"/>
    <w:rsid w:val="00AE103E"/>
    <w:rsid w:val="00AE33FA"/>
    <w:rsid w:val="00AE3878"/>
    <w:rsid w:val="00AF0A07"/>
    <w:rsid w:val="00AF1041"/>
    <w:rsid w:val="00AF279F"/>
    <w:rsid w:val="00AF4AEC"/>
    <w:rsid w:val="00AF5507"/>
    <w:rsid w:val="00AF625E"/>
    <w:rsid w:val="00AF70EC"/>
    <w:rsid w:val="00B139BE"/>
    <w:rsid w:val="00B2172B"/>
    <w:rsid w:val="00B4410C"/>
    <w:rsid w:val="00B51431"/>
    <w:rsid w:val="00B51CDF"/>
    <w:rsid w:val="00B533C0"/>
    <w:rsid w:val="00B55E50"/>
    <w:rsid w:val="00B862A1"/>
    <w:rsid w:val="00B906F1"/>
    <w:rsid w:val="00B9146E"/>
    <w:rsid w:val="00B917D2"/>
    <w:rsid w:val="00BA2063"/>
    <w:rsid w:val="00BA241A"/>
    <w:rsid w:val="00BB04AF"/>
    <w:rsid w:val="00BB7109"/>
    <w:rsid w:val="00BD52C9"/>
    <w:rsid w:val="00BD5A75"/>
    <w:rsid w:val="00BE6354"/>
    <w:rsid w:val="00BF4A97"/>
    <w:rsid w:val="00BF669C"/>
    <w:rsid w:val="00C12190"/>
    <w:rsid w:val="00C12DC0"/>
    <w:rsid w:val="00C138D1"/>
    <w:rsid w:val="00C20036"/>
    <w:rsid w:val="00C22B32"/>
    <w:rsid w:val="00C23A97"/>
    <w:rsid w:val="00C25B18"/>
    <w:rsid w:val="00C302B1"/>
    <w:rsid w:val="00C312D9"/>
    <w:rsid w:val="00C52EBE"/>
    <w:rsid w:val="00C5316C"/>
    <w:rsid w:val="00C53186"/>
    <w:rsid w:val="00C5776D"/>
    <w:rsid w:val="00C62F18"/>
    <w:rsid w:val="00C62F70"/>
    <w:rsid w:val="00C64855"/>
    <w:rsid w:val="00C70EA7"/>
    <w:rsid w:val="00C7433F"/>
    <w:rsid w:val="00C7516E"/>
    <w:rsid w:val="00C75374"/>
    <w:rsid w:val="00C75770"/>
    <w:rsid w:val="00C84D17"/>
    <w:rsid w:val="00C9225A"/>
    <w:rsid w:val="00C9562A"/>
    <w:rsid w:val="00CA33FC"/>
    <w:rsid w:val="00CA56BB"/>
    <w:rsid w:val="00CB0542"/>
    <w:rsid w:val="00CB4E91"/>
    <w:rsid w:val="00CB7E90"/>
    <w:rsid w:val="00CC2565"/>
    <w:rsid w:val="00CD0927"/>
    <w:rsid w:val="00CD15A7"/>
    <w:rsid w:val="00CD4ED5"/>
    <w:rsid w:val="00CD5ACB"/>
    <w:rsid w:val="00CE71E5"/>
    <w:rsid w:val="00CF6230"/>
    <w:rsid w:val="00CF6E68"/>
    <w:rsid w:val="00D00B2B"/>
    <w:rsid w:val="00D04B7E"/>
    <w:rsid w:val="00D06866"/>
    <w:rsid w:val="00D176DA"/>
    <w:rsid w:val="00D24877"/>
    <w:rsid w:val="00D33D76"/>
    <w:rsid w:val="00D53E1F"/>
    <w:rsid w:val="00D676E5"/>
    <w:rsid w:val="00D7105A"/>
    <w:rsid w:val="00D76AD9"/>
    <w:rsid w:val="00D8250F"/>
    <w:rsid w:val="00D858FC"/>
    <w:rsid w:val="00D86BB3"/>
    <w:rsid w:val="00D90FC9"/>
    <w:rsid w:val="00D95C4C"/>
    <w:rsid w:val="00D97765"/>
    <w:rsid w:val="00DA36ED"/>
    <w:rsid w:val="00DB0EB9"/>
    <w:rsid w:val="00DB1AB9"/>
    <w:rsid w:val="00DB482A"/>
    <w:rsid w:val="00DB48FE"/>
    <w:rsid w:val="00DD4BFB"/>
    <w:rsid w:val="00DE34F1"/>
    <w:rsid w:val="00DE6160"/>
    <w:rsid w:val="00DF4942"/>
    <w:rsid w:val="00E019FC"/>
    <w:rsid w:val="00E16EFD"/>
    <w:rsid w:val="00E2125F"/>
    <w:rsid w:val="00E244E1"/>
    <w:rsid w:val="00E3188D"/>
    <w:rsid w:val="00E36641"/>
    <w:rsid w:val="00E36EF9"/>
    <w:rsid w:val="00E4150C"/>
    <w:rsid w:val="00E42DBE"/>
    <w:rsid w:val="00E523C9"/>
    <w:rsid w:val="00E5638D"/>
    <w:rsid w:val="00E6157A"/>
    <w:rsid w:val="00E627B1"/>
    <w:rsid w:val="00E70169"/>
    <w:rsid w:val="00E711B1"/>
    <w:rsid w:val="00E7332E"/>
    <w:rsid w:val="00E9376C"/>
    <w:rsid w:val="00E95AE2"/>
    <w:rsid w:val="00EA0473"/>
    <w:rsid w:val="00EA335E"/>
    <w:rsid w:val="00EA528C"/>
    <w:rsid w:val="00EA580C"/>
    <w:rsid w:val="00EB375D"/>
    <w:rsid w:val="00EB6260"/>
    <w:rsid w:val="00EC6F8D"/>
    <w:rsid w:val="00ED39B2"/>
    <w:rsid w:val="00ED70CE"/>
    <w:rsid w:val="00EE3233"/>
    <w:rsid w:val="00EE3BEC"/>
    <w:rsid w:val="00EE47C7"/>
    <w:rsid w:val="00EE49F4"/>
    <w:rsid w:val="00EE5D7D"/>
    <w:rsid w:val="00EF34E2"/>
    <w:rsid w:val="00EF7498"/>
    <w:rsid w:val="00F07AE5"/>
    <w:rsid w:val="00F26478"/>
    <w:rsid w:val="00F30DC6"/>
    <w:rsid w:val="00F32C23"/>
    <w:rsid w:val="00F37D2E"/>
    <w:rsid w:val="00F45B84"/>
    <w:rsid w:val="00F53DE9"/>
    <w:rsid w:val="00F544D0"/>
    <w:rsid w:val="00F56FA1"/>
    <w:rsid w:val="00F576CB"/>
    <w:rsid w:val="00F6146E"/>
    <w:rsid w:val="00F7035D"/>
    <w:rsid w:val="00F71A02"/>
    <w:rsid w:val="00F75F42"/>
    <w:rsid w:val="00F7777C"/>
    <w:rsid w:val="00F80C08"/>
    <w:rsid w:val="00F91C57"/>
    <w:rsid w:val="00F92792"/>
    <w:rsid w:val="00FA0D63"/>
    <w:rsid w:val="00FC27CF"/>
    <w:rsid w:val="00FC4B10"/>
    <w:rsid w:val="00FC78FA"/>
    <w:rsid w:val="00FD0EE6"/>
    <w:rsid w:val="00FD1226"/>
    <w:rsid w:val="00FF4830"/>
    <w:rsid w:val="00FF51C4"/>
    <w:rsid w:val="00FF7F27"/>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character" w:styleId="Hyperlink">
    <w:name w:val="Hyperlink"/>
    <w:basedOn w:val="DefaultParagraphFont"/>
    <w:uiPriority w:val="99"/>
    <w:unhideWhenUsed/>
    <w:rsid w:val="0015117E"/>
    <w:rPr>
      <w:color w:val="0000FF" w:themeColor="hyperlink"/>
      <w:u w:val="single"/>
    </w:rPr>
  </w:style>
  <w:style w:type="character" w:styleId="IntenseReference">
    <w:name w:val="Intense Reference"/>
    <w:basedOn w:val="DefaultParagraphFont"/>
    <w:uiPriority w:val="32"/>
    <w:qFormat/>
    <w:rsid w:val="005777E8"/>
    <w:rPr>
      <w:b/>
      <w:bCs/>
      <w:smallCaps/>
      <w:color w:val="365F91" w:themeColor="accent1" w:themeShade="BF"/>
      <w:spacing w:val="5"/>
    </w:rPr>
  </w:style>
  <w:style w:type="character" w:styleId="UnresolvedMention">
    <w:name w:val="Unresolved Mention"/>
    <w:basedOn w:val="DefaultParagraphFont"/>
    <w:uiPriority w:val="99"/>
    <w:semiHidden/>
    <w:unhideWhenUsed/>
    <w:rsid w:val="007C23B5"/>
    <w:rPr>
      <w:color w:val="605E5C"/>
      <w:shd w:val="clear" w:color="auto" w:fill="E1DFDD"/>
    </w:rPr>
  </w:style>
  <w:style w:type="character" w:styleId="FollowedHyperlink">
    <w:name w:val="FollowedHyperlink"/>
    <w:basedOn w:val="DefaultParagraphFont"/>
    <w:uiPriority w:val="99"/>
    <w:semiHidden/>
    <w:unhideWhenUsed/>
    <w:rsid w:val="006A7FB4"/>
    <w:rPr>
      <w:color w:val="800080" w:themeColor="followedHyperlink"/>
      <w:u w:val="single"/>
    </w:rPr>
  </w:style>
  <w:style w:type="paragraph" w:styleId="Revision">
    <w:name w:val="Revision"/>
    <w:hidden/>
    <w:uiPriority w:val="99"/>
    <w:semiHidden/>
    <w:rsid w:val="00520908"/>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862A1"/>
    <w:rPr>
      <w:sz w:val="16"/>
      <w:szCs w:val="16"/>
    </w:rPr>
  </w:style>
  <w:style w:type="paragraph" w:styleId="CommentText">
    <w:name w:val="annotation text"/>
    <w:basedOn w:val="Normal"/>
    <w:link w:val="CommentTextChar"/>
    <w:uiPriority w:val="99"/>
    <w:unhideWhenUsed/>
    <w:rsid w:val="00B862A1"/>
    <w:rPr>
      <w:sz w:val="20"/>
      <w:szCs w:val="20"/>
    </w:rPr>
  </w:style>
  <w:style w:type="character" w:customStyle="1" w:styleId="CommentTextChar">
    <w:name w:val="Comment Text Char"/>
    <w:basedOn w:val="DefaultParagraphFont"/>
    <w:link w:val="CommentText"/>
    <w:uiPriority w:val="99"/>
    <w:rsid w:val="00B862A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862A1"/>
    <w:rPr>
      <w:b/>
      <w:bCs/>
    </w:rPr>
  </w:style>
  <w:style w:type="character" w:customStyle="1" w:styleId="CommentSubjectChar">
    <w:name w:val="Comment Subject Char"/>
    <w:basedOn w:val="CommentTextChar"/>
    <w:link w:val="CommentSubject"/>
    <w:uiPriority w:val="99"/>
    <w:semiHidden/>
    <w:rsid w:val="00B862A1"/>
    <w:rPr>
      <w:rFonts w:ascii="Times New Roman" w:eastAsia="Times New Roman" w:hAnsi="Times New Roman"/>
      <w:b/>
      <w:bCs/>
    </w:rPr>
  </w:style>
  <w:style w:type="paragraph" w:customStyle="1" w:styleId="1GAPara">
    <w:name w:val="1. GA Para"/>
    <w:qFormat/>
    <w:rsid w:val="00D676E5"/>
    <w:pPr>
      <w:spacing w:after="120"/>
      <w:ind w:left="567" w:hanging="567"/>
    </w:pPr>
    <w:rPr>
      <w:rFonts w:ascii="Arial" w:eastAsia="Times New Roman" w:hAnsi="Arial" w:cs="Arial"/>
      <w:snapToGrid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72796-EN.pdf?t=1769168252" TargetMode="External"/><Relationship Id="rId13" Type="http://schemas.openxmlformats.org/officeDocument/2006/relationships/hyperlink" Target="https://ich.unesco.org/doc/src/72796-EN.pdf?t=1769168252"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doc/src/2003_Convention_Basic_Texts_2024_version_EN.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events/training-of-trainers-on-living-heritage-and-sustainable-urban-development-01026" TargetMode="External"/><Relationship Id="rId5" Type="http://schemas.openxmlformats.org/officeDocument/2006/relationships/webSettings" Target="webSettings.xml"/><Relationship Id="rId15" Type="http://schemas.openxmlformats.org/officeDocument/2006/relationships/hyperlink" Target="https://ich.unesco.org/en/events/01065" TargetMode="External"/><Relationship Id="rId10" Type="http://schemas.openxmlformats.org/officeDocument/2006/relationships/hyperlink" Target="https://ich.unesco.org/en/projects/latin-america-and-the-caribbean-strengthening-capacities-for-resilient-communities-through-sustainable-tourism-and-heritage-safeguarding-0050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en/decisions/20.COM/12" TargetMode="External"/><Relationship Id="rId14" Type="http://schemas.openxmlformats.org/officeDocument/2006/relationships/hyperlink" Target="https://ich.unesco.org/en/events/training-of-trainers-on-living-heritage-and-sustainable-urban-development-0102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379</TotalTime>
  <Pages>4</Pages>
  <Words>977</Words>
  <Characters>5570</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Tan, Nicholas</cp:lastModifiedBy>
  <cp:revision>55</cp:revision>
  <cp:lastPrinted>2011-08-06T10:22:00Z</cp:lastPrinted>
  <dcterms:created xsi:type="dcterms:W3CDTF">2026-04-02T15:51:00Z</dcterms:created>
  <dcterms:modified xsi:type="dcterms:W3CDTF">2026-04-09T12:38:00Z</dcterms:modified>
</cp:coreProperties>
</file>