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4805"/>
        <w:gridCol w:w="4833"/>
      </w:tblGrid>
      <w:tr w:rsidR="00C70EFC" w:rsidRPr="0071691A" w14:paraId="77B8B8CD" w14:textId="77777777" w:rsidTr="002F2BB5">
        <w:trPr>
          <w:trHeight w:val="1057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0639D1AF" w14:textId="6A236CE6" w:rsidR="00C70EFC" w:rsidRPr="00653CE8" w:rsidRDefault="00C70EFC" w:rsidP="00C70EFC">
            <w:pPr>
              <w:spacing w:after="0"/>
              <w:rPr>
                <w:rFonts w:ascii="Arial" w:hAnsi="Arial" w:cs="Arial"/>
                <w:bCs/>
                <w:szCs w:val="22"/>
                <w:lang w:val="en-US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14:paraId="1518E93E" w14:textId="68BBB14D" w:rsidR="00C70EFC" w:rsidRPr="0071691A" w:rsidRDefault="00C70EFC" w:rsidP="00C70EFC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6F7FDD1E" w14:textId="5C5D1A90" w:rsidR="0071691A" w:rsidRPr="0071691A" w:rsidRDefault="0071691A" w:rsidP="0071691A">
      <w:pPr>
        <w:spacing w:before="1440"/>
        <w:jc w:val="center"/>
        <w:rPr>
          <w:rFonts w:ascii="Arial" w:hAnsi="Arial" w:cs="Arial"/>
          <w:b/>
          <w:szCs w:val="22"/>
        </w:rPr>
      </w:pPr>
      <w:r w:rsidRPr="0071691A">
        <w:rPr>
          <w:rFonts w:ascii="Arial" w:hAnsi="Arial" w:cs="Arial"/>
          <w:b/>
          <w:szCs w:val="22"/>
        </w:rPr>
        <w:t>CONVENTION FOR THE SAFEGUARDING OF THE</w:t>
      </w:r>
      <w:r w:rsidRPr="0071691A">
        <w:rPr>
          <w:rFonts w:ascii="Arial" w:hAnsi="Arial" w:cs="Arial"/>
          <w:b/>
          <w:szCs w:val="22"/>
        </w:rPr>
        <w:br/>
        <w:t>INTANGIBLE CULTURAL HERITAGE</w:t>
      </w:r>
      <w:r w:rsidRPr="0071691A">
        <w:rPr>
          <w:rFonts w:ascii="Arial" w:hAnsi="Arial" w:cs="Arial"/>
          <w:b/>
          <w:szCs w:val="22"/>
        </w:rPr>
        <w:br/>
      </w:r>
      <w:r w:rsidRPr="0071691A">
        <w:rPr>
          <w:rFonts w:ascii="Arial" w:hAnsi="Arial" w:cs="Arial"/>
          <w:b/>
          <w:szCs w:val="22"/>
        </w:rPr>
        <w:br/>
      </w:r>
    </w:p>
    <w:p w14:paraId="1752C375" w14:textId="42ECD81B" w:rsidR="0071691A" w:rsidRPr="00FD4C11" w:rsidRDefault="0071691A" w:rsidP="00FD4C11">
      <w:pPr>
        <w:spacing w:before="1200"/>
        <w:ind w:right="-1"/>
        <w:jc w:val="center"/>
        <w:rPr>
          <w:rFonts w:ascii="Arial" w:eastAsia="Calibri" w:hAnsi="Arial" w:cs="Arial"/>
          <w:b/>
          <w:bCs/>
          <w:szCs w:val="22"/>
          <w:lang w:val="en-US"/>
        </w:rPr>
      </w:pPr>
      <w:bookmarkStart w:id="0" w:name="_Hlk70514086"/>
      <w:r w:rsidRPr="00FD4C11">
        <w:rPr>
          <w:rFonts w:ascii="Arial" w:hAnsi="Arial" w:cs="Arial"/>
          <w:b/>
          <w:lang w:val="en-US"/>
        </w:rPr>
        <w:t xml:space="preserve">Expert meeting </w:t>
      </w:r>
      <w:r w:rsidRPr="00FD4C11">
        <w:rPr>
          <w:rFonts w:ascii="Arial" w:hAnsi="Arial" w:cs="Arial"/>
          <w:b/>
          <w:bCs/>
          <w:lang w:val="en-US"/>
        </w:rPr>
        <w:t xml:space="preserve">on safeguarding </w:t>
      </w:r>
      <w:r w:rsidR="00001BE1">
        <w:rPr>
          <w:rFonts w:ascii="Arial" w:hAnsi="Arial" w:cs="Arial"/>
          <w:b/>
          <w:bCs/>
          <w:lang w:val="en-US"/>
        </w:rPr>
        <w:t>intangible cultural heritage</w:t>
      </w:r>
      <w:r w:rsidRPr="00FD4C11">
        <w:rPr>
          <w:rFonts w:ascii="Arial" w:hAnsi="Arial" w:cs="Arial"/>
          <w:b/>
          <w:bCs/>
          <w:lang w:val="en-US"/>
        </w:rPr>
        <w:t xml:space="preserve"> </w:t>
      </w:r>
      <w:bookmarkStart w:id="1" w:name="_Hlk128593939"/>
      <w:r w:rsidR="00001BE1">
        <w:rPr>
          <w:rFonts w:ascii="Arial" w:hAnsi="Arial" w:cs="Arial"/>
          <w:b/>
          <w:bCs/>
          <w:lang w:val="en-US"/>
        </w:rPr>
        <w:t>in urban contexts</w:t>
      </w:r>
      <w:r w:rsidRPr="00FD4C11">
        <w:rPr>
          <w:rFonts w:ascii="Arial" w:eastAsia="Calibri" w:hAnsi="Arial" w:cs="Arial"/>
          <w:b/>
          <w:bCs/>
          <w:szCs w:val="22"/>
          <w:lang w:val="en-US"/>
        </w:rPr>
        <w:t xml:space="preserve"> </w:t>
      </w:r>
      <w:r w:rsidRPr="00FD4C11">
        <w:rPr>
          <w:rFonts w:ascii="Arial" w:eastAsia="Calibri" w:hAnsi="Arial" w:cs="Arial"/>
          <w:b/>
          <w:bCs/>
          <w:szCs w:val="22"/>
          <w:lang w:val="en-US"/>
        </w:rPr>
        <w:br/>
      </w:r>
      <w:r w:rsidRPr="00FD4C11">
        <w:rPr>
          <w:rFonts w:ascii="Arial" w:eastAsia="Calibri" w:hAnsi="Arial" w:cs="Arial"/>
          <w:b/>
          <w:bCs/>
          <w:szCs w:val="22"/>
          <w:lang w:val="en-US"/>
        </w:rPr>
        <w:br/>
      </w:r>
    </w:p>
    <w:bookmarkEnd w:id="0"/>
    <w:bookmarkEnd w:id="1"/>
    <w:p w14:paraId="5D212735" w14:textId="313D0FC1" w:rsidR="0071691A" w:rsidRPr="0071691A" w:rsidRDefault="00001BE1" w:rsidP="0071691A">
      <w:pPr>
        <w:spacing w:before="8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="0071691A" w:rsidRPr="0071691A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17</w:t>
      </w:r>
      <w:r w:rsidR="0071691A" w:rsidRPr="0071691A">
        <w:rPr>
          <w:rFonts w:ascii="Arial" w:hAnsi="Arial" w:cs="Arial"/>
          <w:b/>
        </w:rPr>
        <w:t xml:space="preserve"> June </w:t>
      </w:r>
      <w:r>
        <w:rPr>
          <w:rFonts w:ascii="Arial" w:hAnsi="Arial" w:cs="Arial"/>
          <w:b/>
        </w:rPr>
        <w:t>2025</w:t>
      </w:r>
      <w:r w:rsidR="0071691A" w:rsidRPr="0071691A">
        <w:rPr>
          <w:rFonts w:ascii="Arial" w:hAnsi="Arial" w:cs="Arial"/>
          <w:b/>
        </w:rPr>
        <w:t xml:space="preserve"> (Part I)</w:t>
      </w:r>
    </w:p>
    <w:p w14:paraId="5BEA15F0" w14:textId="77777777" w:rsidR="0071691A" w:rsidRPr="0071691A" w:rsidRDefault="0071691A" w:rsidP="0071691A">
      <w:pPr>
        <w:spacing w:after="0"/>
        <w:jc w:val="center"/>
        <w:rPr>
          <w:rFonts w:ascii="Arial" w:hAnsi="Arial" w:cs="Arial"/>
          <w:b/>
        </w:rPr>
      </w:pPr>
      <w:r w:rsidRPr="0071691A">
        <w:rPr>
          <w:rFonts w:ascii="Arial" w:hAnsi="Arial" w:cs="Arial"/>
          <w:b/>
        </w:rPr>
        <w:t>UNESCO Headquarters, Paris</w:t>
      </w:r>
    </w:p>
    <w:p w14:paraId="3E58716D" w14:textId="6614F382" w:rsidR="0071691A" w:rsidRPr="00FD4C11" w:rsidRDefault="00001BE1" w:rsidP="0071691A">
      <w:pPr>
        <w:spacing w:before="240" w:after="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18</w:t>
      </w:r>
      <w:r w:rsidR="00464A3C">
        <w:rPr>
          <w:rFonts w:ascii="Arial" w:hAnsi="Arial" w:cs="Arial"/>
          <w:b/>
          <w:lang w:val="en-US"/>
        </w:rPr>
        <w:t xml:space="preserve"> – </w:t>
      </w:r>
      <w:r>
        <w:rPr>
          <w:rFonts w:ascii="Arial" w:hAnsi="Arial" w:cs="Arial"/>
          <w:b/>
          <w:lang w:val="en-US"/>
        </w:rPr>
        <w:t>19</w:t>
      </w:r>
      <w:r w:rsidR="0071691A" w:rsidRPr="00FD4C11">
        <w:rPr>
          <w:rFonts w:ascii="Arial" w:hAnsi="Arial" w:cs="Arial"/>
          <w:b/>
          <w:lang w:val="en-US"/>
        </w:rPr>
        <w:t xml:space="preserve"> September </w:t>
      </w:r>
      <w:r>
        <w:rPr>
          <w:rFonts w:ascii="Arial" w:hAnsi="Arial" w:cs="Arial"/>
          <w:b/>
          <w:lang w:val="en-US"/>
        </w:rPr>
        <w:t>2025</w:t>
      </w:r>
      <w:r w:rsidR="0071691A" w:rsidRPr="00FD4C11">
        <w:rPr>
          <w:rFonts w:ascii="Arial" w:hAnsi="Arial" w:cs="Arial"/>
          <w:b/>
          <w:lang w:val="en-US"/>
        </w:rPr>
        <w:t xml:space="preserve"> (Part II)</w:t>
      </w:r>
    </w:p>
    <w:p w14:paraId="6204493F" w14:textId="77777777" w:rsidR="0071691A" w:rsidRPr="00FD4C11" w:rsidRDefault="0071691A" w:rsidP="0071691A">
      <w:pPr>
        <w:spacing w:after="360"/>
        <w:jc w:val="center"/>
        <w:rPr>
          <w:rFonts w:ascii="Arial" w:hAnsi="Arial" w:cs="Arial"/>
          <w:b/>
          <w:lang w:val="en-US"/>
        </w:rPr>
      </w:pPr>
      <w:r w:rsidRPr="00FD4C11">
        <w:rPr>
          <w:rFonts w:ascii="Arial" w:hAnsi="Arial" w:cs="Arial"/>
          <w:b/>
          <w:lang w:val="en-US"/>
        </w:rPr>
        <w:t>Online</w:t>
      </w:r>
    </w:p>
    <w:p w14:paraId="1BF6563F" w14:textId="0E2134F9" w:rsidR="00FD4C11" w:rsidRDefault="008522EF" w:rsidP="008522EF">
      <w:pPr>
        <w:pStyle w:val="COMPara"/>
        <w:spacing w:before="1440"/>
        <w:jc w:val="center"/>
        <w:rPr>
          <w:b/>
          <w:bCs/>
        </w:rPr>
      </w:pPr>
      <w:r>
        <w:rPr>
          <w:b/>
          <w:bCs/>
        </w:rPr>
        <w:t>Survey methodology and overview of results</w:t>
      </w:r>
    </w:p>
    <w:p w14:paraId="1830845F" w14:textId="39F17FD7" w:rsidR="00FD3235" w:rsidRPr="0071691A" w:rsidRDefault="00851458" w:rsidP="00FD4C11">
      <w:pPr>
        <w:spacing w:after="0" w:line="360" w:lineRule="auto"/>
        <w:jc w:val="center"/>
        <w:rPr>
          <w:rFonts w:ascii="Arial" w:hAnsi="Arial" w:cs="Arial"/>
          <w:snapToGrid w:val="0"/>
          <w:szCs w:val="22"/>
          <w:lang w:eastAsia="en-US"/>
        </w:rPr>
      </w:pPr>
      <w:r w:rsidRPr="0071691A">
        <w:rPr>
          <w:rFonts w:ascii="Arial" w:hAnsi="Arial" w:cs="Arial"/>
          <w:lang w:val="en-US"/>
        </w:rPr>
        <w:br w:type="page"/>
      </w:r>
    </w:p>
    <w:p w14:paraId="7EF8348F" w14:textId="3212AB20" w:rsidR="00653CE8" w:rsidRPr="005210F4" w:rsidRDefault="005B724F" w:rsidP="007A3400">
      <w:pPr>
        <w:pStyle w:val="1GAPara"/>
        <w:ind w:left="567" w:hanging="425"/>
        <w:rPr>
          <w:b/>
          <w:bCs/>
        </w:rPr>
      </w:pPr>
      <w:r w:rsidRPr="005210F4">
        <w:rPr>
          <w:b/>
          <w:bCs/>
        </w:rPr>
        <w:lastRenderedPageBreak/>
        <w:t>Introduction</w:t>
      </w:r>
    </w:p>
    <w:p w14:paraId="38A2CC4E" w14:textId="2984E9A0" w:rsidR="005B724F" w:rsidRPr="00041A66" w:rsidRDefault="005B724F" w:rsidP="005B724F">
      <w:pPr>
        <w:pStyle w:val="COMPara"/>
      </w:pPr>
      <w:r>
        <w:t xml:space="preserve">An online survey was conducted between </w:t>
      </w:r>
      <w:r w:rsidR="00386756">
        <w:t>7 October</w:t>
      </w:r>
      <w:r>
        <w:t xml:space="preserve"> and </w:t>
      </w:r>
      <w:r w:rsidR="00386756">
        <w:t xml:space="preserve">7 November </w:t>
      </w:r>
      <w:r w:rsidR="004C665B">
        <w:t>2022</w:t>
      </w:r>
      <w:r>
        <w:t>, as part of the initiation of the</w:t>
      </w:r>
      <w:r w:rsidR="00084321">
        <w:t xml:space="preserve"> 2003 Convention’s</w:t>
      </w:r>
      <w:r>
        <w:t xml:space="preserve"> thematic initiative</w:t>
      </w:r>
      <w:r w:rsidR="00084321">
        <w:t xml:space="preserve"> on</w:t>
      </w:r>
      <w:r>
        <w:t xml:space="preserve"> </w:t>
      </w:r>
      <w:hyperlink r:id="rId8" w:history="1">
        <w:r w:rsidR="0039035A" w:rsidRPr="0039035A">
          <w:rPr>
            <w:rStyle w:val="Hyperlink"/>
          </w:rPr>
          <w:t>s</w:t>
        </w:r>
        <w:r w:rsidRPr="0039035A">
          <w:rPr>
            <w:rStyle w:val="Hyperlink"/>
          </w:rPr>
          <w:t>afeguarding intangible cultural heritage in urban contexts</w:t>
        </w:r>
      </w:hyperlink>
      <w:r>
        <w:t xml:space="preserve">. The aim of the survey was to collect experiences and examples </w:t>
      </w:r>
      <w:r w:rsidR="00084321">
        <w:t xml:space="preserve">linked </w:t>
      </w:r>
      <w:r>
        <w:t xml:space="preserve">to the relationships between living heritage safeguarding and urban planning. This information was then used </w:t>
      </w:r>
      <w:r w:rsidR="004C665B">
        <w:t>t</w:t>
      </w:r>
      <w:r>
        <w:t>o supplement and inform desk research on the topic</w:t>
      </w:r>
      <w:r w:rsidR="00C3426C">
        <w:t>, as well as to prepare for expert consultation</w:t>
      </w:r>
      <w:r w:rsidR="00386756">
        <w:t>s</w:t>
      </w:r>
      <w:r w:rsidR="00084321">
        <w:t>,</w:t>
      </w:r>
      <w:r w:rsidR="00C3426C">
        <w:t xml:space="preserve"> </w:t>
      </w:r>
      <w:r w:rsidR="00386756">
        <w:t>including the present meeting</w:t>
      </w:r>
      <w:r>
        <w:t>. This document describes the design and execution of the sur</w:t>
      </w:r>
      <w:r w:rsidR="00C3426C">
        <w:t>v</w:t>
      </w:r>
      <w:r>
        <w:t>ey and offers an analysis of its results and findings.</w:t>
      </w:r>
    </w:p>
    <w:p w14:paraId="42DF203D" w14:textId="7A6E08EA" w:rsidR="00E570F5" w:rsidRPr="00E570F5" w:rsidRDefault="00E570F5" w:rsidP="004D44D3">
      <w:pPr>
        <w:pStyle w:val="1GAPara"/>
        <w:spacing w:before="240"/>
        <w:ind w:left="450" w:hanging="270"/>
        <w:rPr>
          <w:b/>
          <w:bCs/>
        </w:rPr>
      </w:pPr>
      <w:r w:rsidRPr="00E570F5">
        <w:rPr>
          <w:b/>
          <w:bCs/>
        </w:rPr>
        <w:t>Survey</w:t>
      </w:r>
    </w:p>
    <w:p w14:paraId="13055E11" w14:textId="66616EA8" w:rsidR="00653CE8" w:rsidRDefault="004C665B" w:rsidP="00C81DD0">
      <w:pPr>
        <w:pStyle w:val="COMPara"/>
        <w:rPr>
          <w:u w:val="single"/>
        </w:rPr>
      </w:pPr>
      <w:r w:rsidRPr="00C81DD0">
        <w:rPr>
          <w:u w:val="single"/>
        </w:rPr>
        <w:t>Survey coverage</w:t>
      </w:r>
    </w:p>
    <w:p w14:paraId="2DDC9FB2" w14:textId="62B194E7" w:rsidR="00055BD5" w:rsidRDefault="001F6B19" w:rsidP="00C81DD0">
      <w:pPr>
        <w:pStyle w:val="COMPara"/>
      </w:pPr>
      <w:r>
        <w:t>With 39 questions in total, t</w:t>
      </w:r>
      <w:r w:rsidR="00871D24" w:rsidRPr="00871D24">
        <w:t xml:space="preserve">he survey consists of </w:t>
      </w:r>
      <w:r w:rsidR="00AE596B">
        <w:t xml:space="preserve">Part 1 (thirteen </w:t>
      </w:r>
      <w:r w:rsidR="00871D24" w:rsidRPr="00871D24">
        <w:t xml:space="preserve">questions, addressing </w:t>
      </w:r>
      <w:r w:rsidR="00017041">
        <w:t xml:space="preserve">the respondent’s </w:t>
      </w:r>
      <w:r w:rsidR="00017041" w:rsidRPr="005D6B87">
        <w:rPr>
          <w:rFonts w:eastAsia="Times New Roman"/>
        </w:rPr>
        <w:t>background</w:t>
      </w:r>
      <w:r w:rsidR="00AE596B">
        <w:t>), Part 2 (five questions, addressing</w:t>
      </w:r>
      <w:r w:rsidR="00084321">
        <w:t xml:space="preserve"> the</w:t>
      </w:r>
      <w:r w:rsidR="00AE596B">
        <w:t xml:space="preserve"> identification of intangible cultural heritage in urban contexts</w:t>
      </w:r>
      <w:r w:rsidR="00772DAF">
        <w:t xml:space="preserve"> and</w:t>
      </w:r>
      <w:r w:rsidR="00AE596B">
        <w:t xml:space="preserve"> threats to intangible cultural heritage in urban contexts)</w:t>
      </w:r>
      <w:r w:rsidR="00A5108F">
        <w:t>,</w:t>
      </w:r>
      <w:r w:rsidR="00AE596B">
        <w:t xml:space="preserve"> Part 3 (</w:t>
      </w:r>
      <w:r w:rsidR="00E570F5">
        <w:t>eleven questions, addressing</w:t>
      </w:r>
      <w:r w:rsidR="00A5108F">
        <w:t xml:space="preserve"> </w:t>
      </w:r>
      <w:r w:rsidR="00084321">
        <w:t xml:space="preserve">the </w:t>
      </w:r>
      <w:r w:rsidR="00A5108F">
        <w:t>integration of intangible cultural heritage in urban planning</w:t>
      </w:r>
      <w:r w:rsidR="00AE596B">
        <w:t>)</w:t>
      </w:r>
      <w:r w:rsidR="00446980">
        <w:t>,</w:t>
      </w:r>
      <w:r w:rsidR="00A5108F">
        <w:t xml:space="preserve"> Part 4 (</w:t>
      </w:r>
      <w:r w:rsidR="00446980">
        <w:t>six questions, addressing potential actions or recommendations), Part 5 (four questions, addressing key stakeholders, experts an</w:t>
      </w:r>
      <w:r w:rsidR="00084321">
        <w:t>d</w:t>
      </w:r>
      <w:r w:rsidR="00446980">
        <w:t xml:space="preserve"> institutions related to th</w:t>
      </w:r>
      <w:r w:rsidR="00084321">
        <w:t>is</w:t>
      </w:r>
      <w:r w:rsidR="00446980">
        <w:t xml:space="preserve"> thematic initiative).</w:t>
      </w:r>
    </w:p>
    <w:p w14:paraId="5F0D098F" w14:textId="2776BC5D" w:rsidR="007A3400" w:rsidRPr="00871D24" w:rsidRDefault="007A3400" w:rsidP="00C81DD0">
      <w:pPr>
        <w:pStyle w:val="COMPara"/>
      </w:pPr>
      <w:r>
        <w:t xml:space="preserve">The survey questions can be accessed from the dedicated </w:t>
      </w:r>
      <w:hyperlink r:id="rId9" w:history="1">
        <w:r w:rsidRPr="007A3400">
          <w:rPr>
            <w:rStyle w:val="Hyperlink"/>
          </w:rPr>
          <w:t>webpage</w:t>
        </w:r>
      </w:hyperlink>
      <w:r>
        <w:t xml:space="preserve"> of the 2003 Convention.</w:t>
      </w:r>
    </w:p>
    <w:p w14:paraId="6E94AC31" w14:textId="666D5512" w:rsidR="007A3400" w:rsidRPr="00055BD5" w:rsidRDefault="00055BD5" w:rsidP="00C81DD0">
      <w:pPr>
        <w:pStyle w:val="COMPara"/>
      </w:pPr>
      <w:r>
        <w:t xml:space="preserve">The survey was sent by the Secretariat of the 2003 Convention to the following </w:t>
      </w:r>
      <w:r w:rsidR="00084321">
        <w:t>stakeholders</w:t>
      </w:r>
      <w:r>
        <w:t>: S</w:t>
      </w:r>
      <w:r w:rsidR="00084321">
        <w:t>t</w:t>
      </w:r>
      <w:r>
        <w:t>ates Parties</w:t>
      </w:r>
      <w:r w:rsidR="004B79A0">
        <w:t xml:space="preserve"> (233)</w:t>
      </w:r>
      <w:r>
        <w:t>; focal points of elements inscribed on the Lists and programmes sele</w:t>
      </w:r>
      <w:r w:rsidR="008E0B3C">
        <w:t>c</w:t>
      </w:r>
      <w:r>
        <w:t>ted for the Register of the Convention</w:t>
      </w:r>
      <w:r w:rsidR="004B79A0">
        <w:t xml:space="preserve"> (611)</w:t>
      </w:r>
      <w:r>
        <w:t>; NGOs</w:t>
      </w:r>
      <w:r w:rsidR="004B79A0">
        <w:t xml:space="preserve"> </w:t>
      </w:r>
      <w:r w:rsidR="005C66B8">
        <w:t xml:space="preserve">accredited under the 2003 Convention </w:t>
      </w:r>
      <w:r w:rsidR="004B79A0">
        <w:t>(433)</w:t>
      </w:r>
      <w:r>
        <w:t>; and UNESCO Category 2 Centres</w:t>
      </w:r>
      <w:r w:rsidR="004B79A0">
        <w:t xml:space="preserve"> (47)</w:t>
      </w:r>
      <w:r>
        <w:t>.</w:t>
      </w:r>
    </w:p>
    <w:p w14:paraId="4FF67F6D" w14:textId="73B1C8A6" w:rsidR="00653CE8" w:rsidRDefault="004C665B" w:rsidP="00C81DD0">
      <w:pPr>
        <w:pStyle w:val="COMPara"/>
        <w:rPr>
          <w:u w:val="single"/>
        </w:rPr>
      </w:pPr>
      <w:r w:rsidRPr="00C81DD0">
        <w:rPr>
          <w:u w:val="single"/>
        </w:rPr>
        <w:t>Survey respondents</w:t>
      </w:r>
    </w:p>
    <w:p w14:paraId="572522CA" w14:textId="74F0C6A0" w:rsidR="009C3137" w:rsidRDefault="009C3137" w:rsidP="00C81DD0">
      <w:pPr>
        <w:pStyle w:val="COMPara"/>
      </w:pPr>
      <w:r w:rsidRPr="009C3137">
        <w:t xml:space="preserve">A total of 64 responses </w:t>
      </w:r>
      <w:r w:rsidR="00084321">
        <w:t>was</w:t>
      </w:r>
      <w:r w:rsidR="00084321" w:rsidRPr="009C3137">
        <w:t xml:space="preserve"> </w:t>
      </w:r>
      <w:r w:rsidRPr="009C3137">
        <w:t>received from 39 countries</w:t>
      </w:r>
      <w:r>
        <w:t xml:space="preserve"> (with reference to over 50 cities): Electoral Group I; </w:t>
      </w:r>
      <w:r w:rsidR="00772DAF">
        <w:t>36</w:t>
      </w:r>
      <w:r>
        <w:t xml:space="preserve">%, Electoral Group II: </w:t>
      </w:r>
      <w:r w:rsidR="00772DAF">
        <w:t>5</w:t>
      </w:r>
      <w:r>
        <w:t xml:space="preserve">%; Electoral Group III: 17%; Electoral Group IV: 25%: Electoral </w:t>
      </w:r>
      <w:r w:rsidR="003D7BE6">
        <w:t>G</w:t>
      </w:r>
      <w:r>
        <w:t>roup V</w:t>
      </w:r>
      <w:r w:rsidR="00084321">
        <w:t>(</w:t>
      </w:r>
      <w:r>
        <w:t>a): 14%; Electoral Group V</w:t>
      </w:r>
      <w:r w:rsidR="00084321">
        <w:t>(</w:t>
      </w:r>
      <w:r>
        <w:t>b): 3%.</w:t>
      </w:r>
      <w:r w:rsidR="00055BD5">
        <w:t xml:space="preserve"> Of the respondents, 64% were women, while 34% were men.</w:t>
      </w:r>
    </w:p>
    <w:p w14:paraId="541BE346" w14:textId="6B54B7D3" w:rsidR="00CE2A64" w:rsidRDefault="0039035A" w:rsidP="00C81DD0">
      <w:pPr>
        <w:pStyle w:val="COMPara"/>
      </w:pPr>
      <w:r>
        <w:t>In terms of</w:t>
      </w:r>
      <w:r w:rsidR="00CE2A64">
        <w:t xml:space="preserve"> </w:t>
      </w:r>
      <w:r>
        <w:t xml:space="preserve">area </w:t>
      </w:r>
      <w:r w:rsidR="00CE2A64">
        <w:t>of expertise, the respondents identified themselves as:</w:t>
      </w:r>
    </w:p>
    <w:p w14:paraId="210AA8C3" w14:textId="77777777" w:rsidR="00CE2A64" w:rsidRDefault="00CE2A64" w:rsidP="002F1F55">
      <w:pPr>
        <w:pStyle w:val="COMPara"/>
        <w:numPr>
          <w:ilvl w:val="0"/>
          <w:numId w:val="11"/>
        </w:numPr>
        <w:spacing w:after="0"/>
        <w:ind w:left="714" w:hanging="357"/>
      </w:pPr>
      <w:r>
        <w:t>Intangible cultural heritage experts (53%)</w:t>
      </w:r>
    </w:p>
    <w:p w14:paraId="20AD6B10" w14:textId="72A078C5" w:rsidR="00CE2A64" w:rsidRDefault="00CE2A64" w:rsidP="002F1F55">
      <w:pPr>
        <w:pStyle w:val="COMPara"/>
        <w:numPr>
          <w:ilvl w:val="0"/>
          <w:numId w:val="11"/>
        </w:numPr>
        <w:spacing w:after="0"/>
        <w:ind w:left="714" w:hanging="357"/>
      </w:pPr>
      <w:r>
        <w:t>Researchers (24%)</w:t>
      </w:r>
    </w:p>
    <w:p w14:paraId="47393F9C" w14:textId="2BF42053" w:rsidR="00CE2A64" w:rsidRDefault="00CE2A64" w:rsidP="002F1F55">
      <w:pPr>
        <w:pStyle w:val="COMPara"/>
        <w:numPr>
          <w:ilvl w:val="0"/>
          <w:numId w:val="11"/>
        </w:numPr>
        <w:spacing w:after="0"/>
        <w:ind w:left="714" w:hanging="357"/>
      </w:pPr>
      <w:r>
        <w:t>Policymakers or public officials (13%)</w:t>
      </w:r>
    </w:p>
    <w:p w14:paraId="1FF19519" w14:textId="42AE18A4" w:rsidR="00CE2A64" w:rsidRDefault="00CE2A64" w:rsidP="002F1F55">
      <w:pPr>
        <w:pStyle w:val="COMPara"/>
        <w:numPr>
          <w:ilvl w:val="0"/>
          <w:numId w:val="11"/>
        </w:numPr>
        <w:spacing w:after="0"/>
        <w:ind w:left="714" w:hanging="357"/>
      </w:pPr>
      <w:r>
        <w:t>Architecture (4%)</w:t>
      </w:r>
    </w:p>
    <w:p w14:paraId="4F46CC52" w14:textId="24E35416" w:rsidR="00CE2A64" w:rsidRDefault="00CE2A64" w:rsidP="00E72940">
      <w:pPr>
        <w:pStyle w:val="COMPara"/>
        <w:numPr>
          <w:ilvl w:val="0"/>
          <w:numId w:val="11"/>
        </w:numPr>
        <w:ind w:left="714" w:hanging="357"/>
      </w:pPr>
      <w:r>
        <w:t>Others (4%)</w:t>
      </w:r>
    </w:p>
    <w:p w14:paraId="3E835CDA" w14:textId="497F530A" w:rsidR="00653CE8" w:rsidRPr="005210F4" w:rsidRDefault="00555BE8" w:rsidP="004D44D3">
      <w:pPr>
        <w:pStyle w:val="1GAPara"/>
        <w:spacing w:before="240"/>
        <w:ind w:left="540" w:hanging="284"/>
        <w:rPr>
          <w:b/>
          <w:bCs/>
        </w:rPr>
      </w:pPr>
      <w:r w:rsidRPr="005210F4">
        <w:rPr>
          <w:b/>
          <w:bCs/>
        </w:rPr>
        <w:t>Analysis of survey responses</w:t>
      </w:r>
    </w:p>
    <w:p w14:paraId="6F05EA1A" w14:textId="3C20F763" w:rsidR="000473E7" w:rsidRDefault="00555BE8" w:rsidP="00555BE8">
      <w:pPr>
        <w:pStyle w:val="COMPara"/>
        <w:rPr>
          <w:rFonts w:eastAsia="Times New Roman"/>
        </w:rPr>
      </w:pPr>
      <w:r w:rsidRPr="00555BE8">
        <w:t>The responses to this survey are not</w:t>
      </w:r>
      <w:r>
        <w:rPr>
          <w:rFonts w:eastAsia="Times New Roman"/>
        </w:rPr>
        <w:t xml:space="preserve"> inclusive or proportionally representative of all countries, regions, professional perspectives or topics, and do not provide </w:t>
      </w:r>
      <w:r w:rsidR="00B078B5">
        <w:rPr>
          <w:rFonts w:eastAsia="Times New Roman"/>
        </w:rPr>
        <w:t xml:space="preserve">a </w:t>
      </w:r>
      <w:r>
        <w:rPr>
          <w:rFonts w:eastAsia="Times New Roman"/>
        </w:rPr>
        <w:t>basis for any quanti</w:t>
      </w:r>
      <w:r w:rsidR="00493D2F">
        <w:rPr>
          <w:rFonts w:eastAsia="Times New Roman"/>
        </w:rPr>
        <w:t>tative</w:t>
      </w:r>
      <w:r>
        <w:rPr>
          <w:rFonts w:eastAsia="Times New Roman"/>
        </w:rPr>
        <w:t xml:space="preserve"> form of analysis. Nevertheless, they form an important and useful body of observations and information for the new intersectional field of intangible cultural heritage and urban planning</w:t>
      </w:r>
      <w:r w:rsidR="000473E7">
        <w:rPr>
          <w:rFonts w:eastAsia="Times New Roman"/>
        </w:rPr>
        <w:t xml:space="preserve">, as well as a snapshot of our understanding of </w:t>
      </w:r>
      <w:r w:rsidR="0039035A">
        <w:rPr>
          <w:rFonts w:eastAsia="Times New Roman"/>
        </w:rPr>
        <w:t xml:space="preserve">this </w:t>
      </w:r>
      <w:r w:rsidR="000473E7">
        <w:rPr>
          <w:rFonts w:eastAsia="Times New Roman"/>
        </w:rPr>
        <w:t xml:space="preserve">field at the </w:t>
      </w:r>
      <w:r w:rsidR="00E35D7D">
        <w:rPr>
          <w:rFonts w:eastAsia="Times New Roman"/>
        </w:rPr>
        <w:t xml:space="preserve">time </w:t>
      </w:r>
      <w:r w:rsidR="000473E7">
        <w:rPr>
          <w:rFonts w:eastAsia="Times New Roman"/>
        </w:rPr>
        <w:t xml:space="preserve">of the survey. The following brief </w:t>
      </w:r>
      <w:r w:rsidR="00E35D7D">
        <w:rPr>
          <w:rFonts w:eastAsia="Times New Roman"/>
        </w:rPr>
        <w:t xml:space="preserve">analysis </w:t>
      </w:r>
      <w:r w:rsidR="000473E7">
        <w:rPr>
          <w:rFonts w:eastAsia="Times New Roman"/>
        </w:rPr>
        <w:t>seek</w:t>
      </w:r>
      <w:r w:rsidR="00E35D7D">
        <w:rPr>
          <w:rFonts w:eastAsia="Times New Roman"/>
        </w:rPr>
        <w:t>s</w:t>
      </w:r>
      <w:r w:rsidR="000473E7">
        <w:rPr>
          <w:rFonts w:eastAsia="Times New Roman"/>
        </w:rPr>
        <w:t xml:space="preserve"> to capture key insights from the responses to the survey.</w:t>
      </w:r>
    </w:p>
    <w:p w14:paraId="0AD81697" w14:textId="18B7C658" w:rsidR="00D632B6" w:rsidRDefault="00D632B6" w:rsidP="002F1F55">
      <w:pPr>
        <w:pStyle w:val="COMPara"/>
        <w:spacing w:after="0"/>
        <w:jc w:val="center"/>
        <w:rPr>
          <w:rFonts w:eastAsia="Times New Roman"/>
        </w:rPr>
      </w:pPr>
      <w:r>
        <w:rPr>
          <w:rFonts w:eastAsia="Times New Roman"/>
        </w:rPr>
        <w:t>***</w:t>
      </w:r>
    </w:p>
    <w:p w14:paraId="3C314FDE" w14:textId="43DE5348" w:rsidR="001D682C" w:rsidRPr="001D682C" w:rsidRDefault="001D682C" w:rsidP="00555BE8">
      <w:pPr>
        <w:pStyle w:val="COMPara"/>
        <w:rPr>
          <w:rFonts w:eastAsia="Times New Roman"/>
        </w:rPr>
      </w:pPr>
      <w:r>
        <w:rPr>
          <w:rFonts w:eastAsia="Times New Roman"/>
          <w:b/>
          <w:bCs/>
        </w:rPr>
        <w:t>Examples of living heritage that exist in urban context</w:t>
      </w:r>
      <w:r w:rsidR="001332A8">
        <w:rPr>
          <w:rFonts w:eastAsia="Times New Roman"/>
          <w:b/>
          <w:bCs/>
        </w:rPr>
        <w:t>s</w:t>
      </w:r>
      <w:r>
        <w:rPr>
          <w:rFonts w:eastAsia="Times New Roman"/>
          <w:b/>
          <w:bCs/>
        </w:rPr>
        <w:t xml:space="preserve">: </w:t>
      </w:r>
      <w:r>
        <w:rPr>
          <w:rFonts w:eastAsia="Times New Roman"/>
        </w:rPr>
        <w:t xml:space="preserve">The respondents provided a set of examples of traditions and practices of living heritage in urban contexts from around the world. </w:t>
      </w:r>
      <w:r w:rsidR="00E35D7D">
        <w:rPr>
          <w:rFonts w:eastAsia="Times New Roman"/>
        </w:rPr>
        <w:t>These include</w:t>
      </w:r>
      <w:r>
        <w:rPr>
          <w:rFonts w:eastAsia="Times New Roman"/>
        </w:rPr>
        <w:t xml:space="preserve"> practices and expressions related to masks, foodways, festivals and seasonal </w:t>
      </w:r>
      <w:r w:rsidR="007A3400">
        <w:rPr>
          <w:rFonts w:eastAsia="Times New Roman"/>
        </w:rPr>
        <w:t>celebrations,</w:t>
      </w:r>
      <w:r>
        <w:rPr>
          <w:rFonts w:eastAsia="Times New Roman"/>
        </w:rPr>
        <w:t xml:space="preserve"> sauna culture, physical practice</w:t>
      </w:r>
      <w:r w:rsidR="0067051E">
        <w:rPr>
          <w:rFonts w:eastAsia="Times New Roman"/>
        </w:rPr>
        <w:t xml:space="preserve"> and</w:t>
      </w:r>
      <w:r>
        <w:rPr>
          <w:rFonts w:eastAsia="Times New Roman"/>
        </w:rPr>
        <w:t xml:space="preserve"> traditional built heritage trades</w:t>
      </w:r>
      <w:r w:rsidR="0067051E">
        <w:rPr>
          <w:rFonts w:eastAsia="Times New Roman"/>
        </w:rPr>
        <w:t>, amongst others.</w:t>
      </w:r>
      <w:r>
        <w:rPr>
          <w:rFonts w:eastAsia="Times New Roman"/>
        </w:rPr>
        <w:t xml:space="preserve"> </w:t>
      </w:r>
    </w:p>
    <w:p w14:paraId="5FC7138D" w14:textId="04B5E822" w:rsidR="000473E7" w:rsidRDefault="00103DB1" w:rsidP="00555BE8">
      <w:pPr>
        <w:pStyle w:val="COMPara"/>
        <w:rPr>
          <w:rFonts w:eastAsia="Times New Roman"/>
        </w:rPr>
      </w:pPr>
      <w:r w:rsidRPr="00103DB1">
        <w:rPr>
          <w:rFonts w:eastAsia="Times New Roman"/>
          <w:b/>
          <w:bCs/>
        </w:rPr>
        <w:t>Threats</w:t>
      </w:r>
      <w:r>
        <w:rPr>
          <w:rFonts w:eastAsia="Times New Roman"/>
        </w:rPr>
        <w:t xml:space="preserve">: </w:t>
      </w:r>
      <w:r w:rsidR="000473E7">
        <w:rPr>
          <w:rFonts w:eastAsia="Times New Roman"/>
        </w:rPr>
        <w:t xml:space="preserve">In response to the question </w:t>
      </w:r>
      <w:r w:rsidR="00E35D7D">
        <w:rPr>
          <w:rFonts w:eastAsia="Times New Roman"/>
        </w:rPr>
        <w:t xml:space="preserve">on </w:t>
      </w:r>
      <w:r w:rsidR="000473E7">
        <w:rPr>
          <w:rFonts w:eastAsia="Times New Roman"/>
        </w:rPr>
        <w:t>threats in urban contexts that impact the transmission of intangible cultural heritage (and which may be exacerbated when</w:t>
      </w:r>
      <w:r w:rsidR="0039035A">
        <w:rPr>
          <w:rFonts w:eastAsia="Times New Roman"/>
        </w:rPr>
        <w:t xml:space="preserve"> not considered in</w:t>
      </w:r>
      <w:r w:rsidR="000473E7">
        <w:rPr>
          <w:rFonts w:eastAsia="Times New Roman"/>
        </w:rPr>
        <w:t xml:space="preserve"> urban planning), the respondents </w:t>
      </w:r>
      <w:r w:rsidR="0039035A">
        <w:rPr>
          <w:rFonts w:eastAsia="Times New Roman"/>
        </w:rPr>
        <w:t xml:space="preserve">identified </w:t>
      </w:r>
      <w:r w:rsidR="000473E7">
        <w:rPr>
          <w:rFonts w:eastAsia="Times New Roman"/>
        </w:rPr>
        <w:t>the following as major challenge</w:t>
      </w:r>
      <w:r w:rsidR="00E35D7D">
        <w:rPr>
          <w:rFonts w:eastAsia="Times New Roman"/>
        </w:rPr>
        <w:t>s</w:t>
      </w:r>
      <w:r w:rsidR="000473E7">
        <w:rPr>
          <w:rFonts w:eastAsia="Times New Roman"/>
        </w:rPr>
        <w:t>:</w:t>
      </w:r>
    </w:p>
    <w:p w14:paraId="68139C3B" w14:textId="77777777" w:rsidR="000473E7" w:rsidRDefault="000473E7" w:rsidP="008261ED">
      <w:pPr>
        <w:pStyle w:val="COMPara"/>
        <w:keepNext/>
        <w:numPr>
          <w:ilvl w:val="0"/>
          <w:numId w:val="11"/>
        </w:numPr>
        <w:spacing w:after="0"/>
        <w:rPr>
          <w:rFonts w:eastAsia="Times New Roman"/>
        </w:rPr>
      </w:pPr>
      <w:r>
        <w:rPr>
          <w:rFonts w:eastAsia="Times New Roman"/>
        </w:rPr>
        <w:lastRenderedPageBreak/>
        <w:t xml:space="preserve">Rapid </w:t>
      </w:r>
      <w:r w:rsidRPr="000473E7">
        <w:t>urbanization</w:t>
      </w:r>
      <w:r>
        <w:rPr>
          <w:rFonts w:eastAsia="Times New Roman"/>
        </w:rPr>
        <w:t xml:space="preserve"> altering ways of living (33%)</w:t>
      </w:r>
    </w:p>
    <w:p w14:paraId="19E97D03" w14:textId="5771A6F2" w:rsidR="00D632B6" w:rsidRDefault="00D632B6" w:rsidP="002F1F55">
      <w:pPr>
        <w:pStyle w:val="COMPara"/>
        <w:numPr>
          <w:ilvl w:val="0"/>
          <w:numId w:val="11"/>
        </w:numPr>
        <w:spacing w:after="0"/>
        <w:rPr>
          <w:rFonts w:eastAsia="Times New Roman"/>
        </w:rPr>
      </w:pPr>
      <w:r>
        <w:rPr>
          <w:rFonts w:eastAsia="Times New Roman"/>
        </w:rPr>
        <w:t>Destruction or changes to spaces associated with cultural practices (24%)</w:t>
      </w:r>
    </w:p>
    <w:p w14:paraId="2FF33E78" w14:textId="3F87B97D" w:rsidR="00D632B6" w:rsidRDefault="00D632B6" w:rsidP="002F1F55">
      <w:pPr>
        <w:pStyle w:val="COMPara"/>
        <w:numPr>
          <w:ilvl w:val="0"/>
          <w:numId w:val="11"/>
        </w:numPr>
        <w:spacing w:after="0"/>
        <w:rPr>
          <w:rFonts w:eastAsia="Times New Roman"/>
        </w:rPr>
      </w:pPr>
      <w:r>
        <w:rPr>
          <w:rFonts w:eastAsia="Times New Roman"/>
        </w:rPr>
        <w:t>Unemployment or low incomes (9%)</w:t>
      </w:r>
    </w:p>
    <w:p w14:paraId="597F5527" w14:textId="5D87E67F" w:rsidR="00D632B6" w:rsidRDefault="00D632B6" w:rsidP="002F1F55">
      <w:pPr>
        <w:pStyle w:val="COMPara"/>
        <w:numPr>
          <w:ilvl w:val="0"/>
          <w:numId w:val="11"/>
        </w:numPr>
        <w:spacing w:after="0"/>
        <w:rPr>
          <w:rFonts w:eastAsia="Times New Roman"/>
        </w:rPr>
      </w:pPr>
      <w:r>
        <w:rPr>
          <w:rFonts w:eastAsia="Times New Roman"/>
        </w:rPr>
        <w:t>Lack of public spaces (7%)</w:t>
      </w:r>
    </w:p>
    <w:p w14:paraId="435C9934" w14:textId="6B75F684" w:rsidR="00D632B6" w:rsidRDefault="00D632B6" w:rsidP="002F1F55">
      <w:pPr>
        <w:pStyle w:val="COMPara"/>
        <w:numPr>
          <w:ilvl w:val="0"/>
          <w:numId w:val="11"/>
        </w:numPr>
        <w:spacing w:after="0"/>
        <w:rPr>
          <w:rFonts w:eastAsia="Times New Roman"/>
        </w:rPr>
      </w:pPr>
      <w:r>
        <w:rPr>
          <w:rFonts w:eastAsia="Times New Roman"/>
        </w:rPr>
        <w:t>Globalization (5%)</w:t>
      </w:r>
    </w:p>
    <w:p w14:paraId="1606DB7E" w14:textId="77777777" w:rsidR="00D632B6" w:rsidRDefault="00D632B6" w:rsidP="002F1F55">
      <w:pPr>
        <w:pStyle w:val="COMPara"/>
        <w:numPr>
          <w:ilvl w:val="0"/>
          <w:numId w:val="11"/>
        </w:numPr>
        <w:spacing w:after="0"/>
        <w:rPr>
          <w:rFonts w:eastAsia="Times New Roman"/>
        </w:rPr>
      </w:pPr>
      <w:r>
        <w:rPr>
          <w:rFonts w:eastAsia="Times New Roman"/>
        </w:rPr>
        <w:t>New technologies (5%)</w:t>
      </w:r>
    </w:p>
    <w:p w14:paraId="537A6331" w14:textId="75AAC4CF" w:rsidR="00D632B6" w:rsidRDefault="00D632B6" w:rsidP="002F1F55">
      <w:pPr>
        <w:pStyle w:val="COMPara"/>
        <w:numPr>
          <w:ilvl w:val="0"/>
          <w:numId w:val="11"/>
        </w:numPr>
        <w:spacing w:after="0"/>
        <w:rPr>
          <w:rFonts w:eastAsia="Times New Roman"/>
        </w:rPr>
      </w:pPr>
      <w:r>
        <w:rPr>
          <w:rFonts w:eastAsia="Times New Roman"/>
        </w:rPr>
        <w:t>Migration (4%)</w:t>
      </w:r>
    </w:p>
    <w:p w14:paraId="6F237BE4" w14:textId="705EC82C" w:rsidR="00D632B6" w:rsidRDefault="00D632B6" w:rsidP="002F1F55">
      <w:pPr>
        <w:pStyle w:val="COMPara"/>
        <w:numPr>
          <w:ilvl w:val="0"/>
          <w:numId w:val="11"/>
        </w:numPr>
        <w:spacing w:after="0"/>
        <w:rPr>
          <w:rFonts w:eastAsia="Times New Roman"/>
        </w:rPr>
      </w:pPr>
      <w:r>
        <w:rPr>
          <w:rFonts w:eastAsia="Times New Roman"/>
        </w:rPr>
        <w:t>Climate change and disasters (4%)</w:t>
      </w:r>
    </w:p>
    <w:p w14:paraId="435CDFA3" w14:textId="087C8AA4" w:rsidR="00D632B6" w:rsidRDefault="00D632B6" w:rsidP="00E72940">
      <w:pPr>
        <w:pStyle w:val="COMPara"/>
        <w:numPr>
          <w:ilvl w:val="0"/>
          <w:numId w:val="11"/>
        </w:numPr>
        <w:ind w:left="714" w:hanging="357"/>
        <w:rPr>
          <w:rFonts w:eastAsia="Times New Roman"/>
        </w:rPr>
      </w:pPr>
      <w:r>
        <w:rPr>
          <w:rFonts w:eastAsia="Times New Roman"/>
        </w:rPr>
        <w:t>Others (9%)</w:t>
      </w:r>
    </w:p>
    <w:p w14:paraId="5EC836E9" w14:textId="454184AB" w:rsidR="005210F4" w:rsidRPr="0067051E" w:rsidRDefault="0067051E" w:rsidP="00E72940">
      <w:pPr>
        <w:pStyle w:val="COMPara"/>
        <w:rPr>
          <w:rFonts w:eastAsia="Times New Roman"/>
        </w:rPr>
      </w:pPr>
      <w:r w:rsidRPr="0067051E">
        <w:rPr>
          <w:b/>
          <w:bCs/>
        </w:rPr>
        <w:t>Integration of intangible cultural heritage in urban planning</w:t>
      </w:r>
      <w:r>
        <w:t>:</w:t>
      </w:r>
      <w:r w:rsidRPr="0067051E">
        <w:t xml:space="preserve"> </w:t>
      </w:r>
      <w:r>
        <w:t>M</w:t>
      </w:r>
      <w:r w:rsidR="005210F4" w:rsidRPr="0067051E">
        <w:t xml:space="preserve">any respondents emphasized the need to incorporate intangible cultural heritage </w:t>
      </w:r>
      <w:r w:rsidR="003748FC">
        <w:t xml:space="preserve">safeguarding </w:t>
      </w:r>
      <w:r w:rsidR="005210F4" w:rsidRPr="0067051E">
        <w:t>into urban planning</w:t>
      </w:r>
      <w:r w:rsidR="00933E71">
        <w:t>.</w:t>
      </w:r>
      <w:r w:rsidR="005210F4" w:rsidRPr="0067051E">
        <w:t xml:space="preserve"> </w:t>
      </w:r>
      <w:r w:rsidR="00933E71">
        <w:t>W</w:t>
      </w:r>
      <w:r w:rsidR="005210F4" w:rsidRPr="0067051E">
        <w:t xml:space="preserve">hen asked to name examples of </w:t>
      </w:r>
      <w:r w:rsidR="001332A8">
        <w:t>connections</w:t>
      </w:r>
      <w:r w:rsidR="001332A8" w:rsidRPr="0067051E">
        <w:t xml:space="preserve"> </w:t>
      </w:r>
      <w:r w:rsidR="005210F4" w:rsidRPr="0067051E">
        <w:t xml:space="preserve">between built environments and living heritage that could be taken into consideration in </w:t>
      </w:r>
      <w:r w:rsidR="001332A8">
        <w:t xml:space="preserve">urban </w:t>
      </w:r>
      <w:r w:rsidR="005210F4" w:rsidRPr="0067051E">
        <w:t xml:space="preserve">planning, </w:t>
      </w:r>
      <w:r w:rsidR="0039035A">
        <w:t>most</w:t>
      </w:r>
      <w:r w:rsidR="005210F4" w:rsidRPr="0067051E">
        <w:t xml:space="preserve"> responses highlighted living heritage practices that are held in public spaces, parks and ecosystems</w:t>
      </w:r>
      <w:r w:rsidR="00933E71">
        <w:t>,</w:t>
      </w:r>
      <w:r w:rsidR="005210F4" w:rsidRPr="0067051E">
        <w:t xml:space="preserve"> such as lakes and riversides, religious spaces </w:t>
      </w:r>
      <w:r w:rsidR="00933E71">
        <w:t>(</w:t>
      </w:r>
      <w:r w:rsidR="005210F4" w:rsidRPr="0067051E">
        <w:t>including mosques and churches</w:t>
      </w:r>
      <w:r w:rsidR="00933E71">
        <w:t>)</w:t>
      </w:r>
      <w:r w:rsidR="005210F4" w:rsidRPr="0067051E">
        <w:t xml:space="preserve">, and several public facilities such as museums and performance venues. Many respondents </w:t>
      </w:r>
      <w:r w:rsidR="00D3733C" w:rsidRPr="0067051E">
        <w:t xml:space="preserve">also </w:t>
      </w:r>
      <w:r w:rsidR="005210F4" w:rsidRPr="0067051E">
        <w:t xml:space="preserve">identified ‘historic </w:t>
      </w:r>
      <w:r w:rsidR="00933E71" w:rsidRPr="0067051E">
        <w:t>centres’</w:t>
      </w:r>
      <w:r w:rsidR="005210F4" w:rsidRPr="0067051E">
        <w:t xml:space="preserve"> as a key factor linking living heritage </w:t>
      </w:r>
      <w:r w:rsidR="001332A8">
        <w:t>with</w:t>
      </w:r>
      <w:r w:rsidR="001332A8" w:rsidRPr="0067051E">
        <w:t xml:space="preserve"> </w:t>
      </w:r>
      <w:r w:rsidR="005210F4" w:rsidRPr="0067051E">
        <w:t>the built environment, as well as streets for the practice of processions and festivals.</w:t>
      </w:r>
    </w:p>
    <w:p w14:paraId="21093897" w14:textId="2886FD27" w:rsidR="005210F4" w:rsidRDefault="00195150" w:rsidP="005210F4">
      <w:pPr>
        <w:jc w:val="both"/>
        <w:rPr>
          <w:rFonts w:ascii="Arial" w:eastAsia="Calibri" w:hAnsi="Arial" w:cs="Arial"/>
          <w:snapToGrid w:val="0"/>
          <w:szCs w:val="22"/>
          <w:lang w:eastAsia="en-US"/>
        </w:rPr>
      </w:pPr>
      <w:r w:rsidRPr="00195150">
        <w:rPr>
          <w:rFonts w:ascii="Arial" w:eastAsia="Calibri" w:hAnsi="Arial" w:cs="Arial"/>
          <w:b/>
          <w:bCs/>
          <w:snapToGrid w:val="0"/>
          <w:szCs w:val="22"/>
          <w:lang w:eastAsia="en-US"/>
        </w:rPr>
        <w:t>Methodologies, tools or mechanisms</w:t>
      </w:r>
      <w:r>
        <w:rPr>
          <w:rFonts w:ascii="Arial" w:eastAsia="Calibri" w:hAnsi="Arial" w:cs="Arial"/>
          <w:snapToGrid w:val="0"/>
          <w:szCs w:val="22"/>
          <w:lang w:eastAsia="en-US"/>
        </w:rPr>
        <w:t xml:space="preserve">: </w:t>
      </w:r>
      <w:r w:rsidR="00D3733C">
        <w:rPr>
          <w:rFonts w:ascii="Arial" w:eastAsia="Calibri" w:hAnsi="Arial" w:cs="Arial"/>
          <w:snapToGrid w:val="0"/>
          <w:szCs w:val="22"/>
          <w:lang w:eastAsia="en-US"/>
        </w:rPr>
        <w:t>T</w:t>
      </w:r>
      <w:r w:rsidR="005210F4" w:rsidRPr="005210F4">
        <w:rPr>
          <w:rFonts w:ascii="Arial" w:eastAsia="Calibri" w:hAnsi="Arial" w:cs="Arial"/>
          <w:snapToGrid w:val="0"/>
          <w:szCs w:val="22"/>
          <w:lang w:eastAsia="en-US"/>
        </w:rPr>
        <w:t xml:space="preserve">he respondents were also asked to </w:t>
      </w:r>
      <w:r w:rsidR="005210F4" w:rsidRPr="00195150">
        <w:rPr>
          <w:rFonts w:ascii="Arial" w:eastAsia="Calibri" w:hAnsi="Arial" w:cs="Arial"/>
          <w:snapToGrid w:val="0"/>
          <w:szCs w:val="22"/>
          <w:lang w:eastAsia="en-US"/>
        </w:rPr>
        <w:t>name methodologies, tools, or mechanisms established or applied for the inclusion of intangible cultu</w:t>
      </w:r>
      <w:r w:rsidR="005210F4">
        <w:rPr>
          <w:rFonts w:ascii="Arial" w:eastAsia="Calibri" w:hAnsi="Arial" w:cs="Arial"/>
          <w:snapToGrid w:val="0"/>
          <w:szCs w:val="22"/>
          <w:lang w:eastAsia="en-US"/>
        </w:rPr>
        <w:t>ral heritage</w:t>
      </w:r>
      <w:r w:rsidR="005210F4" w:rsidRPr="005210F4">
        <w:rPr>
          <w:rFonts w:ascii="Arial" w:eastAsia="Calibri" w:hAnsi="Arial" w:cs="Arial"/>
          <w:snapToGrid w:val="0"/>
          <w:szCs w:val="22"/>
          <w:lang w:eastAsia="en-US"/>
        </w:rPr>
        <w:t xml:space="preserve"> in urban plans, such as policies, legislation, financing, or others. </w:t>
      </w:r>
      <w:r w:rsidR="005210F4">
        <w:rPr>
          <w:rFonts w:ascii="Arial" w:eastAsia="Calibri" w:hAnsi="Arial" w:cs="Arial"/>
          <w:snapToGrid w:val="0"/>
          <w:szCs w:val="22"/>
          <w:lang w:eastAsia="en-US"/>
        </w:rPr>
        <w:t>C</w:t>
      </w:r>
      <w:r w:rsidR="005210F4" w:rsidRPr="005210F4">
        <w:rPr>
          <w:rFonts w:ascii="Arial" w:eastAsia="Calibri" w:hAnsi="Arial" w:cs="Arial"/>
          <w:snapToGrid w:val="0"/>
          <w:szCs w:val="22"/>
          <w:lang w:eastAsia="en-US"/>
        </w:rPr>
        <w:t xml:space="preserve">lose to 40% of the respondents indicated that they were not aware of any </w:t>
      </w:r>
      <w:r w:rsidR="003748FC">
        <w:rPr>
          <w:rFonts w:ascii="Arial" w:eastAsia="Calibri" w:hAnsi="Arial" w:cs="Arial"/>
          <w:snapToGrid w:val="0"/>
          <w:szCs w:val="22"/>
          <w:lang w:eastAsia="en-US"/>
        </w:rPr>
        <w:t>such examples</w:t>
      </w:r>
      <w:r w:rsidR="005210F4" w:rsidRPr="005210F4">
        <w:rPr>
          <w:rFonts w:ascii="Arial" w:eastAsia="Calibri" w:hAnsi="Arial" w:cs="Arial"/>
          <w:snapToGrid w:val="0"/>
          <w:szCs w:val="22"/>
          <w:lang w:eastAsia="en-US"/>
        </w:rPr>
        <w:t xml:space="preserve">. </w:t>
      </w:r>
      <w:r w:rsidR="003748FC">
        <w:rPr>
          <w:rFonts w:ascii="Arial" w:eastAsia="Calibri" w:hAnsi="Arial" w:cs="Arial"/>
          <w:snapToGrid w:val="0"/>
          <w:szCs w:val="22"/>
          <w:lang w:eastAsia="en-US"/>
        </w:rPr>
        <w:t>However</w:t>
      </w:r>
      <w:r w:rsidR="005210F4" w:rsidRPr="005210F4">
        <w:rPr>
          <w:rFonts w:ascii="Arial" w:eastAsia="Calibri" w:hAnsi="Arial" w:cs="Arial"/>
          <w:snapToGrid w:val="0"/>
          <w:szCs w:val="22"/>
          <w:lang w:eastAsia="en-US"/>
        </w:rPr>
        <w:t xml:space="preserve">, legislative and regulatory frameworks (e.g. laws on the protection of cultural practices) for the inclusion of </w:t>
      </w:r>
      <w:r w:rsidR="005210F4">
        <w:rPr>
          <w:rFonts w:ascii="Arial" w:eastAsia="Calibri" w:hAnsi="Arial" w:cs="Arial"/>
          <w:snapToGrid w:val="0"/>
          <w:szCs w:val="22"/>
          <w:lang w:eastAsia="en-US"/>
        </w:rPr>
        <w:t xml:space="preserve">intangible cultural heritage </w:t>
      </w:r>
      <w:r w:rsidR="005210F4" w:rsidRPr="005210F4">
        <w:rPr>
          <w:rFonts w:ascii="Arial" w:eastAsia="Calibri" w:hAnsi="Arial" w:cs="Arial"/>
          <w:snapToGrid w:val="0"/>
          <w:szCs w:val="22"/>
          <w:lang w:eastAsia="en-US"/>
        </w:rPr>
        <w:t xml:space="preserve">in urban </w:t>
      </w:r>
      <w:r w:rsidR="00D3733C">
        <w:rPr>
          <w:rFonts w:ascii="Arial" w:eastAsia="Calibri" w:hAnsi="Arial" w:cs="Arial"/>
          <w:snapToGrid w:val="0"/>
          <w:szCs w:val="22"/>
          <w:lang w:eastAsia="en-US"/>
        </w:rPr>
        <w:t>planning</w:t>
      </w:r>
      <w:r w:rsidR="005210F4" w:rsidRPr="005210F4">
        <w:rPr>
          <w:rFonts w:ascii="Arial" w:eastAsia="Calibri" w:hAnsi="Arial" w:cs="Arial"/>
          <w:snapToGrid w:val="0"/>
          <w:szCs w:val="22"/>
          <w:lang w:eastAsia="en-US"/>
        </w:rPr>
        <w:t xml:space="preserve"> were mentioned frequently, as well as the need to involve local communities and bearers into planning processes. </w:t>
      </w:r>
      <w:r w:rsidR="005210F4">
        <w:rPr>
          <w:rFonts w:ascii="Arial" w:eastAsia="Calibri" w:hAnsi="Arial" w:cs="Arial"/>
          <w:snapToGrid w:val="0"/>
          <w:szCs w:val="22"/>
          <w:lang w:eastAsia="en-US"/>
        </w:rPr>
        <w:t>A</w:t>
      </w:r>
      <w:r w:rsidR="005210F4" w:rsidRPr="005210F4">
        <w:rPr>
          <w:rFonts w:ascii="Arial" w:eastAsia="Calibri" w:hAnsi="Arial" w:cs="Arial"/>
          <w:snapToGrid w:val="0"/>
          <w:szCs w:val="22"/>
          <w:lang w:eastAsia="en-US"/>
        </w:rPr>
        <w:t xml:space="preserve">wareness raising, coalition building around </w:t>
      </w:r>
      <w:r w:rsidR="005210F4">
        <w:rPr>
          <w:rFonts w:ascii="Arial" w:eastAsia="Calibri" w:hAnsi="Arial" w:cs="Arial"/>
          <w:snapToGrid w:val="0"/>
          <w:szCs w:val="22"/>
          <w:lang w:eastAsia="en-US"/>
        </w:rPr>
        <w:t xml:space="preserve">living heritage safeguarding </w:t>
      </w:r>
      <w:r w:rsidR="005210F4" w:rsidRPr="005210F4">
        <w:rPr>
          <w:rFonts w:ascii="Arial" w:eastAsia="Calibri" w:hAnsi="Arial" w:cs="Arial"/>
          <w:snapToGrid w:val="0"/>
          <w:szCs w:val="22"/>
          <w:lang w:eastAsia="en-US"/>
        </w:rPr>
        <w:t xml:space="preserve">and multisectoral coordination were mentioned by </w:t>
      </w:r>
      <w:r w:rsidR="00D3733C">
        <w:rPr>
          <w:rFonts w:ascii="Arial" w:eastAsia="Calibri" w:hAnsi="Arial" w:cs="Arial"/>
          <w:snapToGrid w:val="0"/>
          <w:szCs w:val="22"/>
          <w:lang w:eastAsia="en-US"/>
        </w:rPr>
        <w:t>a group of</w:t>
      </w:r>
      <w:r w:rsidR="005210F4" w:rsidRPr="005210F4">
        <w:rPr>
          <w:rFonts w:ascii="Arial" w:eastAsia="Calibri" w:hAnsi="Arial" w:cs="Arial"/>
          <w:snapToGrid w:val="0"/>
          <w:szCs w:val="22"/>
          <w:lang w:eastAsia="en-US"/>
        </w:rPr>
        <w:t xml:space="preserve"> respondents.</w:t>
      </w:r>
    </w:p>
    <w:p w14:paraId="7202AB8E" w14:textId="7386CC79" w:rsidR="009A28E5" w:rsidRPr="009A28E5" w:rsidRDefault="00195150" w:rsidP="009A28E5">
      <w:pPr>
        <w:jc w:val="both"/>
        <w:rPr>
          <w:rFonts w:ascii="Arial" w:eastAsia="Calibri" w:hAnsi="Arial" w:cs="Arial"/>
          <w:snapToGrid w:val="0"/>
          <w:szCs w:val="22"/>
          <w:lang w:eastAsia="en-US"/>
        </w:rPr>
      </w:pPr>
      <w:r w:rsidRPr="00195150">
        <w:rPr>
          <w:rFonts w:ascii="Arial" w:eastAsia="Calibri" w:hAnsi="Arial" w:cs="Arial"/>
          <w:b/>
          <w:bCs/>
          <w:snapToGrid w:val="0"/>
          <w:szCs w:val="22"/>
          <w:lang w:eastAsia="en-US"/>
        </w:rPr>
        <w:t>Benefits of integrating living heritage safeguarding in urban planning</w:t>
      </w:r>
      <w:r>
        <w:rPr>
          <w:rFonts w:ascii="Arial" w:eastAsia="Calibri" w:hAnsi="Arial" w:cs="Arial"/>
          <w:snapToGrid w:val="0"/>
          <w:szCs w:val="22"/>
          <w:lang w:eastAsia="en-US"/>
        </w:rPr>
        <w:t xml:space="preserve">: </w:t>
      </w:r>
      <w:r w:rsidR="009A28E5" w:rsidRPr="009A28E5">
        <w:rPr>
          <w:rFonts w:ascii="Arial" w:eastAsia="Calibri" w:hAnsi="Arial" w:cs="Arial"/>
          <w:snapToGrid w:val="0"/>
          <w:szCs w:val="22"/>
          <w:lang w:eastAsia="en-US"/>
        </w:rPr>
        <w:t xml:space="preserve">The survey </w:t>
      </w:r>
      <w:r w:rsidR="003E516D">
        <w:rPr>
          <w:rFonts w:ascii="Arial" w:eastAsia="Calibri" w:hAnsi="Arial" w:cs="Arial"/>
          <w:snapToGrid w:val="0"/>
          <w:szCs w:val="22"/>
          <w:lang w:eastAsia="en-US"/>
        </w:rPr>
        <w:t>enabled</w:t>
      </w:r>
      <w:r w:rsidR="003E516D" w:rsidRPr="009A28E5">
        <w:rPr>
          <w:rFonts w:ascii="Arial" w:eastAsia="Calibri" w:hAnsi="Arial" w:cs="Arial"/>
          <w:snapToGrid w:val="0"/>
          <w:szCs w:val="22"/>
          <w:lang w:eastAsia="en-US"/>
        </w:rPr>
        <w:t xml:space="preserve"> </w:t>
      </w:r>
      <w:r w:rsidR="003E516D">
        <w:rPr>
          <w:rFonts w:ascii="Arial" w:eastAsia="Calibri" w:hAnsi="Arial" w:cs="Arial"/>
          <w:snapToGrid w:val="0"/>
          <w:szCs w:val="22"/>
          <w:lang w:eastAsia="en-US"/>
        </w:rPr>
        <w:t>the identification of</w:t>
      </w:r>
      <w:r w:rsidR="009A28E5" w:rsidRPr="009A28E5">
        <w:rPr>
          <w:rFonts w:ascii="Arial" w:eastAsia="Calibri" w:hAnsi="Arial" w:cs="Arial"/>
          <w:snapToGrid w:val="0"/>
          <w:szCs w:val="22"/>
          <w:lang w:eastAsia="en-US"/>
        </w:rPr>
        <w:t xml:space="preserve"> benefits that </w:t>
      </w:r>
      <w:r w:rsidR="003E516D">
        <w:rPr>
          <w:rFonts w:ascii="Arial" w:eastAsia="Calibri" w:hAnsi="Arial" w:cs="Arial"/>
          <w:snapToGrid w:val="0"/>
          <w:szCs w:val="22"/>
          <w:lang w:eastAsia="en-US"/>
        </w:rPr>
        <w:t xml:space="preserve">respondents believe </w:t>
      </w:r>
      <w:r w:rsidR="009A28E5" w:rsidRPr="009A28E5">
        <w:rPr>
          <w:rFonts w:ascii="Arial" w:eastAsia="Calibri" w:hAnsi="Arial" w:cs="Arial"/>
          <w:snapToGrid w:val="0"/>
          <w:szCs w:val="22"/>
          <w:lang w:eastAsia="en-US"/>
        </w:rPr>
        <w:t xml:space="preserve">can result from </w:t>
      </w:r>
      <w:r w:rsidR="003E516D">
        <w:rPr>
          <w:rFonts w:ascii="Arial" w:eastAsia="Calibri" w:hAnsi="Arial" w:cs="Arial"/>
          <w:snapToGrid w:val="0"/>
          <w:szCs w:val="22"/>
          <w:lang w:eastAsia="en-US"/>
        </w:rPr>
        <w:t>the integration of</w:t>
      </w:r>
      <w:r w:rsidR="009A28E5" w:rsidRPr="009A28E5">
        <w:rPr>
          <w:rFonts w:ascii="Arial" w:eastAsia="Calibri" w:hAnsi="Arial" w:cs="Arial"/>
          <w:snapToGrid w:val="0"/>
          <w:szCs w:val="22"/>
          <w:lang w:eastAsia="en-US"/>
        </w:rPr>
        <w:t xml:space="preserve"> </w:t>
      </w:r>
      <w:r w:rsidR="00D3733C">
        <w:rPr>
          <w:rFonts w:ascii="Arial" w:eastAsia="Calibri" w:hAnsi="Arial" w:cs="Arial"/>
          <w:snapToGrid w:val="0"/>
          <w:szCs w:val="22"/>
          <w:lang w:eastAsia="en-US"/>
        </w:rPr>
        <w:t>intangible cultural heritage</w:t>
      </w:r>
      <w:r w:rsidR="009A28E5" w:rsidRPr="009A28E5">
        <w:rPr>
          <w:rFonts w:ascii="Arial" w:eastAsia="Calibri" w:hAnsi="Arial" w:cs="Arial"/>
          <w:snapToGrid w:val="0"/>
          <w:szCs w:val="22"/>
          <w:lang w:eastAsia="en-US"/>
        </w:rPr>
        <w:t xml:space="preserve"> </w:t>
      </w:r>
      <w:r w:rsidR="003E516D">
        <w:rPr>
          <w:rFonts w:ascii="Arial" w:eastAsia="Calibri" w:hAnsi="Arial" w:cs="Arial"/>
          <w:snapToGrid w:val="0"/>
          <w:szCs w:val="22"/>
          <w:lang w:eastAsia="en-US"/>
        </w:rPr>
        <w:t xml:space="preserve">safeguarding </w:t>
      </w:r>
      <w:r w:rsidR="009A28E5" w:rsidRPr="009A28E5">
        <w:rPr>
          <w:rFonts w:ascii="Arial" w:eastAsia="Calibri" w:hAnsi="Arial" w:cs="Arial"/>
          <w:snapToGrid w:val="0"/>
          <w:szCs w:val="22"/>
          <w:lang w:eastAsia="en-US"/>
        </w:rPr>
        <w:t xml:space="preserve">into urban </w:t>
      </w:r>
      <w:r w:rsidR="00D3733C">
        <w:rPr>
          <w:rFonts w:ascii="Arial" w:eastAsia="Calibri" w:hAnsi="Arial" w:cs="Arial"/>
          <w:snapToGrid w:val="0"/>
          <w:szCs w:val="22"/>
          <w:lang w:eastAsia="en-US"/>
        </w:rPr>
        <w:t>planning</w:t>
      </w:r>
      <w:r w:rsidR="009A28E5" w:rsidRPr="009A28E5">
        <w:rPr>
          <w:rFonts w:ascii="Arial" w:eastAsia="Calibri" w:hAnsi="Arial" w:cs="Arial"/>
          <w:snapToGrid w:val="0"/>
          <w:szCs w:val="22"/>
          <w:lang w:eastAsia="en-US"/>
        </w:rPr>
        <w:t xml:space="preserve">. In </w:t>
      </w:r>
      <w:r w:rsidR="003E516D">
        <w:rPr>
          <w:rFonts w:ascii="Arial" w:eastAsia="Calibri" w:hAnsi="Arial" w:cs="Arial"/>
          <w:snapToGrid w:val="0"/>
          <w:szCs w:val="22"/>
          <w:lang w:eastAsia="en-US"/>
        </w:rPr>
        <w:t>this</w:t>
      </w:r>
      <w:r w:rsidR="003E516D" w:rsidRPr="009A28E5">
        <w:rPr>
          <w:rFonts w:ascii="Arial" w:eastAsia="Calibri" w:hAnsi="Arial" w:cs="Arial"/>
          <w:snapToGrid w:val="0"/>
          <w:szCs w:val="22"/>
          <w:lang w:eastAsia="en-US"/>
        </w:rPr>
        <w:t xml:space="preserve"> </w:t>
      </w:r>
      <w:r w:rsidR="009A28E5" w:rsidRPr="009A28E5">
        <w:rPr>
          <w:rFonts w:ascii="Arial" w:eastAsia="Calibri" w:hAnsi="Arial" w:cs="Arial"/>
          <w:snapToGrid w:val="0"/>
          <w:szCs w:val="22"/>
          <w:lang w:eastAsia="en-US"/>
        </w:rPr>
        <w:t xml:space="preserve">regard, 38% of the respondents </w:t>
      </w:r>
      <w:r w:rsidR="003E516D">
        <w:rPr>
          <w:rFonts w:ascii="Arial" w:eastAsia="Calibri" w:hAnsi="Arial" w:cs="Arial"/>
          <w:snapToGrid w:val="0"/>
          <w:szCs w:val="22"/>
          <w:lang w:eastAsia="en-US"/>
        </w:rPr>
        <w:t>identified</w:t>
      </w:r>
      <w:r w:rsidR="003E516D" w:rsidRPr="009A28E5">
        <w:rPr>
          <w:rFonts w:ascii="Arial" w:eastAsia="Calibri" w:hAnsi="Arial" w:cs="Arial"/>
          <w:snapToGrid w:val="0"/>
          <w:szCs w:val="22"/>
          <w:lang w:eastAsia="en-US"/>
        </w:rPr>
        <w:t xml:space="preserve"> </w:t>
      </w:r>
      <w:r w:rsidR="009A28E5" w:rsidRPr="009A28E5">
        <w:rPr>
          <w:rFonts w:ascii="Arial" w:eastAsia="Calibri" w:hAnsi="Arial" w:cs="Arial"/>
          <w:snapToGrid w:val="0"/>
          <w:szCs w:val="22"/>
          <w:lang w:eastAsia="en-US"/>
        </w:rPr>
        <w:t>‘social cohesion and well-being’ as the main benefit, followed by ‘sense of identity’</w:t>
      </w:r>
      <w:r w:rsidR="0067051E">
        <w:rPr>
          <w:rFonts w:ascii="Arial" w:eastAsia="Calibri" w:hAnsi="Arial" w:cs="Arial"/>
          <w:snapToGrid w:val="0"/>
          <w:szCs w:val="22"/>
          <w:lang w:eastAsia="en-US"/>
        </w:rPr>
        <w:t xml:space="preserve"> (27%)</w:t>
      </w:r>
      <w:r w:rsidR="009A28E5" w:rsidRPr="009A28E5">
        <w:rPr>
          <w:rFonts w:ascii="Arial" w:eastAsia="Calibri" w:hAnsi="Arial" w:cs="Arial"/>
          <w:snapToGrid w:val="0"/>
          <w:szCs w:val="22"/>
          <w:lang w:eastAsia="en-US"/>
        </w:rPr>
        <w:t>,</w:t>
      </w:r>
      <w:r w:rsidR="0067051E">
        <w:rPr>
          <w:rFonts w:ascii="Arial" w:eastAsia="Calibri" w:hAnsi="Arial" w:cs="Arial"/>
          <w:snapToGrid w:val="0"/>
          <w:szCs w:val="22"/>
          <w:lang w:eastAsia="en-US"/>
        </w:rPr>
        <w:t xml:space="preserve"> </w:t>
      </w:r>
      <w:r w:rsidR="009A28E5" w:rsidRPr="009A28E5">
        <w:rPr>
          <w:rFonts w:ascii="Arial" w:eastAsia="Calibri" w:hAnsi="Arial" w:cs="Arial"/>
          <w:snapToGrid w:val="0"/>
          <w:szCs w:val="22"/>
          <w:lang w:eastAsia="en-US"/>
        </w:rPr>
        <w:t>‘sustainable livelihoods’</w:t>
      </w:r>
      <w:r w:rsidR="0067051E">
        <w:rPr>
          <w:rFonts w:ascii="Arial" w:eastAsia="Calibri" w:hAnsi="Arial" w:cs="Arial"/>
          <w:snapToGrid w:val="0"/>
          <w:szCs w:val="22"/>
          <w:lang w:eastAsia="en-US"/>
        </w:rPr>
        <w:t xml:space="preserve"> (11%)</w:t>
      </w:r>
      <w:r w:rsidR="009A28E5" w:rsidRPr="009A28E5">
        <w:rPr>
          <w:rFonts w:ascii="Arial" w:eastAsia="Calibri" w:hAnsi="Arial" w:cs="Arial"/>
          <w:snapToGrid w:val="0"/>
          <w:szCs w:val="22"/>
          <w:lang w:eastAsia="en-US"/>
        </w:rPr>
        <w:t>, and ‘inter-generational communication’</w:t>
      </w:r>
      <w:r w:rsidR="0067051E">
        <w:rPr>
          <w:rFonts w:ascii="Arial" w:eastAsia="Calibri" w:hAnsi="Arial" w:cs="Arial"/>
          <w:snapToGrid w:val="0"/>
          <w:szCs w:val="22"/>
          <w:lang w:eastAsia="en-US"/>
        </w:rPr>
        <w:t xml:space="preserve"> (7%)</w:t>
      </w:r>
      <w:r w:rsidR="009A28E5" w:rsidRPr="009A28E5">
        <w:rPr>
          <w:rFonts w:ascii="Arial" w:eastAsia="Calibri" w:hAnsi="Arial" w:cs="Arial"/>
          <w:snapToGrid w:val="0"/>
          <w:szCs w:val="22"/>
          <w:lang w:eastAsia="en-US"/>
        </w:rPr>
        <w:t>, respectively. Similarly, the following benefits were also indicated</w:t>
      </w:r>
      <w:r w:rsidR="00F04457">
        <w:rPr>
          <w:rFonts w:ascii="Arial" w:eastAsia="Calibri" w:hAnsi="Arial" w:cs="Arial"/>
          <w:snapToGrid w:val="0"/>
          <w:szCs w:val="22"/>
          <w:lang w:eastAsia="en-US"/>
        </w:rPr>
        <w:t>,</w:t>
      </w:r>
      <w:r w:rsidR="00F04457" w:rsidRPr="00F04457">
        <w:rPr>
          <w:rFonts w:ascii="Arial" w:eastAsia="Calibri" w:hAnsi="Arial" w:cs="Arial"/>
          <w:snapToGrid w:val="0"/>
          <w:szCs w:val="22"/>
          <w:lang w:eastAsia="en-US"/>
        </w:rPr>
        <w:t xml:space="preserve"> </w:t>
      </w:r>
      <w:r w:rsidR="00F04457">
        <w:rPr>
          <w:rFonts w:ascii="Arial" w:eastAsia="Calibri" w:hAnsi="Arial" w:cs="Arial"/>
          <w:snapToGrid w:val="0"/>
          <w:szCs w:val="22"/>
          <w:lang w:eastAsia="en-US"/>
        </w:rPr>
        <w:t>each accounting for</w:t>
      </w:r>
      <w:r w:rsidR="00F04457" w:rsidRPr="009A28E5">
        <w:rPr>
          <w:rFonts w:ascii="Arial" w:eastAsia="Calibri" w:hAnsi="Arial" w:cs="Arial"/>
          <w:snapToGrid w:val="0"/>
          <w:szCs w:val="22"/>
          <w:lang w:eastAsia="en-US"/>
        </w:rPr>
        <w:t xml:space="preserve"> 4% of responses</w:t>
      </w:r>
      <w:r w:rsidR="009A28E5" w:rsidRPr="009A28E5">
        <w:rPr>
          <w:rFonts w:ascii="Arial" w:eastAsia="Calibri" w:hAnsi="Arial" w:cs="Arial"/>
          <w:snapToGrid w:val="0"/>
          <w:szCs w:val="22"/>
          <w:lang w:eastAsia="en-US"/>
        </w:rPr>
        <w:t>: ‘protection of local economies’, ‘intra and inter-community tolerance’, ‘informal social support structures’, and ‘urban-rural integration’. Lastly, ‘environmental protection’ was indicated as an additional benefit by 2% of the respondents.</w:t>
      </w:r>
    </w:p>
    <w:p w14:paraId="0CED409F" w14:textId="49626438" w:rsidR="00330E87" w:rsidRDefault="00E357C2" w:rsidP="009A28E5">
      <w:pPr>
        <w:jc w:val="both"/>
        <w:rPr>
          <w:rFonts w:ascii="Arial" w:eastAsia="Calibri" w:hAnsi="Arial" w:cs="Arial"/>
          <w:snapToGrid w:val="0"/>
          <w:szCs w:val="22"/>
          <w:lang w:eastAsia="en-US"/>
        </w:rPr>
      </w:pPr>
      <w:r w:rsidRPr="00E357C2">
        <w:rPr>
          <w:rFonts w:ascii="Arial" w:eastAsia="Calibri" w:hAnsi="Arial" w:cs="Arial"/>
          <w:b/>
          <w:bCs/>
          <w:snapToGrid w:val="0"/>
          <w:szCs w:val="22"/>
          <w:lang w:eastAsia="en-US"/>
        </w:rPr>
        <w:t>Challenges</w:t>
      </w:r>
      <w:r>
        <w:rPr>
          <w:rFonts w:ascii="Arial" w:eastAsia="Calibri" w:hAnsi="Arial" w:cs="Arial"/>
          <w:snapToGrid w:val="0"/>
          <w:szCs w:val="22"/>
          <w:lang w:eastAsia="en-US"/>
        </w:rPr>
        <w:t>: T</w:t>
      </w:r>
      <w:r w:rsidR="009A28E5" w:rsidRPr="009A28E5">
        <w:rPr>
          <w:rFonts w:ascii="Arial" w:eastAsia="Calibri" w:hAnsi="Arial" w:cs="Arial"/>
          <w:snapToGrid w:val="0"/>
          <w:szCs w:val="22"/>
          <w:lang w:eastAsia="en-US"/>
        </w:rPr>
        <w:t>he respondents</w:t>
      </w:r>
      <w:r w:rsidR="000A0646">
        <w:rPr>
          <w:rFonts w:ascii="Arial" w:eastAsia="Calibri" w:hAnsi="Arial" w:cs="Arial"/>
          <w:snapToGrid w:val="0"/>
          <w:szCs w:val="22"/>
          <w:lang w:eastAsia="en-US"/>
        </w:rPr>
        <w:t xml:space="preserve"> provided numerous</w:t>
      </w:r>
      <w:r w:rsidR="009A28E5" w:rsidRPr="009A28E5">
        <w:rPr>
          <w:rFonts w:ascii="Arial" w:eastAsia="Calibri" w:hAnsi="Arial" w:cs="Arial"/>
          <w:snapToGrid w:val="0"/>
          <w:szCs w:val="22"/>
          <w:lang w:eastAsia="en-US"/>
        </w:rPr>
        <w:t xml:space="preserve"> inputs about the existing challenges for integrating </w:t>
      </w:r>
      <w:r>
        <w:rPr>
          <w:rFonts w:ascii="Arial" w:eastAsia="Calibri" w:hAnsi="Arial" w:cs="Arial"/>
          <w:snapToGrid w:val="0"/>
          <w:szCs w:val="22"/>
          <w:lang w:eastAsia="en-US"/>
        </w:rPr>
        <w:t>intangible cultural heritage</w:t>
      </w:r>
      <w:r w:rsidR="009A28E5" w:rsidRPr="009A28E5">
        <w:rPr>
          <w:rFonts w:ascii="Arial" w:eastAsia="Calibri" w:hAnsi="Arial" w:cs="Arial"/>
          <w:snapToGrid w:val="0"/>
          <w:szCs w:val="22"/>
          <w:lang w:eastAsia="en-US"/>
        </w:rPr>
        <w:t xml:space="preserve"> into urban plans</w:t>
      </w:r>
      <w:r w:rsidR="000A0646">
        <w:rPr>
          <w:rFonts w:ascii="Arial" w:eastAsia="Calibri" w:hAnsi="Arial" w:cs="Arial"/>
          <w:snapToGrid w:val="0"/>
          <w:szCs w:val="22"/>
          <w:lang w:eastAsia="en-US"/>
        </w:rPr>
        <w:t>.</w:t>
      </w:r>
      <w:r>
        <w:rPr>
          <w:rFonts w:ascii="Arial" w:eastAsia="Calibri" w:hAnsi="Arial" w:cs="Arial"/>
          <w:snapToGrid w:val="0"/>
          <w:szCs w:val="22"/>
          <w:lang w:eastAsia="en-US"/>
        </w:rPr>
        <w:t xml:space="preserve"> </w:t>
      </w:r>
      <w:r w:rsidR="000A0646">
        <w:rPr>
          <w:rFonts w:ascii="Arial" w:eastAsia="Calibri" w:hAnsi="Arial" w:cs="Arial"/>
          <w:snapToGrid w:val="0"/>
          <w:szCs w:val="22"/>
          <w:lang w:eastAsia="en-US"/>
        </w:rPr>
        <w:t xml:space="preserve">These </w:t>
      </w:r>
      <w:proofErr w:type="gramStart"/>
      <w:r w:rsidR="000A0646">
        <w:rPr>
          <w:rFonts w:ascii="Arial" w:eastAsia="Calibri" w:hAnsi="Arial" w:cs="Arial"/>
          <w:snapToGrid w:val="0"/>
          <w:szCs w:val="22"/>
          <w:lang w:eastAsia="en-US"/>
        </w:rPr>
        <w:t>include</w:t>
      </w:r>
      <w:r w:rsidR="009A28E5" w:rsidRPr="009A28E5">
        <w:rPr>
          <w:rFonts w:ascii="Arial" w:eastAsia="Calibri" w:hAnsi="Arial" w:cs="Arial"/>
          <w:snapToGrid w:val="0"/>
          <w:szCs w:val="22"/>
          <w:lang w:eastAsia="en-US"/>
        </w:rPr>
        <w:t>:</w:t>
      </w:r>
      <w:proofErr w:type="gramEnd"/>
      <w:r w:rsidR="009A28E5" w:rsidRPr="009A28E5">
        <w:rPr>
          <w:rFonts w:ascii="Arial" w:eastAsia="Calibri" w:hAnsi="Arial" w:cs="Arial"/>
          <w:snapToGrid w:val="0"/>
          <w:szCs w:val="22"/>
          <w:lang w:eastAsia="en-US"/>
        </w:rPr>
        <w:t xml:space="preserve"> lack of awareness of urban planners and policymakers about the </w:t>
      </w:r>
      <w:r>
        <w:rPr>
          <w:rFonts w:ascii="Arial" w:eastAsia="Calibri" w:hAnsi="Arial" w:cs="Arial"/>
          <w:snapToGrid w:val="0"/>
          <w:szCs w:val="22"/>
          <w:lang w:eastAsia="en-US"/>
        </w:rPr>
        <w:t xml:space="preserve">importance of living heritage safeguarding </w:t>
      </w:r>
      <w:r w:rsidR="009A28E5" w:rsidRPr="009A28E5">
        <w:rPr>
          <w:rFonts w:ascii="Arial" w:eastAsia="Calibri" w:hAnsi="Arial" w:cs="Arial"/>
          <w:snapToGrid w:val="0"/>
          <w:szCs w:val="22"/>
          <w:lang w:eastAsia="en-US"/>
        </w:rPr>
        <w:t xml:space="preserve">and its associated benefits, competing priorities for local governments in </w:t>
      </w:r>
      <w:r w:rsidR="003E516D">
        <w:rPr>
          <w:rFonts w:ascii="Arial" w:eastAsia="Calibri" w:hAnsi="Arial" w:cs="Arial"/>
          <w:snapToGrid w:val="0"/>
          <w:szCs w:val="22"/>
          <w:lang w:eastAsia="en-US"/>
        </w:rPr>
        <w:t xml:space="preserve">the </w:t>
      </w:r>
      <w:r w:rsidR="009A28E5" w:rsidRPr="009A28E5">
        <w:rPr>
          <w:rFonts w:ascii="Arial" w:eastAsia="Calibri" w:hAnsi="Arial" w:cs="Arial"/>
          <w:snapToGrid w:val="0"/>
          <w:szCs w:val="22"/>
          <w:lang w:eastAsia="en-US"/>
        </w:rPr>
        <w:t xml:space="preserve">face of limited financial resources, lack of legislation and proper policies to ensure the inclusion of </w:t>
      </w:r>
      <w:r>
        <w:rPr>
          <w:rFonts w:ascii="Arial" w:eastAsia="Calibri" w:hAnsi="Arial" w:cs="Arial"/>
          <w:snapToGrid w:val="0"/>
          <w:szCs w:val="22"/>
          <w:lang w:eastAsia="en-US"/>
        </w:rPr>
        <w:t>living heritage safeguarding i</w:t>
      </w:r>
      <w:r w:rsidR="009A28E5" w:rsidRPr="009A28E5">
        <w:rPr>
          <w:rFonts w:ascii="Arial" w:eastAsia="Calibri" w:hAnsi="Arial" w:cs="Arial"/>
          <w:snapToGrid w:val="0"/>
          <w:szCs w:val="22"/>
          <w:lang w:eastAsia="en-US"/>
        </w:rPr>
        <w:t>n urban plans, and the potential contradiction between urban development and the protection of historic and cultural heritage. Other challenges worth noting include</w:t>
      </w:r>
      <w:r w:rsidR="00F04457">
        <w:rPr>
          <w:rFonts w:ascii="Arial" w:eastAsia="Calibri" w:hAnsi="Arial" w:cs="Arial"/>
          <w:snapToGrid w:val="0"/>
          <w:szCs w:val="22"/>
          <w:lang w:eastAsia="en-US"/>
        </w:rPr>
        <w:t xml:space="preserve"> the</w:t>
      </w:r>
      <w:r w:rsidR="009A28E5" w:rsidRPr="009A28E5">
        <w:rPr>
          <w:rFonts w:ascii="Arial" w:eastAsia="Calibri" w:hAnsi="Arial" w:cs="Arial"/>
          <w:snapToGrid w:val="0"/>
          <w:szCs w:val="22"/>
          <w:lang w:eastAsia="en-US"/>
        </w:rPr>
        <w:t xml:space="preserve"> importing </w:t>
      </w:r>
      <w:r w:rsidR="00F04457">
        <w:rPr>
          <w:rFonts w:ascii="Arial" w:eastAsia="Calibri" w:hAnsi="Arial" w:cs="Arial"/>
          <w:snapToGrid w:val="0"/>
          <w:szCs w:val="22"/>
          <w:lang w:eastAsia="en-US"/>
        </w:rPr>
        <w:t xml:space="preserve">of </w:t>
      </w:r>
      <w:r w:rsidR="009A28E5" w:rsidRPr="009A28E5">
        <w:rPr>
          <w:rFonts w:ascii="Arial" w:eastAsia="Calibri" w:hAnsi="Arial" w:cs="Arial"/>
          <w:snapToGrid w:val="0"/>
          <w:szCs w:val="22"/>
          <w:lang w:eastAsia="en-US"/>
        </w:rPr>
        <w:t>urban planning frameworks that do not reflect local sociocultural aspects, limited time to learn about other fields, and reluctance to change.</w:t>
      </w:r>
    </w:p>
    <w:p w14:paraId="22CD3BF4" w14:textId="451CD816" w:rsidR="00330E87" w:rsidRDefault="00330E87" w:rsidP="00330E87">
      <w:pPr>
        <w:jc w:val="center"/>
        <w:rPr>
          <w:rFonts w:ascii="Arial" w:eastAsia="Calibri" w:hAnsi="Arial" w:cs="Arial"/>
          <w:snapToGrid w:val="0"/>
          <w:szCs w:val="22"/>
          <w:lang w:eastAsia="en-US"/>
        </w:rPr>
      </w:pPr>
      <w:r>
        <w:rPr>
          <w:rFonts w:ascii="Arial" w:eastAsia="Calibri" w:hAnsi="Arial" w:cs="Arial"/>
          <w:snapToGrid w:val="0"/>
          <w:szCs w:val="22"/>
          <w:lang w:eastAsia="en-US"/>
        </w:rPr>
        <w:t>***</w:t>
      </w:r>
    </w:p>
    <w:p w14:paraId="32B843B7" w14:textId="00B17D52" w:rsidR="00330E87" w:rsidRDefault="00603AB8" w:rsidP="00330E87">
      <w:pPr>
        <w:jc w:val="both"/>
        <w:rPr>
          <w:rFonts w:ascii="Arial" w:eastAsia="Calibri" w:hAnsi="Arial" w:cs="Arial"/>
          <w:snapToGrid w:val="0"/>
          <w:szCs w:val="22"/>
          <w:lang w:eastAsia="en-US"/>
        </w:rPr>
      </w:pPr>
      <w:r>
        <w:rPr>
          <w:rFonts w:ascii="Arial" w:eastAsia="Calibri" w:hAnsi="Arial" w:cs="Arial"/>
          <w:b/>
          <w:bCs/>
          <w:snapToGrid w:val="0"/>
          <w:szCs w:val="22"/>
          <w:lang w:eastAsia="en-US"/>
        </w:rPr>
        <w:t>Emphasis on historical heritage and public spaces</w:t>
      </w:r>
      <w:r w:rsidR="00330E87">
        <w:rPr>
          <w:rFonts w:ascii="Arial" w:eastAsia="Calibri" w:hAnsi="Arial" w:cs="Arial"/>
          <w:snapToGrid w:val="0"/>
          <w:szCs w:val="22"/>
          <w:lang w:eastAsia="en-US"/>
        </w:rPr>
        <w:t xml:space="preserve">: According to many respondents, </w:t>
      </w:r>
      <w:r w:rsidR="00330E87" w:rsidRPr="00330E87">
        <w:rPr>
          <w:rFonts w:ascii="Arial" w:eastAsia="Calibri" w:hAnsi="Arial" w:cs="Arial"/>
          <w:snapToGrid w:val="0"/>
          <w:szCs w:val="22"/>
          <w:lang w:eastAsia="en-US"/>
        </w:rPr>
        <w:t>historical and cultural heritage</w:t>
      </w:r>
      <w:r w:rsidR="009312A9">
        <w:rPr>
          <w:rFonts w:ascii="Arial" w:eastAsia="Calibri" w:hAnsi="Arial" w:cs="Arial"/>
          <w:snapToGrid w:val="0"/>
          <w:szCs w:val="22"/>
          <w:lang w:eastAsia="en-US"/>
        </w:rPr>
        <w:t>,</w:t>
      </w:r>
      <w:r w:rsidR="00330E87" w:rsidRPr="00330E87">
        <w:rPr>
          <w:rFonts w:ascii="Arial" w:eastAsia="Calibri" w:hAnsi="Arial" w:cs="Arial"/>
          <w:snapToGrid w:val="0"/>
          <w:szCs w:val="22"/>
          <w:lang w:eastAsia="en-US"/>
        </w:rPr>
        <w:t xml:space="preserve"> </w:t>
      </w:r>
      <w:r w:rsidR="009312A9">
        <w:rPr>
          <w:rFonts w:ascii="Arial" w:eastAsia="Calibri" w:hAnsi="Arial" w:cs="Arial"/>
          <w:snapToGrid w:val="0"/>
          <w:szCs w:val="22"/>
          <w:lang w:eastAsia="en-US"/>
        </w:rPr>
        <w:t>along with</w:t>
      </w:r>
      <w:r w:rsidR="009312A9" w:rsidRPr="00330E87">
        <w:rPr>
          <w:rFonts w:ascii="Arial" w:eastAsia="Calibri" w:hAnsi="Arial" w:cs="Arial"/>
          <w:snapToGrid w:val="0"/>
          <w:szCs w:val="22"/>
          <w:lang w:eastAsia="en-US"/>
        </w:rPr>
        <w:t xml:space="preserve"> </w:t>
      </w:r>
      <w:r w:rsidR="00330E87" w:rsidRPr="00330E87">
        <w:rPr>
          <w:rFonts w:ascii="Arial" w:eastAsia="Calibri" w:hAnsi="Arial" w:cs="Arial"/>
          <w:snapToGrid w:val="0"/>
          <w:szCs w:val="22"/>
          <w:lang w:eastAsia="en-US"/>
        </w:rPr>
        <w:t>the existence and use of public spaces</w:t>
      </w:r>
      <w:r w:rsidR="009312A9">
        <w:rPr>
          <w:rFonts w:ascii="Arial" w:eastAsia="Calibri" w:hAnsi="Arial" w:cs="Arial"/>
          <w:snapToGrid w:val="0"/>
          <w:szCs w:val="22"/>
          <w:lang w:eastAsia="en-US"/>
        </w:rPr>
        <w:t>,</w:t>
      </w:r>
      <w:r w:rsidR="00330E87" w:rsidRPr="00330E87">
        <w:rPr>
          <w:rFonts w:ascii="Arial" w:eastAsia="Calibri" w:hAnsi="Arial" w:cs="Arial"/>
          <w:snapToGrid w:val="0"/>
          <w:szCs w:val="22"/>
          <w:lang w:eastAsia="en-US"/>
        </w:rPr>
        <w:t xml:space="preserve"> </w:t>
      </w:r>
      <w:r w:rsidR="00330E87">
        <w:rPr>
          <w:rFonts w:ascii="Arial" w:eastAsia="Calibri" w:hAnsi="Arial" w:cs="Arial"/>
          <w:snapToGrid w:val="0"/>
          <w:szCs w:val="22"/>
          <w:lang w:eastAsia="en-US"/>
        </w:rPr>
        <w:t>are</w:t>
      </w:r>
      <w:r w:rsidR="00330E87" w:rsidRPr="00330E87">
        <w:rPr>
          <w:rFonts w:ascii="Arial" w:eastAsia="Calibri" w:hAnsi="Arial" w:cs="Arial"/>
          <w:snapToGrid w:val="0"/>
          <w:szCs w:val="22"/>
          <w:lang w:eastAsia="en-US"/>
        </w:rPr>
        <w:t xml:space="preserve"> key planning areas for integrating </w:t>
      </w:r>
      <w:r w:rsidR="00330E87">
        <w:rPr>
          <w:rFonts w:ascii="Arial" w:eastAsia="Calibri" w:hAnsi="Arial" w:cs="Arial"/>
          <w:snapToGrid w:val="0"/>
          <w:szCs w:val="22"/>
          <w:lang w:eastAsia="en-US"/>
        </w:rPr>
        <w:t>intangible cultural heritage</w:t>
      </w:r>
      <w:r w:rsidR="00330E87" w:rsidRPr="00330E87">
        <w:rPr>
          <w:rFonts w:ascii="Arial" w:eastAsia="Calibri" w:hAnsi="Arial" w:cs="Arial"/>
          <w:snapToGrid w:val="0"/>
          <w:szCs w:val="22"/>
          <w:lang w:eastAsia="en-US"/>
        </w:rPr>
        <w:t xml:space="preserve"> into urban plans. This is consistent with one of the major threats identified </w:t>
      </w:r>
      <w:r w:rsidR="009312A9">
        <w:rPr>
          <w:rFonts w:ascii="Arial" w:eastAsia="Calibri" w:hAnsi="Arial" w:cs="Arial"/>
          <w:snapToGrid w:val="0"/>
          <w:szCs w:val="22"/>
          <w:lang w:eastAsia="en-US"/>
        </w:rPr>
        <w:t>in</w:t>
      </w:r>
      <w:r w:rsidR="009312A9" w:rsidRPr="00330E87">
        <w:rPr>
          <w:rFonts w:ascii="Arial" w:eastAsia="Calibri" w:hAnsi="Arial" w:cs="Arial"/>
          <w:snapToGrid w:val="0"/>
          <w:szCs w:val="22"/>
          <w:lang w:eastAsia="en-US"/>
        </w:rPr>
        <w:t xml:space="preserve"> </w:t>
      </w:r>
      <w:r w:rsidR="00330E87" w:rsidRPr="00330E87">
        <w:rPr>
          <w:rFonts w:ascii="Arial" w:eastAsia="Calibri" w:hAnsi="Arial" w:cs="Arial"/>
          <w:snapToGrid w:val="0"/>
          <w:szCs w:val="22"/>
          <w:lang w:eastAsia="en-US"/>
        </w:rPr>
        <w:t xml:space="preserve">the practice and continuity of </w:t>
      </w:r>
      <w:r w:rsidR="00330E87">
        <w:rPr>
          <w:rFonts w:ascii="Arial" w:eastAsia="Calibri" w:hAnsi="Arial" w:cs="Arial"/>
          <w:snapToGrid w:val="0"/>
          <w:szCs w:val="22"/>
          <w:lang w:eastAsia="en-US"/>
        </w:rPr>
        <w:t xml:space="preserve">intangible cultural heritage </w:t>
      </w:r>
      <w:r w:rsidR="00330E87" w:rsidRPr="00330E87">
        <w:rPr>
          <w:rFonts w:ascii="Arial" w:eastAsia="Calibri" w:hAnsi="Arial" w:cs="Arial"/>
          <w:snapToGrid w:val="0"/>
          <w:szCs w:val="22"/>
          <w:lang w:eastAsia="en-US"/>
        </w:rPr>
        <w:t>in urban contexts</w:t>
      </w:r>
      <w:r w:rsidR="009312A9">
        <w:rPr>
          <w:rFonts w:ascii="Arial" w:eastAsia="Calibri" w:hAnsi="Arial" w:cs="Arial"/>
          <w:snapToGrid w:val="0"/>
          <w:szCs w:val="22"/>
          <w:lang w:eastAsia="en-US"/>
        </w:rPr>
        <w:t xml:space="preserve"> -</w:t>
      </w:r>
      <w:r w:rsidR="00330E87" w:rsidRPr="00330E87">
        <w:rPr>
          <w:rFonts w:ascii="Arial" w:eastAsia="Calibri" w:hAnsi="Arial" w:cs="Arial"/>
          <w:snapToGrid w:val="0"/>
          <w:szCs w:val="22"/>
          <w:lang w:eastAsia="en-US"/>
        </w:rPr>
        <w:t xml:space="preserve"> the intervention or physical modification of public spaces in which practices are traditionally </w:t>
      </w:r>
      <w:r w:rsidR="009312A9">
        <w:rPr>
          <w:rFonts w:ascii="Arial" w:eastAsia="Calibri" w:hAnsi="Arial" w:cs="Arial"/>
          <w:snapToGrid w:val="0"/>
          <w:szCs w:val="22"/>
          <w:lang w:eastAsia="en-US"/>
        </w:rPr>
        <w:t>carried out,</w:t>
      </w:r>
      <w:r w:rsidR="00330E87" w:rsidRPr="00330E87">
        <w:rPr>
          <w:rFonts w:ascii="Arial" w:eastAsia="Calibri" w:hAnsi="Arial" w:cs="Arial"/>
          <w:snapToGrid w:val="0"/>
          <w:szCs w:val="22"/>
          <w:lang w:eastAsia="en-US"/>
        </w:rPr>
        <w:t xml:space="preserve"> such as bazaars for local trade and craftsmanship.</w:t>
      </w:r>
    </w:p>
    <w:p w14:paraId="1BDAE0A0" w14:textId="3421758D" w:rsidR="00330E87" w:rsidRDefault="00EA779F" w:rsidP="008261ED">
      <w:pPr>
        <w:keepNext/>
        <w:jc w:val="both"/>
        <w:rPr>
          <w:rFonts w:ascii="Arial" w:eastAsia="Calibri" w:hAnsi="Arial" w:cs="Arial"/>
          <w:snapToGrid w:val="0"/>
          <w:szCs w:val="22"/>
          <w:lang w:eastAsia="en-US"/>
        </w:rPr>
      </w:pPr>
      <w:r>
        <w:rPr>
          <w:rFonts w:ascii="Arial" w:eastAsia="Calibri" w:hAnsi="Arial" w:cs="Arial"/>
          <w:snapToGrid w:val="0"/>
          <w:szCs w:val="22"/>
          <w:lang w:eastAsia="en-US"/>
        </w:rPr>
        <w:lastRenderedPageBreak/>
        <w:t xml:space="preserve">In this regard, the respondents </w:t>
      </w:r>
      <w:r w:rsidR="009312A9">
        <w:rPr>
          <w:rFonts w:ascii="Arial" w:eastAsia="Calibri" w:hAnsi="Arial" w:cs="Arial"/>
          <w:snapToGrid w:val="0"/>
          <w:szCs w:val="22"/>
          <w:lang w:eastAsia="en-US"/>
        </w:rPr>
        <w:t xml:space="preserve">suggested </w:t>
      </w:r>
      <w:r>
        <w:rPr>
          <w:rFonts w:ascii="Arial" w:eastAsia="Calibri" w:hAnsi="Arial" w:cs="Arial"/>
          <w:snapToGrid w:val="0"/>
          <w:szCs w:val="22"/>
          <w:lang w:eastAsia="en-US"/>
        </w:rPr>
        <w:t xml:space="preserve">the </w:t>
      </w:r>
      <w:r w:rsidR="00603AB8">
        <w:rPr>
          <w:rFonts w:ascii="Arial" w:eastAsia="Calibri" w:hAnsi="Arial" w:cs="Arial"/>
          <w:snapToGrid w:val="0"/>
          <w:szCs w:val="22"/>
          <w:lang w:eastAsia="en-US"/>
        </w:rPr>
        <w:t>following</w:t>
      </w:r>
      <w:r w:rsidR="00330E87">
        <w:rPr>
          <w:rFonts w:ascii="Arial" w:eastAsia="Calibri" w:hAnsi="Arial" w:cs="Arial"/>
          <w:snapToGrid w:val="0"/>
          <w:szCs w:val="22"/>
          <w:lang w:eastAsia="en-US"/>
        </w:rPr>
        <w:t>:</w:t>
      </w:r>
    </w:p>
    <w:p w14:paraId="76E1D578" w14:textId="0F4E8072" w:rsidR="00330E87" w:rsidRPr="00330E87" w:rsidRDefault="00330E87" w:rsidP="00330E87">
      <w:pPr>
        <w:numPr>
          <w:ilvl w:val="0"/>
          <w:numId w:val="14"/>
        </w:numPr>
        <w:jc w:val="both"/>
        <w:rPr>
          <w:rFonts w:ascii="Arial" w:eastAsia="Calibri" w:hAnsi="Arial" w:cs="Arial"/>
          <w:snapToGrid w:val="0"/>
          <w:szCs w:val="22"/>
          <w:lang w:eastAsia="en-US"/>
        </w:rPr>
      </w:pPr>
      <w:r w:rsidRPr="00330E87">
        <w:rPr>
          <w:rFonts w:ascii="Arial" w:eastAsia="Calibri" w:hAnsi="Arial" w:cs="Arial"/>
          <w:snapToGrid w:val="0"/>
          <w:szCs w:val="22"/>
          <w:lang w:eastAsia="en-US"/>
        </w:rPr>
        <w:t xml:space="preserve">To clearly understand the importance of public spaces </w:t>
      </w:r>
      <w:r w:rsidR="009312A9">
        <w:rPr>
          <w:rFonts w:ascii="Arial" w:eastAsia="Calibri" w:hAnsi="Arial" w:cs="Arial"/>
          <w:snapToGrid w:val="0"/>
          <w:szCs w:val="22"/>
          <w:lang w:eastAsia="en-US"/>
        </w:rPr>
        <w:t xml:space="preserve">in relation </w:t>
      </w:r>
      <w:r w:rsidRPr="00330E87">
        <w:rPr>
          <w:rFonts w:ascii="Arial" w:eastAsia="Calibri" w:hAnsi="Arial" w:cs="Arial"/>
          <w:snapToGrid w:val="0"/>
          <w:szCs w:val="22"/>
          <w:lang w:eastAsia="en-US"/>
        </w:rPr>
        <w:t xml:space="preserve">to safeguarding </w:t>
      </w:r>
      <w:r>
        <w:rPr>
          <w:rFonts w:ascii="Arial" w:eastAsia="Calibri" w:hAnsi="Arial" w:cs="Arial"/>
          <w:snapToGrid w:val="0"/>
          <w:szCs w:val="22"/>
          <w:lang w:eastAsia="en-US"/>
        </w:rPr>
        <w:t>intangible cultural heritage</w:t>
      </w:r>
      <w:r w:rsidRPr="00330E87">
        <w:rPr>
          <w:rFonts w:ascii="Arial" w:eastAsia="Calibri" w:hAnsi="Arial" w:cs="Arial"/>
          <w:snapToGrid w:val="0"/>
          <w:szCs w:val="22"/>
          <w:lang w:eastAsia="en-US"/>
        </w:rPr>
        <w:t xml:space="preserve">, it is necessary to improve coordination </w:t>
      </w:r>
      <w:r w:rsidR="009312A9">
        <w:rPr>
          <w:rFonts w:ascii="Arial" w:eastAsia="Calibri" w:hAnsi="Arial" w:cs="Arial"/>
          <w:snapToGrid w:val="0"/>
          <w:szCs w:val="22"/>
          <w:lang w:eastAsia="en-US"/>
        </w:rPr>
        <w:t xml:space="preserve">between </w:t>
      </w:r>
      <w:r w:rsidRPr="00330E87">
        <w:rPr>
          <w:rFonts w:ascii="Arial" w:eastAsia="Calibri" w:hAnsi="Arial" w:cs="Arial"/>
          <w:snapToGrid w:val="0"/>
          <w:szCs w:val="22"/>
          <w:lang w:eastAsia="en-US"/>
        </w:rPr>
        <w:t xml:space="preserve">the </w:t>
      </w:r>
      <w:r w:rsidR="009312A9">
        <w:rPr>
          <w:rFonts w:ascii="Arial" w:eastAsia="Calibri" w:hAnsi="Arial" w:cs="Arial"/>
          <w:snapToGrid w:val="0"/>
          <w:szCs w:val="22"/>
          <w:lang w:eastAsia="en-US"/>
        </w:rPr>
        <w:t xml:space="preserve">urban </w:t>
      </w:r>
      <w:r w:rsidRPr="00330E87">
        <w:rPr>
          <w:rFonts w:ascii="Arial" w:eastAsia="Calibri" w:hAnsi="Arial" w:cs="Arial"/>
          <w:snapToGrid w:val="0"/>
          <w:szCs w:val="22"/>
          <w:lang w:eastAsia="en-US"/>
        </w:rPr>
        <w:t xml:space="preserve">planning and cultural heritage authorities. </w:t>
      </w:r>
    </w:p>
    <w:p w14:paraId="2B9896DA" w14:textId="68821DFD" w:rsidR="00330E87" w:rsidRDefault="00330E87" w:rsidP="00330E87">
      <w:pPr>
        <w:numPr>
          <w:ilvl w:val="0"/>
          <w:numId w:val="14"/>
        </w:numPr>
        <w:jc w:val="both"/>
        <w:rPr>
          <w:rFonts w:ascii="Arial" w:eastAsia="Calibri" w:hAnsi="Arial" w:cs="Arial"/>
          <w:snapToGrid w:val="0"/>
          <w:szCs w:val="22"/>
          <w:lang w:eastAsia="en-US"/>
        </w:rPr>
      </w:pPr>
      <w:r w:rsidRPr="00330E87">
        <w:rPr>
          <w:rFonts w:ascii="Arial" w:eastAsia="Calibri" w:hAnsi="Arial" w:cs="Arial"/>
          <w:snapToGrid w:val="0"/>
          <w:szCs w:val="22"/>
          <w:lang w:eastAsia="en-US"/>
        </w:rPr>
        <w:t xml:space="preserve">Community participation </w:t>
      </w:r>
      <w:r w:rsidR="00EA779F">
        <w:rPr>
          <w:rFonts w:ascii="Arial" w:eastAsia="Calibri" w:hAnsi="Arial" w:cs="Arial"/>
          <w:snapToGrid w:val="0"/>
          <w:szCs w:val="22"/>
          <w:lang w:eastAsia="en-US"/>
        </w:rPr>
        <w:t xml:space="preserve">is essential </w:t>
      </w:r>
      <w:r w:rsidRPr="00330E87">
        <w:rPr>
          <w:rFonts w:ascii="Arial" w:eastAsia="Calibri" w:hAnsi="Arial" w:cs="Arial"/>
          <w:snapToGrid w:val="0"/>
          <w:szCs w:val="22"/>
          <w:lang w:eastAsia="en-US"/>
        </w:rPr>
        <w:t xml:space="preserve">in efforts to integrate </w:t>
      </w:r>
      <w:r>
        <w:rPr>
          <w:rFonts w:ascii="Arial" w:eastAsia="Calibri" w:hAnsi="Arial" w:cs="Arial"/>
          <w:snapToGrid w:val="0"/>
          <w:szCs w:val="22"/>
          <w:lang w:eastAsia="en-US"/>
        </w:rPr>
        <w:t>intangible cultural heritage</w:t>
      </w:r>
      <w:r w:rsidRPr="00330E87">
        <w:rPr>
          <w:rFonts w:ascii="Arial" w:eastAsia="Calibri" w:hAnsi="Arial" w:cs="Arial"/>
          <w:snapToGrid w:val="0"/>
          <w:szCs w:val="22"/>
          <w:lang w:eastAsia="en-US"/>
        </w:rPr>
        <w:t xml:space="preserve"> </w:t>
      </w:r>
      <w:r w:rsidR="009312A9">
        <w:rPr>
          <w:rFonts w:ascii="Arial" w:eastAsia="Calibri" w:hAnsi="Arial" w:cs="Arial"/>
          <w:snapToGrid w:val="0"/>
          <w:szCs w:val="22"/>
          <w:lang w:eastAsia="en-US"/>
        </w:rPr>
        <w:t>with</w:t>
      </w:r>
      <w:r w:rsidR="009312A9" w:rsidRPr="00330E87">
        <w:rPr>
          <w:rFonts w:ascii="Arial" w:eastAsia="Calibri" w:hAnsi="Arial" w:cs="Arial"/>
          <w:snapToGrid w:val="0"/>
          <w:szCs w:val="22"/>
          <w:lang w:eastAsia="en-US"/>
        </w:rPr>
        <w:t xml:space="preserve"> </w:t>
      </w:r>
      <w:r w:rsidRPr="00330E87">
        <w:rPr>
          <w:rFonts w:ascii="Arial" w:eastAsia="Calibri" w:hAnsi="Arial" w:cs="Arial"/>
          <w:snapToGrid w:val="0"/>
          <w:szCs w:val="22"/>
          <w:lang w:eastAsia="en-US"/>
        </w:rPr>
        <w:t>urban planning</w:t>
      </w:r>
      <w:r w:rsidR="009312A9">
        <w:rPr>
          <w:rFonts w:ascii="Arial" w:eastAsia="Calibri" w:hAnsi="Arial" w:cs="Arial"/>
          <w:snapToGrid w:val="0"/>
          <w:szCs w:val="22"/>
          <w:lang w:eastAsia="en-US"/>
        </w:rPr>
        <w:t>, especially in</w:t>
      </w:r>
      <w:r w:rsidR="00603AB8">
        <w:rPr>
          <w:rFonts w:ascii="Arial" w:eastAsia="Calibri" w:hAnsi="Arial" w:cs="Arial"/>
          <w:snapToGrid w:val="0"/>
          <w:szCs w:val="22"/>
          <w:lang w:eastAsia="en-US"/>
        </w:rPr>
        <w:t xml:space="preserve"> the use of public spaces</w:t>
      </w:r>
      <w:r w:rsidR="009312A9">
        <w:rPr>
          <w:rFonts w:ascii="Arial" w:eastAsia="Calibri" w:hAnsi="Arial" w:cs="Arial"/>
          <w:snapToGrid w:val="0"/>
          <w:szCs w:val="22"/>
          <w:lang w:eastAsia="en-US"/>
        </w:rPr>
        <w:t>. To facilitate this,</w:t>
      </w:r>
      <w:r w:rsidRPr="00330E87">
        <w:rPr>
          <w:rFonts w:ascii="Arial" w:eastAsia="Calibri" w:hAnsi="Arial" w:cs="Arial"/>
          <w:snapToGrid w:val="0"/>
          <w:szCs w:val="22"/>
          <w:lang w:eastAsia="en-US"/>
        </w:rPr>
        <w:t xml:space="preserve"> round tables and workshops with bearers, the government, designers/architects and other relevant actors should be conducted, as well as public meetings/consultations to collect feedback from communities. </w:t>
      </w:r>
    </w:p>
    <w:p w14:paraId="084DDD50" w14:textId="1B8B06E7" w:rsidR="00330E87" w:rsidRPr="00330E87" w:rsidRDefault="00330E87" w:rsidP="00330E87">
      <w:pPr>
        <w:numPr>
          <w:ilvl w:val="0"/>
          <w:numId w:val="14"/>
        </w:numPr>
        <w:jc w:val="both"/>
        <w:rPr>
          <w:rFonts w:ascii="Arial" w:eastAsia="Calibri" w:hAnsi="Arial" w:cs="Arial"/>
          <w:snapToGrid w:val="0"/>
          <w:szCs w:val="22"/>
          <w:lang w:eastAsia="en-US"/>
        </w:rPr>
      </w:pPr>
      <w:r>
        <w:rPr>
          <w:rFonts w:ascii="Arial" w:eastAsia="Calibri" w:hAnsi="Arial" w:cs="Arial"/>
          <w:snapToGrid w:val="0"/>
          <w:szCs w:val="22"/>
          <w:lang w:eastAsia="en-US"/>
        </w:rPr>
        <w:t>Further link</w:t>
      </w:r>
      <w:r w:rsidR="009312A9">
        <w:rPr>
          <w:rFonts w:ascii="Arial" w:eastAsia="Calibri" w:hAnsi="Arial" w:cs="Arial"/>
          <w:snapToGrid w:val="0"/>
          <w:szCs w:val="22"/>
          <w:lang w:eastAsia="en-US"/>
        </w:rPr>
        <w:t>s</w:t>
      </w:r>
      <w:r>
        <w:rPr>
          <w:rFonts w:ascii="Arial" w:eastAsia="Calibri" w:hAnsi="Arial" w:cs="Arial"/>
          <w:snapToGrid w:val="0"/>
          <w:szCs w:val="22"/>
          <w:lang w:eastAsia="en-US"/>
        </w:rPr>
        <w:t xml:space="preserve"> must be </w:t>
      </w:r>
      <w:r w:rsidR="009312A9">
        <w:rPr>
          <w:rFonts w:ascii="Arial" w:eastAsia="Calibri" w:hAnsi="Arial" w:cs="Arial"/>
          <w:snapToGrid w:val="0"/>
          <w:szCs w:val="22"/>
          <w:lang w:eastAsia="en-US"/>
        </w:rPr>
        <w:t xml:space="preserve">established </w:t>
      </w:r>
      <w:r>
        <w:rPr>
          <w:rFonts w:ascii="Arial" w:eastAsia="Calibri" w:hAnsi="Arial" w:cs="Arial"/>
          <w:snapToGrid w:val="0"/>
          <w:szCs w:val="22"/>
          <w:lang w:eastAsia="en-US"/>
        </w:rPr>
        <w:t xml:space="preserve">between </w:t>
      </w:r>
      <w:r w:rsidRPr="00330E87">
        <w:rPr>
          <w:rFonts w:ascii="Arial" w:eastAsia="Calibri" w:hAnsi="Arial" w:cs="Arial"/>
          <w:snapToGrid w:val="0"/>
          <w:szCs w:val="22"/>
          <w:lang w:eastAsia="en-US"/>
        </w:rPr>
        <w:t>cultural heritage and creative industries</w:t>
      </w:r>
      <w:r>
        <w:rPr>
          <w:rFonts w:ascii="Arial" w:eastAsia="Calibri" w:hAnsi="Arial" w:cs="Arial"/>
          <w:snapToGrid w:val="0"/>
          <w:szCs w:val="22"/>
          <w:lang w:eastAsia="en-US"/>
        </w:rPr>
        <w:t>;</w:t>
      </w:r>
      <w:r w:rsidRPr="00330E87">
        <w:rPr>
          <w:rFonts w:ascii="Arial" w:eastAsia="Calibri" w:hAnsi="Arial" w:cs="Arial"/>
          <w:snapToGrid w:val="0"/>
          <w:szCs w:val="22"/>
          <w:lang w:eastAsia="en-US"/>
        </w:rPr>
        <w:t xml:space="preserve"> </w:t>
      </w:r>
      <w:r>
        <w:rPr>
          <w:rFonts w:ascii="Arial" w:eastAsia="Calibri" w:hAnsi="Arial" w:cs="Arial"/>
          <w:snapToGrid w:val="0"/>
          <w:szCs w:val="22"/>
          <w:lang w:eastAsia="en-US"/>
        </w:rPr>
        <w:t>f</w:t>
      </w:r>
      <w:r w:rsidRPr="00330E87">
        <w:rPr>
          <w:rFonts w:ascii="Arial" w:eastAsia="Calibri" w:hAnsi="Arial" w:cs="Arial"/>
          <w:snapToGrid w:val="0"/>
          <w:szCs w:val="22"/>
          <w:lang w:eastAsia="en-US"/>
        </w:rPr>
        <w:t xml:space="preserve">or example, parks and gardens could be used as </w:t>
      </w:r>
      <w:r w:rsidR="009312A9">
        <w:rPr>
          <w:rFonts w:ascii="Arial" w:eastAsia="Calibri" w:hAnsi="Arial" w:cs="Arial"/>
          <w:snapToGrid w:val="0"/>
          <w:szCs w:val="22"/>
          <w:lang w:eastAsia="en-US"/>
        </w:rPr>
        <w:t>platforms for musical performances,</w:t>
      </w:r>
      <w:r w:rsidRPr="00330E87">
        <w:rPr>
          <w:rFonts w:ascii="Arial" w:eastAsia="Calibri" w:hAnsi="Arial" w:cs="Arial"/>
          <w:snapToGrid w:val="0"/>
          <w:szCs w:val="22"/>
          <w:lang w:eastAsia="en-US"/>
        </w:rPr>
        <w:t xml:space="preserve"> and public squares as bazaars for local trade and craftsmanship.</w:t>
      </w:r>
    </w:p>
    <w:p w14:paraId="1B681058" w14:textId="70ADE00F" w:rsidR="00330E87" w:rsidRDefault="00330E87" w:rsidP="00330E87">
      <w:pPr>
        <w:jc w:val="both"/>
        <w:rPr>
          <w:rFonts w:ascii="Arial" w:eastAsia="Calibri" w:hAnsi="Arial" w:cs="Arial"/>
          <w:snapToGrid w:val="0"/>
          <w:szCs w:val="22"/>
          <w:lang w:eastAsia="en-US"/>
        </w:rPr>
      </w:pPr>
      <w:r>
        <w:rPr>
          <w:rFonts w:ascii="Arial" w:eastAsia="Calibri" w:hAnsi="Arial" w:cs="Arial"/>
          <w:b/>
          <w:bCs/>
          <w:snapToGrid w:val="0"/>
          <w:szCs w:val="22"/>
          <w:lang w:eastAsia="en-US"/>
        </w:rPr>
        <w:t>Future actions</w:t>
      </w:r>
      <w:r>
        <w:rPr>
          <w:rFonts w:ascii="Arial" w:eastAsia="Calibri" w:hAnsi="Arial" w:cs="Arial"/>
          <w:snapToGrid w:val="0"/>
          <w:szCs w:val="22"/>
          <w:lang w:eastAsia="en-US"/>
        </w:rPr>
        <w:t xml:space="preserve">: </w:t>
      </w:r>
      <w:r w:rsidRPr="009A28E5">
        <w:rPr>
          <w:rFonts w:ascii="Arial" w:eastAsia="Calibri" w:hAnsi="Arial" w:cs="Arial"/>
          <w:snapToGrid w:val="0"/>
          <w:szCs w:val="22"/>
          <w:lang w:eastAsia="en-US"/>
        </w:rPr>
        <w:t xml:space="preserve">Lastly, </w:t>
      </w:r>
      <w:r w:rsidR="003D7BE6">
        <w:rPr>
          <w:rFonts w:ascii="Arial" w:eastAsia="Calibri" w:hAnsi="Arial" w:cs="Arial"/>
          <w:snapToGrid w:val="0"/>
          <w:szCs w:val="22"/>
          <w:lang w:eastAsia="en-US"/>
        </w:rPr>
        <w:t>when asked to consider</w:t>
      </w:r>
      <w:r w:rsidRPr="009A28E5">
        <w:rPr>
          <w:rFonts w:ascii="Arial" w:eastAsia="Calibri" w:hAnsi="Arial" w:cs="Arial"/>
          <w:snapToGrid w:val="0"/>
          <w:szCs w:val="22"/>
          <w:lang w:eastAsia="en-US"/>
        </w:rPr>
        <w:t xml:space="preserve"> measures for integrating </w:t>
      </w:r>
      <w:r>
        <w:rPr>
          <w:rFonts w:ascii="Arial" w:eastAsia="Calibri" w:hAnsi="Arial" w:cs="Arial"/>
          <w:snapToGrid w:val="0"/>
          <w:szCs w:val="22"/>
          <w:lang w:eastAsia="en-US"/>
        </w:rPr>
        <w:t>intangible cultural heritage safeguarding</w:t>
      </w:r>
      <w:r w:rsidRPr="009A28E5">
        <w:rPr>
          <w:rFonts w:ascii="Arial" w:eastAsia="Calibri" w:hAnsi="Arial" w:cs="Arial"/>
          <w:snapToGrid w:val="0"/>
          <w:szCs w:val="22"/>
          <w:lang w:eastAsia="en-US"/>
        </w:rPr>
        <w:t xml:space="preserve"> into urban planning, the participants </w:t>
      </w:r>
      <w:r w:rsidR="003D7BE6">
        <w:rPr>
          <w:rFonts w:ascii="Arial" w:eastAsia="Calibri" w:hAnsi="Arial" w:cs="Arial"/>
          <w:snapToGrid w:val="0"/>
          <w:szCs w:val="22"/>
          <w:lang w:eastAsia="en-US"/>
        </w:rPr>
        <w:t xml:space="preserve">most frequently cited (among others) </w:t>
      </w:r>
      <w:r w:rsidRPr="009A28E5">
        <w:rPr>
          <w:rFonts w:ascii="Arial" w:eastAsia="Calibri" w:hAnsi="Arial" w:cs="Arial"/>
          <w:snapToGrid w:val="0"/>
          <w:szCs w:val="22"/>
          <w:lang w:eastAsia="en-US"/>
        </w:rPr>
        <w:t>the need to advance educational efforts</w:t>
      </w:r>
      <w:r w:rsidR="003D7BE6" w:rsidRPr="003D7BE6">
        <w:rPr>
          <w:rFonts w:ascii="Arial" w:eastAsia="Calibri" w:hAnsi="Arial" w:cs="Arial"/>
          <w:snapToGrid w:val="0"/>
          <w:szCs w:val="22"/>
          <w:lang w:eastAsia="en-US"/>
        </w:rPr>
        <w:t xml:space="preserve"> </w:t>
      </w:r>
      <w:r w:rsidR="003D7BE6" w:rsidRPr="009A28E5">
        <w:rPr>
          <w:rFonts w:ascii="Arial" w:eastAsia="Calibri" w:hAnsi="Arial" w:cs="Arial"/>
          <w:snapToGrid w:val="0"/>
          <w:szCs w:val="22"/>
          <w:lang w:eastAsia="en-US"/>
        </w:rPr>
        <w:t>at all levels to raise awareness among multiple stakeholders</w:t>
      </w:r>
      <w:r w:rsidR="003D7BE6">
        <w:rPr>
          <w:rFonts w:ascii="Arial" w:eastAsia="Calibri" w:hAnsi="Arial" w:cs="Arial"/>
          <w:snapToGrid w:val="0"/>
          <w:szCs w:val="22"/>
          <w:lang w:eastAsia="en-US"/>
        </w:rPr>
        <w:t>.</w:t>
      </w:r>
      <w:r w:rsidRPr="009A28E5">
        <w:rPr>
          <w:rFonts w:ascii="Arial" w:eastAsia="Calibri" w:hAnsi="Arial" w:cs="Arial"/>
          <w:snapToGrid w:val="0"/>
          <w:szCs w:val="22"/>
          <w:lang w:eastAsia="en-US"/>
        </w:rPr>
        <w:t xml:space="preserve"> </w:t>
      </w:r>
      <w:r w:rsidR="003D7BE6">
        <w:rPr>
          <w:rFonts w:ascii="Arial" w:eastAsia="Calibri" w:hAnsi="Arial" w:cs="Arial"/>
          <w:snapToGrid w:val="0"/>
          <w:szCs w:val="22"/>
          <w:lang w:eastAsia="en-US"/>
        </w:rPr>
        <w:t xml:space="preserve">This </w:t>
      </w:r>
      <w:r w:rsidRPr="009A28E5">
        <w:rPr>
          <w:rFonts w:ascii="Arial" w:eastAsia="Calibri" w:hAnsi="Arial" w:cs="Arial"/>
          <w:snapToGrid w:val="0"/>
          <w:szCs w:val="22"/>
          <w:lang w:eastAsia="en-US"/>
        </w:rPr>
        <w:t>includ</w:t>
      </w:r>
      <w:r w:rsidR="003D7BE6">
        <w:rPr>
          <w:rFonts w:ascii="Arial" w:eastAsia="Calibri" w:hAnsi="Arial" w:cs="Arial"/>
          <w:snapToGrid w:val="0"/>
          <w:szCs w:val="22"/>
          <w:lang w:eastAsia="en-US"/>
        </w:rPr>
        <w:t>es</w:t>
      </w:r>
      <w:r w:rsidRPr="009A28E5">
        <w:rPr>
          <w:rFonts w:ascii="Arial" w:eastAsia="Calibri" w:hAnsi="Arial" w:cs="Arial"/>
          <w:snapToGrid w:val="0"/>
          <w:szCs w:val="22"/>
          <w:lang w:eastAsia="en-US"/>
        </w:rPr>
        <w:t xml:space="preserve"> presentations and exhibitions, conferences and seminars, and other educational programs. Similarly, the respondents emphasized the need to mobilize alternative financial or funding sources; to update existing legislative and regulatory frameworks; and to enhance communication efforts to sensitize policy and decision makers and further disseminate the benefits of </w:t>
      </w:r>
      <w:r>
        <w:rPr>
          <w:rFonts w:ascii="Arial" w:eastAsia="Calibri" w:hAnsi="Arial" w:cs="Arial"/>
          <w:snapToGrid w:val="0"/>
          <w:szCs w:val="22"/>
          <w:lang w:eastAsia="en-US"/>
        </w:rPr>
        <w:t xml:space="preserve">intangible cultural heritage safeguarding </w:t>
      </w:r>
      <w:r w:rsidRPr="009A28E5">
        <w:rPr>
          <w:rFonts w:ascii="Arial" w:eastAsia="Calibri" w:hAnsi="Arial" w:cs="Arial"/>
          <w:snapToGrid w:val="0"/>
          <w:szCs w:val="22"/>
          <w:lang w:eastAsia="en-US"/>
        </w:rPr>
        <w:t>in urban contexts.</w:t>
      </w:r>
    </w:p>
    <w:p w14:paraId="6B2021AF" w14:textId="77777777" w:rsidR="00FD1941" w:rsidRPr="009A28E5" w:rsidRDefault="00FD1941" w:rsidP="00B7244E">
      <w:pPr>
        <w:spacing w:after="0"/>
        <w:rPr>
          <w:rFonts w:ascii="Arial" w:eastAsia="Calibri" w:hAnsi="Arial" w:cs="Arial"/>
          <w:snapToGrid w:val="0"/>
          <w:szCs w:val="22"/>
          <w:lang w:eastAsia="en-US"/>
        </w:rPr>
      </w:pPr>
    </w:p>
    <w:sectPr w:rsidR="00FD1941" w:rsidRPr="009A28E5" w:rsidSect="002938F2">
      <w:headerReference w:type="even" r:id="rId10"/>
      <w:headerReference w:type="default" r:id="rId11"/>
      <w:headerReference w:type="first" r:id="rId12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70CC2" w14:textId="77777777" w:rsidR="005414A1" w:rsidRDefault="005414A1" w:rsidP="002938F2">
      <w:r>
        <w:separator/>
      </w:r>
    </w:p>
    <w:p w14:paraId="17F167DD" w14:textId="77777777" w:rsidR="005414A1" w:rsidRDefault="005414A1"/>
  </w:endnote>
  <w:endnote w:type="continuationSeparator" w:id="0">
    <w:p w14:paraId="27E54571" w14:textId="77777777" w:rsidR="005414A1" w:rsidRDefault="005414A1" w:rsidP="002938F2">
      <w:r>
        <w:continuationSeparator/>
      </w:r>
    </w:p>
    <w:p w14:paraId="21A5D28D" w14:textId="77777777" w:rsidR="005414A1" w:rsidRDefault="005414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2FBAB" w14:textId="77777777" w:rsidR="005414A1" w:rsidRDefault="005414A1" w:rsidP="002938F2">
      <w:r>
        <w:separator/>
      </w:r>
    </w:p>
    <w:p w14:paraId="428D89B7" w14:textId="77777777" w:rsidR="005414A1" w:rsidRDefault="005414A1"/>
  </w:footnote>
  <w:footnote w:type="continuationSeparator" w:id="0">
    <w:p w14:paraId="69A3579D" w14:textId="77777777" w:rsidR="005414A1" w:rsidRDefault="005414A1" w:rsidP="002938F2">
      <w:r>
        <w:continuationSeparator/>
      </w:r>
    </w:p>
    <w:p w14:paraId="3A6513DA" w14:textId="77777777" w:rsidR="005414A1" w:rsidRDefault="005414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6B9C" w14:textId="11A9F118" w:rsidR="00B6167A" w:rsidRPr="00987645" w:rsidRDefault="00FD1941" w:rsidP="009B55AC">
    <w:pPr>
      <w:pStyle w:val="Header"/>
      <w:rPr>
        <w:rFonts w:ascii="Arial" w:hAnsi="Arial" w:cs="Arial"/>
        <w:lang w:val="es-ES"/>
      </w:rPr>
    </w:pPr>
    <w:r w:rsidRPr="00987645">
      <w:rPr>
        <w:rFonts w:ascii="Arial" w:hAnsi="Arial" w:cs="Arial"/>
        <w:sz w:val="20"/>
        <w:szCs w:val="20"/>
        <w:lang w:val="es-ES"/>
      </w:rPr>
      <w:t>LHE/2</w:t>
    </w:r>
    <w:r w:rsidR="00001BE1">
      <w:rPr>
        <w:rFonts w:ascii="Arial" w:hAnsi="Arial" w:cs="Arial"/>
        <w:sz w:val="20"/>
        <w:szCs w:val="20"/>
        <w:lang w:val="es-ES"/>
      </w:rPr>
      <w:t>5</w:t>
    </w:r>
    <w:r w:rsidRPr="00987645">
      <w:rPr>
        <w:rFonts w:ascii="Arial" w:hAnsi="Arial" w:cs="Arial"/>
        <w:sz w:val="20"/>
        <w:szCs w:val="20"/>
        <w:lang w:val="es-ES"/>
      </w:rPr>
      <w:t>/</w:t>
    </w:r>
    <w:r w:rsidR="00105BEB" w:rsidRPr="00987645">
      <w:rPr>
        <w:rFonts w:ascii="Arial" w:hAnsi="Arial" w:cs="Arial"/>
        <w:sz w:val="20"/>
        <w:szCs w:val="20"/>
        <w:lang w:val="es-ES"/>
      </w:rPr>
      <w:t>EXP</w:t>
    </w:r>
    <w:r w:rsidR="00FC4318" w:rsidRPr="00987645">
      <w:rPr>
        <w:rFonts w:ascii="Arial" w:hAnsi="Arial" w:cs="Arial"/>
        <w:sz w:val="20"/>
        <w:szCs w:val="20"/>
        <w:lang w:val="es-ES"/>
      </w:rPr>
      <w:t xml:space="preserve"> </w:t>
    </w:r>
    <w:r w:rsidR="00987645" w:rsidRPr="00987645">
      <w:rPr>
        <w:rFonts w:ascii="Arial" w:hAnsi="Arial" w:cs="Arial"/>
        <w:sz w:val="20"/>
        <w:szCs w:val="20"/>
        <w:lang w:val="es-ES"/>
      </w:rPr>
      <w:t>THEMA-</w:t>
    </w:r>
    <w:r w:rsidR="00001BE1">
      <w:rPr>
        <w:rFonts w:ascii="Arial" w:hAnsi="Arial" w:cs="Arial"/>
        <w:sz w:val="20"/>
        <w:szCs w:val="20"/>
        <w:lang w:val="es-ES"/>
      </w:rPr>
      <w:t>URBAN</w:t>
    </w:r>
    <w:r w:rsidR="000A34CE" w:rsidRPr="00987645">
      <w:rPr>
        <w:rFonts w:ascii="Arial" w:hAnsi="Arial" w:cs="Arial"/>
        <w:sz w:val="20"/>
        <w:szCs w:val="20"/>
        <w:lang w:val="es-ES"/>
      </w:rPr>
      <w:t>/</w:t>
    </w:r>
    <w:r w:rsidR="000A17EB">
      <w:rPr>
        <w:rFonts w:ascii="Arial" w:hAnsi="Arial" w:cs="Arial"/>
        <w:sz w:val="20"/>
        <w:szCs w:val="20"/>
        <w:lang w:val="es-ES"/>
      </w:rPr>
      <w:t>INF.3</w:t>
    </w:r>
    <w:r w:rsidR="00B6167A" w:rsidRPr="00987645">
      <w:rPr>
        <w:rFonts w:ascii="Arial" w:hAnsi="Arial" w:cs="Arial"/>
        <w:sz w:val="20"/>
        <w:szCs w:val="20"/>
        <w:lang w:val="es-ES"/>
      </w:rPr>
      <w:t xml:space="preserve"> – page 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begin"/>
    </w:r>
    <w:r w:rsidR="00B6167A" w:rsidRPr="00987645">
      <w:rPr>
        <w:rStyle w:val="PageNumber"/>
        <w:rFonts w:ascii="Arial" w:hAnsi="Arial" w:cs="Arial"/>
        <w:sz w:val="20"/>
        <w:szCs w:val="20"/>
        <w:lang w:val="es-ES"/>
      </w:rPr>
      <w:instrText xml:space="preserve"> PAGE </w:instrTex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separate"/>
    </w:r>
    <w:r w:rsidR="00570814" w:rsidRPr="00987645">
      <w:rPr>
        <w:rStyle w:val="PageNumber"/>
        <w:rFonts w:ascii="Arial" w:hAnsi="Arial" w:cs="Arial"/>
        <w:noProof/>
        <w:sz w:val="20"/>
        <w:szCs w:val="20"/>
        <w:lang w:val="es-ES"/>
      </w:rPr>
      <w:t>2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5B8C" w14:textId="28BE4D56" w:rsidR="00B6167A" w:rsidRPr="00987645" w:rsidRDefault="00B0149C" w:rsidP="00FD6E38">
    <w:pPr>
      <w:pStyle w:val="Header"/>
      <w:ind w:left="2544" w:right="100"/>
      <w:jc w:val="right"/>
      <w:rPr>
        <w:rFonts w:ascii="Arial" w:hAnsi="Arial" w:cs="Arial"/>
        <w:lang w:val="es-ES"/>
      </w:rPr>
    </w:pPr>
    <w:r w:rsidRPr="00987645">
      <w:rPr>
        <w:rFonts w:ascii="Arial" w:hAnsi="Arial" w:cs="Arial"/>
        <w:sz w:val="20"/>
        <w:szCs w:val="20"/>
        <w:lang w:val="es-ES"/>
      </w:rPr>
      <w:t>LHE/2</w:t>
    </w:r>
    <w:r>
      <w:rPr>
        <w:rFonts w:ascii="Arial" w:hAnsi="Arial" w:cs="Arial"/>
        <w:sz w:val="20"/>
        <w:szCs w:val="20"/>
        <w:lang w:val="es-ES"/>
      </w:rPr>
      <w:t>5</w:t>
    </w:r>
    <w:r w:rsidRPr="00987645">
      <w:rPr>
        <w:rFonts w:ascii="Arial" w:hAnsi="Arial" w:cs="Arial"/>
        <w:sz w:val="20"/>
        <w:szCs w:val="20"/>
        <w:lang w:val="es-ES"/>
      </w:rPr>
      <w:t>/EXP THEMA-</w:t>
    </w:r>
    <w:r>
      <w:rPr>
        <w:rFonts w:ascii="Arial" w:hAnsi="Arial" w:cs="Arial"/>
        <w:sz w:val="20"/>
        <w:szCs w:val="20"/>
        <w:lang w:val="es-ES"/>
      </w:rPr>
      <w:t>URBAN</w:t>
    </w:r>
    <w:r w:rsidRPr="00987645">
      <w:rPr>
        <w:rFonts w:ascii="Arial" w:hAnsi="Arial" w:cs="Arial"/>
        <w:sz w:val="20"/>
        <w:szCs w:val="20"/>
        <w:lang w:val="es-ES"/>
      </w:rPr>
      <w:t>/</w:t>
    </w:r>
    <w:r w:rsidR="000A17EB">
      <w:rPr>
        <w:rFonts w:ascii="Arial" w:hAnsi="Arial" w:cs="Arial"/>
        <w:sz w:val="20"/>
        <w:szCs w:val="20"/>
        <w:lang w:val="es-ES"/>
      </w:rPr>
      <w:t>INF.3</w:t>
    </w:r>
    <w:r>
      <w:rPr>
        <w:rFonts w:ascii="Arial" w:hAnsi="Arial" w:cs="Arial"/>
        <w:sz w:val="20"/>
        <w:szCs w:val="20"/>
        <w:lang w:val="es-ES"/>
      </w:rPr>
      <w:t xml:space="preserve"> </w:t>
    </w:r>
    <w:r w:rsidR="001E4EEB" w:rsidRPr="00987645">
      <w:rPr>
        <w:rFonts w:ascii="Arial" w:hAnsi="Arial" w:cs="Arial"/>
        <w:sz w:val="20"/>
        <w:szCs w:val="20"/>
        <w:lang w:val="es-ES"/>
      </w:rPr>
      <w:t xml:space="preserve">– page 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1E4EEB" w:rsidRPr="00987645">
      <w:rPr>
        <w:rStyle w:val="PageNumber"/>
        <w:rFonts w:ascii="Arial" w:hAnsi="Arial" w:cs="Arial"/>
        <w:sz w:val="20"/>
        <w:szCs w:val="20"/>
        <w:lang w:val="es-ES"/>
      </w:rPr>
      <w:instrText xml:space="preserve"> PAGE </w:instrTex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570814" w:rsidRPr="00987645">
      <w:rPr>
        <w:rStyle w:val="PageNumber"/>
        <w:rFonts w:ascii="Arial" w:hAnsi="Arial" w:cs="Arial"/>
        <w:noProof/>
        <w:sz w:val="20"/>
        <w:szCs w:val="20"/>
        <w:lang w:val="es-ES"/>
      </w:rPr>
      <w:t>3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8CC4" w14:textId="42F3E8D3" w:rsidR="00B6167A" w:rsidRPr="008724E5" w:rsidRDefault="008F7B1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37BEFF" wp14:editId="4FA6F608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8B68BB" w14:textId="4CA7E3C8" w:rsidR="00105BEB" w:rsidRPr="00D7105A" w:rsidRDefault="00105BEB" w:rsidP="00105BEB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>
      <w:rPr>
        <w:rFonts w:ascii="Arial" w:hAnsi="Arial" w:cs="Arial"/>
        <w:b/>
        <w:sz w:val="44"/>
        <w:szCs w:val="44"/>
        <w:lang w:val="pt-PT"/>
      </w:rPr>
      <w:t>EXP</w:t>
    </w:r>
    <w:r w:rsidR="00987645">
      <w:rPr>
        <w:rFonts w:ascii="Arial" w:hAnsi="Arial" w:cs="Arial"/>
        <w:b/>
        <w:sz w:val="44"/>
        <w:szCs w:val="44"/>
        <w:lang w:val="pt-PT"/>
      </w:rPr>
      <w:t xml:space="preserve"> THEMA-</w:t>
    </w:r>
    <w:r w:rsidR="00001BE1">
      <w:rPr>
        <w:rFonts w:ascii="Arial" w:hAnsi="Arial" w:cs="Arial"/>
        <w:b/>
        <w:sz w:val="44"/>
        <w:szCs w:val="44"/>
        <w:lang w:val="pt-PT"/>
      </w:rPr>
      <w:t>URBAN</w:t>
    </w:r>
  </w:p>
  <w:p w14:paraId="4712509F" w14:textId="3979FB37" w:rsidR="00105BEB" w:rsidRPr="00D7105A" w:rsidRDefault="00105BEB" w:rsidP="00105BEB">
    <w:pPr>
      <w:spacing w:after="0"/>
      <w:jc w:val="right"/>
      <w:rPr>
        <w:rFonts w:ascii="Arial" w:hAnsi="Arial" w:cs="Arial"/>
        <w:b/>
        <w:szCs w:val="22"/>
        <w:lang w:val="pt-PT"/>
      </w:rPr>
    </w:pPr>
    <w:r w:rsidRPr="00D7105A">
      <w:rPr>
        <w:rFonts w:ascii="Arial" w:hAnsi="Arial" w:cs="Arial"/>
        <w:b/>
        <w:szCs w:val="22"/>
        <w:lang w:val="pt-PT"/>
      </w:rPr>
      <w:t>LHE/</w:t>
    </w:r>
    <w:r w:rsidR="00001BE1">
      <w:rPr>
        <w:rFonts w:ascii="Arial" w:hAnsi="Arial" w:cs="Arial"/>
        <w:b/>
        <w:szCs w:val="22"/>
        <w:lang w:val="pt-PT"/>
      </w:rPr>
      <w:t>25</w:t>
    </w:r>
    <w:r w:rsidRPr="00D7105A">
      <w:rPr>
        <w:rFonts w:ascii="Arial" w:hAnsi="Arial" w:cs="Arial"/>
        <w:b/>
        <w:szCs w:val="22"/>
        <w:lang w:val="pt-PT"/>
      </w:rPr>
      <w:t>/</w:t>
    </w:r>
    <w:bookmarkStart w:id="2" w:name="_Hlk94624970"/>
    <w:r>
      <w:rPr>
        <w:rFonts w:ascii="Arial" w:hAnsi="Arial" w:cs="Arial"/>
        <w:b/>
        <w:szCs w:val="22"/>
        <w:lang w:val="pt-PT"/>
      </w:rPr>
      <w:t xml:space="preserve">EXP </w:t>
    </w:r>
    <w:r w:rsidR="00987645">
      <w:rPr>
        <w:rFonts w:ascii="Arial" w:hAnsi="Arial" w:cs="Arial"/>
        <w:b/>
        <w:szCs w:val="22"/>
        <w:lang w:val="pt-PT"/>
      </w:rPr>
      <w:t>THEMA-</w:t>
    </w:r>
    <w:r w:rsidR="00001BE1">
      <w:rPr>
        <w:rFonts w:ascii="Arial" w:hAnsi="Arial" w:cs="Arial"/>
        <w:b/>
        <w:szCs w:val="22"/>
        <w:lang w:val="pt-PT"/>
      </w:rPr>
      <w:t>URBAN</w:t>
    </w:r>
    <w:r w:rsidRPr="00D7105A">
      <w:rPr>
        <w:rFonts w:ascii="Arial" w:hAnsi="Arial" w:cs="Arial"/>
        <w:b/>
        <w:szCs w:val="22"/>
        <w:lang w:val="pt-PT"/>
      </w:rPr>
      <w:t>/</w:t>
    </w:r>
    <w:r w:rsidR="000A17EB">
      <w:rPr>
        <w:rFonts w:ascii="Arial" w:hAnsi="Arial" w:cs="Arial"/>
        <w:b/>
        <w:szCs w:val="22"/>
        <w:lang w:val="pt-PT"/>
      </w:rPr>
      <w:t>INF.3</w:t>
    </w:r>
  </w:p>
  <w:bookmarkEnd w:id="2"/>
  <w:p w14:paraId="24ABBBCE" w14:textId="07071B75" w:rsidR="00105BEB" w:rsidRPr="00D7105A" w:rsidRDefault="00105BEB" w:rsidP="00105BEB">
    <w:pPr>
      <w:spacing w:after="0"/>
      <w:jc w:val="right"/>
      <w:rPr>
        <w:rFonts w:ascii="Arial" w:eastAsiaTheme="minorEastAsia" w:hAnsi="Arial" w:cs="Arial"/>
        <w:b/>
        <w:szCs w:val="22"/>
        <w:lang w:val="pt-PT" w:eastAsia="ko-KR"/>
      </w:rPr>
    </w:pPr>
    <w:r w:rsidRPr="00D7105A">
      <w:rPr>
        <w:rFonts w:ascii="Arial" w:hAnsi="Arial" w:cs="Arial"/>
        <w:b/>
        <w:szCs w:val="22"/>
        <w:lang w:val="pt-PT"/>
      </w:rPr>
      <w:t>Paris,</w:t>
    </w:r>
    <w:r w:rsidR="00B0149C" w:rsidRPr="000A17EB">
      <w:rPr>
        <w:rFonts w:ascii="Arial" w:hAnsi="Arial" w:cs="Arial"/>
        <w:b/>
        <w:szCs w:val="22"/>
        <w:lang w:val="pt-PT"/>
      </w:rPr>
      <w:t xml:space="preserve"> </w:t>
    </w:r>
    <w:r w:rsidR="000A17EB">
      <w:rPr>
        <w:rFonts w:ascii="Arial" w:hAnsi="Arial" w:cs="Arial"/>
        <w:b/>
        <w:szCs w:val="22"/>
        <w:lang w:val="pt-PT"/>
      </w:rPr>
      <w:t>2</w:t>
    </w:r>
    <w:r w:rsidR="00815A3D" w:rsidRPr="00001BE1">
      <w:rPr>
        <w:rFonts w:ascii="Arial" w:hAnsi="Arial" w:cs="Arial"/>
        <w:b/>
        <w:szCs w:val="22"/>
        <w:lang w:val="pt-PT"/>
      </w:rPr>
      <w:t xml:space="preserve"> June</w:t>
    </w:r>
    <w:r w:rsidRPr="00D7105A">
      <w:rPr>
        <w:rFonts w:ascii="Arial" w:hAnsi="Arial" w:cs="Arial"/>
        <w:b/>
        <w:szCs w:val="22"/>
        <w:lang w:val="pt-PT"/>
      </w:rPr>
      <w:t xml:space="preserve"> </w:t>
    </w:r>
    <w:r w:rsidR="00001BE1">
      <w:rPr>
        <w:rFonts w:ascii="Arial" w:hAnsi="Arial" w:cs="Arial"/>
        <w:b/>
        <w:szCs w:val="22"/>
        <w:lang w:val="pt-PT"/>
      </w:rPr>
      <w:t>2025</w:t>
    </w:r>
  </w:p>
  <w:p w14:paraId="78D7A3B0" w14:textId="7F7AAE95" w:rsidR="00815A3D" w:rsidRPr="003904DE" w:rsidRDefault="00815A3D" w:rsidP="00FD4C11">
    <w:pPr>
      <w:spacing w:after="0"/>
      <w:jc w:val="right"/>
      <w:rPr>
        <w:rFonts w:ascii="Arial" w:hAnsi="Arial" w:cs="Arial"/>
        <w:b/>
        <w:szCs w:val="22"/>
        <w:lang w:val="en-US"/>
      </w:rPr>
    </w:pPr>
    <w:r w:rsidRPr="003904DE">
      <w:rPr>
        <w:rFonts w:ascii="Arial" w:hAnsi="Arial"/>
        <w:b/>
        <w:lang w:val="en-US"/>
      </w:rPr>
      <w:t>Original: English</w:t>
    </w:r>
  </w:p>
  <w:p w14:paraId="03AF8277" w14:textId="36405A30" w:rsidR="00815A3D" w:rsidRPr="003904DE" w:rsidRDefault="00815A3D" w:rsidP="00815A3D">
    <w:pPr>
      <w:spacing w:after="0"/>
      <w:jc w:val="right"/>
      <w:rPr>
        <w:rFonts w:ascii="Arial" w:hAnsi="Arial" w:cs="Arial"/>
        <w:b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80B23A0"/>
    <w:multiLevelType w:val="hybridMultilevel"/>
    <w:tmpl w:val="08982E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53E75CE"/>
    <w:multiLevelType w:val="hybridMultilevel"/>
    <w:tmpl w:val="6CD49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07BFE"/>
    <w:multiLevelType w:val="hybridMultilevel"/>
    <w:tmpl w:val="3B58F5A8"/>
    <w:lvl w:ilvl="0" w:tplc="040C0013">
      <w:start w:val="1"/>
      <w:numFmt w:val="upperRoman"/>
      <w:pStyle w:val="1GAPara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A0321D"/>
    <w:multiLevelType w:val="hybridMultilevel"/>
    <w:tmpl w:val="5BE49C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B1360"/>
    <w:multiLevelType w:val="hybridMultilevel"/>
    <w:tmpl w:val="924CFA76"/>
    <w:lvl w:ilvl="0" w:tplc="AF164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037826">
    <w:abstractNumId w:val="8"/>
  </w:num>
  <w:num w:numId="2" w16cid:durableId="1781993912">
    <w:abstractNumId w:val="6"/>
  </w:num>
  <w:num w:numId="3" w16cid:durableId="38207843">
    <w:abstractNumId w:val="2"/>
  </w:num>
  <w:num w:numId="4" w16cid:durableId="323359568">
    <w:abstractNumId w:val="11"/>
  </w:num>
  <w:num w:numId="5" w16cid:durableId="748893152">
    <w:abstractNumId w:val="9"/>
  </w:num>
  <w:num w:numId="6" w16cid:durableId="810168608">
    <w:abstractNumId w:val="0"/>
  </w:num>
  <w:num w:numId="7" w16cid:durableId="1693913810">
    <w:abstractNumId w:val="3"/>
  </w:num>
  <w:num w:numId="8" w16cid:durableId="228617101">
    <w:abstractNumId w:val="5"/>
  </w:num>
  <w:num w:numId="9" w16cid:durableId="1883442986">
    <w:abstractNumId w:val="10"/>
  </w:num>
  <w:num w:numId="10" w16cid:durableId="679047744">
    <w:abstractNumId w:val="7"/>
  </w:num>
  <w:num w:numId="11" w16cid:durableId="1867909998">
    <w:abstractNumId w:val="4"/>
  </w:num>
  <w:num w:numId="12" w16cid:durableId="536819172">
    <w:abstractNumId w:val="5"/>
  </w:num>
  <w:num w:numId="13" w16cid:durableId="1301426608">
    <w:abstractNumId w:val="5"/>
  </w:num>
  <w:num w:numId="14" w16cid:durableId="1344086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A1"/>
    <w:rsid w:val="000016A4"/>
    <w:rsid w:val="000019DB"/>
    <w:rsid w:val="00001BE1"/>
    <w:rsid w:val="000047CC"/>
    <w:rsid w:val="000120FD"/>
    <w:rsid w:val="00012874"/>
    <w:rsid w:val="00015984"/>
    <w:rsid w:val="00017041"/>
    <w:rsid w:val="00021831"/>
    <w:rsid w:val="000473E7"/>
    <w:rsid w:val="00047E58"/>
    <w:rsid w:val="00055BD5"/>
    <w:rsid w:val="00073D20"/>
    <w:rsid w:val="000755E1"/>
    <w:rsid w:val="00084321"/>
    <w:rsid w:val="00084B39"/>
    <w:rsid w:val="00085541"/>
    <w:rsid w:val="00093063"/>
    <w:rsid w:val="000A0646"/>
    <w:rsid w:val="000A17EB"/>
    <w:rsid w:val="000A34CE"/>
    <w:rsid w:val="000C65E4"/>
    <w:rsid w:val="000E01E2"/>
    <w:rsid w:val="00103DB1"/>
    <w:rsid w:val="00105BEB"/>
    <w:rsid w:val="001064D8"/>
    <w:rsid w:val="00106B72"/>
    <w:rsid w:val="00114C8B"/>
    <w:rsid w:val="0011750D"/>
    <w:rsid w:val="001332A8"/>
    <w:rsid w:val="001412DE"/>
    <w:rsid w:val="00144A4D"/>
    <w:rsid w:val="00151351"/>
    <w:rsid w:val="00174B39"/>
    <w:rsid w:val="001805C5"/>
    <w:rsid w:val="001943EE"/>
    <w:rsid w:val="00195150"/>
    <w:rsid w:val="001A431C"/>
    <w:rsid w:val="001A7376"/>
    <w:rsid w:val="001C5BA7"/>
    <w:rsid w:val="001D00B5"/>
    <w:rsid w:val="001D3B29"/>
    <w:rsid w:val="001D682C"/>
    <w:rsid w:val="001E4EEB"/>
    <w:rsid w:val="001E6026"/>
    <w:rsid w:val="001F3696"/>
    <w:rsid w:val="001F37CA"/>
    <w:rsid w:val="001F6B19"/>
    <w:rsid w:val="00204B37"/>
    <w:rsid w:val="002105E4"/>
    <w:rsid w:val="00237E43"/>
    <w:rsid w:val="0026126F"/>
    <w:rsid w:val="00265DC9"/>
    <w:rsid w:val="0027198B"/>
    <w:rsid w:val="00286C0C"/>
    <w:rsid w:val="00290D5F"/>
    <w:rsid w:val="002938F2"/>
    <w:rsid w:val="002C5280"/>
    <w:rsid w:val="002D1CF9"/>
    <w:rsid w:val="002D396D"/>
    <w:rsid w:val="002E366C"/>
    <w:rsid w:val="002F1F55"/>
    <w:rsid w:val="002F2BB5"/>
    <w:rsid w:val="0030118C"/>
    <w:rsid w:val="00307B6A"/>
    <w:rsid w:val="00325B01"/>
    <w:rsid w:val="00330E87"/>
    <w:rsid w:val="00343A85"/>
    <w:rsid w:val="003474EB"/>
    <w:rsid w:val="0035648A"/>
    <w:rsid w:val="00363995"/>
    <w:rsid w:val="003748FC"/>
    <w:rsid w:val="00383D34"/>
    <w:rsid w:val="00386756"/>
    <w:rsid w:val="0039035A"/>
    <w:rsid w:val="003904DE"/>
    <w:rsid w:val="0039446E"/>
    <w:rsid w:val="003B2456"/>
    <w:rsid w:val="003C3B5F"/>
    <w:rsid w:val="003C7065"/>
    <w:rsid w:val="003D7BE6"/>
    <w:rsid w:val="003E516D"/>
    <w:rsid w:val="004108B6"/>
    <w:rsid w:val="00415F1E"/>
    <w:rsid w:val="00434773"/>
    <w:rsid w:val="00446980"/>
    <w:rsid w:val="00447C66"/>
    <w:rsid w:val="00464A3C"/>
    <w:rsid w:val="00471B34"/>
    <w:rsid w:val="0047693C"/>
    <w:rsid w:val="00483688"/>
    <w:rsid w:val="00493D2F"/>
    <w:rsid w:val="004A631C"/>
    <w:rsid w:val="004B79A0"/>
    <w:rsid w:val="004C665B"/>
    <w:rsid w:val="004D44D3"/>
    <w:rsid w:val="004E056C"/>
    <w:rsid w:val="004E2817"/>
    <w:rsid w:val="004E3EA7"/>
    <w:rsid w:val="004F1ADB"/>
    <w:rsid w:val="005016FB"/>
    <w:rsid w:val="00511D17"/>
    <w:rsid w:val="0051699F"/>
    <w:rsid w:val="005210F4"/>
    <w:rsid w:val="005414A1"/>
    <w:rsid w:val="00546AFC"/>
    <w:rsid w:val="00550CC5"/>
    <w:rsid w:val="00555BE8"/>
    <w:rsid w:val="00570814"/>
    <w:rsid w:val="005B724F"/>
    <w:rsid w:val="005B7D22"/>
    <w:rsid w:val="005C0660"/>
    <w:rsid w:val="005C66B8"/>
    <w:rsid w:val="005D6B87"/>
    <w:rsid w:val="005E0377"/>
    <w:rsid w:val="00601DD6"/>
    <w:rsid w:val="00603AB8"/>
    <w:rsid w:val="00603F71"/>
    <w:rsid w:val="00634826"/>
    <w:rsid w:val="00636760"/>
    <w:rsid w:val="006472D3"/>
    <w:rsid w:val="006515C9"/>
    <w:rsid w:val="00652318"/>
    <w:rsid w:val="00653CE8"/>
    <w:rsid w:val="0067005F"/>
    <w:rsid w:val="0067051E"/>
    <w:rsid w:val="006A0D86"/>
    <w:rsid w:val="006B4820"/>
    <w:rsid w:val="006C0911"/>
    <w:rsid w:val="006D46FB"/>
    <w:rsid w:val="0071691A"/>
    <w:rsid w:val="0072751A"/>
    <w:rsid w:val="00746204"/>
    <w:rsid w:val="00747715"/>
    <w:rsid w:val="00750138"/>
    <w:rsid w:val="00753DA3"/>
    <w:rsid w:val="00763B92"/>
    <w:rsid w:val="00764F50"/>
    <w:rsid w:val="00770A92"/>
    <w:rsid w:val="00772DAF"/>
    <w:rsid w:val="00774A47"/>
    <w:rsid w:val="00790C65"/>
    <w:rsid w:val="00795991"/>
    <w:rsid w:val="007A04FD"/>
    <w:rsid w:val="007A3400"/>
    <w:rsid w:val="007A7D45"/>
    <w:rsid w:val="007B5137"/>
    <w:rsid w:val="007C173C"/>
    <w:rsid w:val="007C1B00"/>
    <w:rsid w:val="007D13D9"/>
    <w:rsid w:val="007D31CE"/>
    <w:rsid w:val="007D5BB7"/>
    <w:rsid w:val="007E0621"/>
    <w:rsid w:val="007E4E37"/>
    <w:rsid w:val="007F3697"/>
    <w:rsid w:val="007F4B07"/>
    <w:rsid w:val="00815A3D"/>
    <w:rsid w:val="00817AC2"/>
    <w:rsid w:val="008261ED"/>
    <w:rsid w:val="0083488D"/>
    <w:rsid w:val="008466C3"/>
    <w:rsid w:val="00847809"/>
    <w:rsid w:val="00851458"/>
    <w:rsid w:val="008522EF"/>
    <w:rsid w:val="00861A47"/>
    <w:rsid w:val="00865332"/>
    <w:rsid w:val="008707FF"/>
    <w:rsid w:val="00871D24"/>
    <w:rsid w:val="008724E5"/>
    <w:rsid w:val="00874EE6"/>
    <w:rsid w:val="008A4637"/>
    <w:rsid w:val="008B1039"/>
    <w:rsid w:val="008B7B97"/>
    <w:rsid w:val="008D0638"/>
    <w:rsid w:val="008D3BF7"/>
    <w:rsid w:val="008D640C"/>
    <w:rsid w:val="008E0B3C"/>
    <w:rsid w:val="008F16C6"/>
    <w:rsid w:val="008F34A1"/>
    <w:rsid w:val="008F7B13"/>
    <w:rsid w:val="009121CE"/>
    <w:rsid w:val="009127D8"/>
    <w:rsid w:val="00921F65"/>
    <w:rsid w:val="009312A9"/>
    <w:rsid w:val="00933E71"/>
    <w:rsid w:val="009357D2"/>
    <w:rsid w:val="00936A1B"/>
    <w:rsid w:val="0097349C"/>
    <w:rsid w:val="00987645"/>
    <w:rsid w:val="009A28E5"/>
    <w:rsid w:val="009B55AC"/>
    <w:rsid w:val="009C3137"/>
    <w:rsid w:val="009D4547"/>
    <w:rsid w:val="009D5E38"/>
    <w:rsid w:val="009F34A4"/>
    <w:rsid w:val="009F3988"/>
    <w:rsid w:val="00A150C7"/>
    <w:rsid w:val="00A30B41"/>
    <w:rsid w:val="00A376DF"/>
    <w:rsid w:val="00A5108F"/>
    <w:rsid w:val="00A519A2"/>
    <w:rsid w:val="00A56243"/>
    <w:rsid w:val="00A70883"/>
    <w:rsid w:val="00A77AEB"/>
    <w:rsid w:val="00A86042"/>
    <w:rsid w:val="00AA0D12"/>
    <w:rsid w:val="00AA444A"/>
    <w:rsid w:val="00AB1528"/>
    <w:rsid w:val="00AE1B18"/>
    <w:rsid w:val="00AE596B"/>
    <w:rsid w:val="00AE64D3"/>
    <w:rsid w:val="00AF1C32"/>
    <w:rsid w:val="00B0149C"/>
    <w:rsid w:val="00B078B5"/>
    <w:rsid w:val="00B11AE3"/>
    <w:rsid w:val="00B46D2E"/>
    <w:rsid w:val="00B6167A"/>
    <w:rsid w:val="00B7244E"/>
    <w:rsid w:val="00B8417D"/>
    <w:rsid w:val="00B973B5"/>
    <w:rsid w:val="00BB64B4"/>
    <w:rsid w:val="00BD59BD"/>
    <w:rsid w:val="00BF1460"/>
    <w:rsid w:val="00C1651E"/>
    <w:rsid w:val="00C3426C"/>
    <w:rsid w:val="00C4406C"/>
    <w:rsid w:val="00C6478B"/>
    <w:rsid w:val="00C65379"/>
    <w:rsid w:val="00C70EFC"/>
    <w:rsid w:val="00C81DD0"/>
    <w:rsid w:val="00C86AB5"/>
    <w:rsid w:val="00CA6E42"/>
    <w:rsid w:val="00CB0F37"/>
    <w:rsid w:val="00CC2BC6"/>
    <w:rsid w:val="00CE2586"/>
    <w:rsid w:val="00CE2A64"/>
    <w:rsid w:val="00D04F07"/>
    <w:rsid w:val="00D16FF6"/>
    <w:rsid w:val="00D3733C"/>
    <w:rsid w:val="00D404B7"/>
    <w:rsid w:val="00D46EBD"/>
    <w:rsid w:val="00D54951"/>
    <w:rsid w:val="00D632B6"/>
    <w:rsid w:val="00D809E5"/>
    <w:rsid w:val="00D81948"/>
    <w:rsid w:val="00D9501F"/>
    <w:rsid w:val="00DB44F9"/>
    <w:rsid w:val="00DB50D5"/>
    <w:rsid w:val="00DF3DA3"/>
    <w:rsid w:val="00E06A00"/>
    <w:rsid w:val="00E22B99"/>
    <w:rsid w:val="00E258D9"/>
    <w:rsid w:val="00E3509F"/>
    <w:rsid w:val="00E357C2"/>
    <w:rsid w:val="00E35D7D"/>
    <w:rsid w:val="00E439CA"/>
    <w:rsid w:val="00E5219B"/>
    <w:rsid w:val="00E570F5"/>
    <w:rsid w:val="00E6586D"/>
    <w:rsid w:val="00E72940"/>
    <w:rsid w:val="00E72B36"/>
    <w:rsid w:val="00E93F6E"/>
    <w:rsid w:val="00EA198F"/>
    <w:rsid w:val="00EA779F"/>
    <w:rsid w:val="00EB2686"/>
    <w:rsid w:val="00EF0BCB"/>
    <w:rsid w:val="00EF0E74"/>
    <w:rsid w:val="00F00E8A"/>
    <w:rsid w:val="00F04457"/>
    <w:rsid w:val="00F228E9"/>
    <w:rsid w:val="00F33650"/>
    <w:rsid w:val="00F473CB"/>
    <w:rsid w:val="00F50245"/>
    <w:rsid w:val="00F63DDA"/>
    <w:rsid w:val="00F70858"/>
    <w:rsid w:val="00F7397F"/>
    <w:rsid w:val="00F75949"/>
    <w:rsid w:val="00F83239"/>
    <w:rsid w:val="00F941F0"/>
    <w:rsid w:val="00FC4318"/>
    <w:rsid w:val="00FD1941"/>
    <w:rsid w:val="00FD3235"/>
    <w:rsid w:val="00FD4C11"/>
    <w:rsid w:val="00FD6E38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2CAC8FBD"/>
  <w15:docId w15:val="{704578A4-8F5E-42F7-A5FC-0FC6CDB9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169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lang w:val="fr-FR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uiPriority w:val="99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rsid w:val="00C70EF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ansinterligne2">
    <w:name w:val="Sans interligne2"/>
    <w:uiPriority w:val="1"/>
    <w:rsid w:val="00D54951"/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169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91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ascii="Calibri" w:hAnsi="Calibri"/>
      <w:i/>
      <w:iCs/>
      <w:color w:val="4F81BD" w:themeColor="accent1"/>
      <w:kern w:val="2"/>
      <w:szCs w:val="22"/>
      <w:lang w:val="en-AU" w:eastAsia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91A"/>
    <w:rPr>
      <w:rFonts w:eastAsia="Times New Roman"/>
      <w:i/>
      <w:iCs/>
      <w:color w:val="4F81BD" w:themeColor="accent1"/>
      <w:kern w:val="2"/>
      <w:sz w:val="22"/>
      <w:szCs w:val="22"/>
      <w:lang w:val="en-AU" w:eastAsia="en-AU"/>
    </w:rPr>
  </w:style>
  <w:style w:type="paragraph" w:styleId="Revision">
    <w:name w:val="Revision"/>
    <w:hidden/>
    <w:uiPriority w:val="99"/>
    <w:semiHidden/>
    <w:rsid w:val="0071691A"/>
    <w:rPr>
      <w:rFonts w:eastAsia="Times New Roman"/>
      <w:kern w:val="2"/>
      <w:sz w:val="22"/>
      <w:szCs w:val="22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7169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9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691A"/>
    <w:pPr>
      <w:spacing w:after="160" w:line="259" w:lineRule="auto"/>
      <w:ind w:left="720"/>
      <w:contextualSpacing/>
    </w:pPr>
    <w:rPr>
      <w:rFonts w:ascii="Calibri" w:hAnsi="Calibri"/>
      <w:kern w:val="2"/>
      <w:szCs w:val="22"/>
      <w:lang w:val="en-AU" w:eastAsia="en-AU"/>
    </w:rPr>
  </w:style>
  <w:style w:type="paragraph" w:customStyle="1" w:styleId="COMPara">
    <w:name w:val="COM Para"/>
    <w:qFormat/>
    <w:rsid w:val="00815A3D"/>
    <w:pPr>
      <w:spacing w:after="120"/>
      <w:jc w:val="both"/>
    </w:pPr>
    <w:rPr>
      <w:rFonts w:ascii="Arial" w:eastAsia="Calibri" w:hAnsi="Arial" w:cs="Arial"/>
      <w:snapToGrid w:val="0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urban-contex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h.unesco.org/en/surveys-on-thematic-initiatives-01277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Information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D64B2-7D7B-40E9-8A47-F99FB6E96E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COM_Information document_EN.dotx</Template>
  <TotalTime>572</TotalTime>
  <Pages>4</Pages>
  <Words>1410</Words>
  <Characters>8038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Tan, Nicholas</cp:lastModifiedBy>
  <cp:revision>81</cp:revision>
  <cp:lastPrinted>2011-08-09T15:26:00Z</cp:lastPrinted>
  <dcterms:created xsi:type="dcterms:W3CDTF">2023-02-28T14:16:00Z</dcterms:created>
  <dcterms:modified xsi:type="dcterms:W3CDTF">2025-06-02T13:50:00Z</dcterms:modified>
</cp:coreProperties>
</file>