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0" w:type="dxa"/>
        <w:tblLook w:val="04A0" w:firstRow="1" w:lastRow="0" w:firstColumn="1" w:lastColumn="0" w:noHBand="0" w:noVBand="1"/>
      </w:tblPr>
      <w:tblGrid>
        <w:gridCol w:w="4819"/>
        <w:gridCol w:w="4819"/>
      </w:tblGrid>
      <w:tr w:rsidR="00A50FFA" w:rsidRPr="00332D1F" w14:paraId="7432DA8D" w14:textId="77777777" w:rsidTr="000E06A3">
        <w:tc>
          <w:tcPr>
            <w:tcW w:w="4927" w:type="dxa"/>
            <w:tcBorders>
              <w:top w:val="nil"/>
              <w:left w:val="nil"/>
              <w:bottom w:val="nil"/>
              <w:right w:val="nil"/>
            </w:tcBorders>
          </w:tcPr>
          <w:p w14:paraId="024B4961" w14:textId="02E76C39" w:rsidR="00A50FFA" w:rsidRPr="00E95AE2" w:rsidRDefault="00A50FFA" w:rsidP="00724FB2">
            <w:pPr>
              <w:rPr>
                <w:rFonts w:ascii="Arial" w:hAnsi="Arial" w:cs="Arial"/>
                <w:bCs/>
                <w:sz w:val="22"/>
                <w:szCs w:val="22"/>
                <w:lang w:val="en-GB"/>
              </w:rPr>
            </w:pPr>
          </w:p>
        </w:tc>
        <w:tc>
          <w:tcPr>
            <w:tcW w:w="4927" w:type="dxa"/>
            <w:tcBorders>
              <w:top w:val="nil"/>
              <w:left w:val="nil"/>
              <w:bottom w:val="nil"/>
              <w:right w:val="nil"/>
            </w:tcBorders>
          </w:tcPr>
          <w:p w14:paraId="0D544049" w14:textId="323547E9" w:rsidR="00A50FFA" w:rsidRPr="00332D1F" w:rsidRDefault="00A50FFA" w:rsidP="00724FB2">
            <w:pPr>
              <w:spacing w:after="120"/>
              <w:rPr>
                <w:rFonts w:ascii="Arial" w:hAnsi="Arial" w:cs="Arial"/>
                <w:b/>
                <w:sz w:val="22"/>
                <w:szCs w:val="22"/>
                <w:lang w:val="pt-PT"/>
              </w:rPr>
            </w:pPr>
          </w:p>
        </w:tc>
      </w:tr>
    </w:tbl>
    <w:p w14:paraId="2485E36E" w14:textId="2F189A8E" w:rsidR="00EC6F8D" w:rsidRPr="00293C60" w:rsidRDefault="00EC6F8D" w:rsidP="00EC6F8D">
      <w:pPr>
        <w:spacing w:before="1440"/>
        <w:jc w:val="center"/>
        <w:rPr>
          <w:rFonts w:ascii="Arial" w:hAnsi="Arial" w:cs="Arial"/>
          <w:b/>
          <w:sz w:val="22"/>
          <w:szCs w:val="22"/>
        </w:rPr>
      </w:pPr>
      <w:r>
        <w:rPr>
          <w:rFonts w:ascii="Arial" w:hAnsi="Arial"/>
          <w:b/>
          <w:sz w:val="22"/>
        </w:rPr>
        <w:t>CONVENTION POUR LA SAUVEGARDE DU</w:t>
      </w:r>
      <w:r w:rsidR="006357C6">
        <w:rPr>
          <w:rFonts w:ascii="Arial" w:hAnsi="Arial"/>
          <w:b/>
          <w:sz w:val="22"/>
        </w:rPr>
        <w:br/>
      </w:r>
      <w:r>
        <w:rPr>
          <w:rFonts w:ascii="Arial" w:hAnsi="Arial"/>
          <w:b/>
          <w:sz w:val="22"/>
        </w:rPr>
        <w:t>PATRIMOINE CULTUREL IMMATÉRIEL</w:t>
      </w:r>
    </w:p>
    <w:p w14:paraId="3D556B12" w14:textId="5DEDF839" w:rsidR="00091385" w:rsidRPr="00091385" w:rsidRDefault="00C9225A" w:rsidP="00CE71E5">
      <w:pPr>
        <w:spacing w:before="1200"/>
        <w:ind w:right="-1"/>
        <w:jc w:val="center"/>
        <w:rPr>
          <w:rFonts w:ascii="Arial" w:eastAsia="Calibri" w:hAnsi="Arial" w:cs="Arial"/>
          <w:b/>
          <w:bCs/>
          <w:sz w:val="22"/>
          <w:szCs w:val="22"/>
        </w:rPr>
      </w:pPr>
      <w:bookmarkStart w:id="0" w:name="_Hlk70514086"/>
      <w:r>
        <w:rPr>
          <w:rFonts w:ascii="Arial" w:hAnsi="Arial"/>
          <w:b/>
          <w:sz w:val="22"/>
        </w:rPr>
        <w:t>Réunion d’experts sur la sauvegarde du patrimoine culturel immatériel</w:t>
      </w:r>
      <w:r w:rsidR="006357C6">
        <w:rPr>
          <w:rFonts w:ascii="Arial" w:hAnsi="Arial"/>
          <w:b/>
          <w:sz w:val="22"/>
        </w:rPr>
        <w:br/>
      </w:r>
      <w:r>
        <w:rPr>
          <w:rFonts w:ascii="Arial" w:hAnsi="Arial"/>
          <w:b/>
          <w:sz w:val="22"/>
        </w:rPr>
        <w:t>en milieu urbain</w:t>
      </w:r>
    </w:p>
    <w:bookmarkEnd w:id="0"/>
    <w:p w14:paraId="711FFA0E" w14:textId="7226FEDC" w:rsidR="0015772D" w:rsidRPr="00F45B84" w:rsidRDefault="000557C9" w:rsidP="003F37A1">
      <w:pPr>
        <w:spacing w:before="840"/>
        <w:jc w:val="center"/>
        <w:rPr>
          <w:rFonts w:ascii="Arial" w:eastAsia="Calibri" w:hAnsi="Arial" w:cs="Arial"/>
          <w:b/>
          <w:bCs/>
          <w:sz w:val="22"/>
          <w:szCs w:val="22"/>
        </w:rPr>
      </w:pPr>
      <w:r>
        <w:rPr>
          <w:rFonts w:ascii="Arial" w:hAnsi="Arial"/>
          <w:b/>
          <w:sz w:val="22"/>
        </w:rPr>
        <w:t>16 - 17 juin 2025 (Partie I)</w:t>
      </w:r>
    </w:p>
    <w:p w14:paraId="72C8CFDD" w14:textId="68BC9194" w:rsidR="0015772D" w:rsidRPr="00F45B84" w:rsidRDefault="0015772D" w:rsidP="0015772D">
      <w:pPr>
        <w:ind w:right="-1"/>
        <w:jc w:val="center"/>
        <w:rPr>
          <w:rFonts w:ascii="Arial" w:eastAsia="Calibri" w:hAnsi="Arial" w:cs="Arial"/>
          <w:b/>
          <w:bCs/>
          <w:sz w:val="22"/>
          <w:szCs w:val="22"/>
        </w:rPr>
      </w:pPr>
      <w:r>
        <w:rPr>
          <w:rFonts w:ascii="Arial" w:hAnsi="Arial"/>
          <w:b/>
          <w:sz w:val="22"/>
        </w:rPr>
        <w:t>Siège de l</w:t>
      </w:r>
      <w:r w:rsidR="00A46460">
        <w:rPr>
          <w:rFonts w:ascii="Arial" w:hAnsi="Arial"/>
          <w:b/>
          <w:sz w:val="22"/>
        </w:rPr>
        <w:t>’</w:t>
      </w:r>
      <w:r>
        <w:rPr>
          <w:rFonts w:ascii="Arial" w:hAnsi="Arial"/>
          <w:b/>
          <w:sz w:val="22"/>
        </w:rPr>
        <w:t>UNESCO, Paris</w:t>
      </w:r>
    </w:p>
    <w:p w14:paraId="1CDB36F7" w14:textId="29361F74" w:rsidR="0015772D" w:rsidRPr="00F45B84" w:rsidRDefault="000557C9" w:rsidP="0015772D">
      <w:pPr>
        <w:spacing w:before="360"/>
        <w:ind w:right="-1"/>
        <w:jc w:val="center"/>
        <w:rPr>
          <w:rFonts w:ascii="Arial" w:eastAsia="Calibri" w:hAnsi="Arial" w:cs="Arial"/>
          <w:b/>
          <w:bCs/>
          <w:sz w:val="22"/>
          <w:szCs w:val="22"/>
        </w:rPr>
      </w:pPr>
      <w:r>
        <w:rPr>
          <w:rFonts w:ascii="Arial" w:hAnsi="Arial"/>
          <w:b/>
          <w:sz w:val="22"/>
        </w:rPr>
        <w:t>18 - 19 septembre 2025 (Partie</w:t>
      </w:r>
      <w:r w:rsidR="00A46460">
        <w:rPr>
          <w:rFonts w:ascii="Arial" w:hAnsi="Arial"/>
          <w:b/>
          <w:sz w:val="22"/>
        </w:rPr>
        <w:t> </w:t>
      </w:r>
      <w:r>
        <w:rPr>
          <w:rFonts w:ascii="Arial" w:hAnsi="Arial"/>
          <w:b/>
          <w:sz w:val="22"/>
        </w:rPr>
        <w:t>II)</w:t>
      </w:r>
    </w:p>
    <w:p w14:paraId="20D867F1" w14:textId="0946B724" w:rsidR="0015772D" w:rsidRPr="00F45B84" w:rsidRDefault="0015772D" w:rsidP="003F37A1">
      <w:pPr>
        <w:spacing w:after="1200"/>
        <w:jc w:val="center"/>
        <w:rPr>
          <w:rFonts w:ascii="Arial" w:eastAsia="Calibri" w:hAnsi="Arial" w:cs="Arial"/>
          <w:b/>
          <w:bCs/>
          <w:sz w:val="22"/>
          <w:szCs w:val="22"/>
        </w:rPr>
      </w:pPr>
      <w:r>
        <w:rPr>
          <w:rFonts w:ascii="Arial" w:hAnsi="Arial"/>
          <w:b/>
          <w:sz w:val="22"/>
        </w:rPr>
        <w:t>En ligne</w:t>
      </w:r>
    </w:p>
    <w:p w14:paraId="59920478" w14:textId="5DBC4899" w:rsidR="004A2875" w:rsidRPr="003F37A1" w:rsidRDefault="000E06A3" w:rsidP="0015772D">
      <w:pPr>
        <w:pStyle w:val="Sansinterligne2"/>
        <w:spacing w:before="600" w:after="1200"/>
        <w:jc w:val="center"/>
        <w:rPr>
          <w:rFonts w:ascii="Arial" w:hAnsi="Arial" w:cs="Arial"/>
          <w:b/>
          <w:sz w:val="22"/>
          <w:szCs w:val="22"/>
        </w:rPr>
      </w:pPr>
      <w:r>
        <w:rPr>
          <w:rFonts w:ascii="Arial" w:hAnsi="Arial"/>
          <w:b/>
          <w:sz w:val="22"/>
        </w:rPr>
        <w:t>Contexte</w:t>
      </w:r>
    </w:p>
    <w:p w14:paraId="713D819F" w14:textId="77777777" w:rsidR="004A2875" w:rsidRPr="009B4638" w:rsidRDefault="00655736" w:rsidP="00BB57EE">
      <w:pPr>
        <w:pStyle w:val="ListParagraph"/>
        <w:keepLines/>
        <w:numPr>
          <w:ilvl w:val="0"/>
          <w:numId w:val="5"/>
        </w:numPr>
        <w:spacing w:after="240"/>
        <w:ind w:left="567" w:hanging="567"/>
        <w:contextualSpacing w:val="0"/>
        <w:rPr>
          <w:rFonts w:ascii="Arial" w:hAnsi="Arial" w:cs="Arial"/>
          <w:b/>
          <w:snapToGrid w:val="0"/>
          <w:sz w:val="22"/>
          <w:szCs w:val="22"/>
        </w:rPr>
      </w:pPr>
      <w:r>
        <w:br w:type="page"/>
      </w:r>
    </w:p>
    <w:p w14:paraId="62651E15" w14:textId="34C9B5D3" w:rsidR="001543CA" w:rsidRPr="001543CA" w:rsidRDefault="001543CA" w:rsidP="00BB57EE">
      <w:pPr>
        <w:pStyle w:val="COMPara"/>
        <w:numPr>
          <w:ilvl w:val="0"/>
          <w:numId w:val="6"/>
        </w:numPr>
        <w:ind w:left="360"/>
        <w:jc w:val="both"/>
        <w:rPr>
          <w:b/>
          <w:bCs/>
        </w:rPr>
      </w:pPr>
      <w:r>
        <w:rPr>
          <w:b/>
        </w:rPr>
        <w:lastRenderedPageBreak/>
        <w:t>Introduction</w:t>
      </w:r>
    </w:p>
    <w:p w14:paraId="3816F771" w14:textId="49541B5D" w:rsidR="007123A6" w:rsidRPr="007123A6" w:rsidRDefault="000E06A3" w:rsidP="00720463">
      <w:pPr>
        <w:pStyle w:val="COMPara"/>
        <w:ind w:left="360"/>
        <w:jc w:val="both"/>
      </w:pPr>
      <w:r>
        <w:t xml:space="preserve">La population urbaine </w:t>
      </w:r>
      <w:r w:rsidR="00200EDD">
        <w:t xml:space="preserve">dans le monde </w:t>
      </w:r>
      <w:r>
        <w:t>augmente à un rythme exponentiel, faisant de l</w:t>
      </w:r>
      <w:r w:rsidR="00A46460">
        <w:t>’</w:t>
      </w:r>
      <w:r>
        <w:t>urbanisation l</w:t>
      </w:r>
      <w:r w:rsidR="00A46460">
        <w:t>’</w:t>
      </w:r>
      <w:r>
        <w:t>une des tendances mondiales les plus transformatrices. Ce phénomène façonne rapidement la manière dont les êtres humains vivent et interagissent, plaçant les urbanistes face à de nombreux défis humains, environnementaux et spatiaux, ainsi qu</w:t>
      </w:r>
      <w:r w:rsidR="00A46460">
        <w:t>’</w:t>
      </w:r>
      <w:r>
        <w:t>à des opportunités. C</w:t>
      </w:r>
      <w:r w:rsidR="00A46460">
        <w:t>’</w:t>
      </w:r>
      <w:r>
        <w:t xml:space="preserve">est le cas non seulement dans les villes, mais aussi dans les zones environnantes telles que les zones semi-rurales ou périurbaines, les agglomérations urbaines </w:t>
      </w:r>
      <w:r w:rsidR="00200EDD">
        <w:t xml:space="preserve">de plus petite taille et </w:t>
      </w:r>
      <w:r>
        <w:t xml:space="preserve">en évolution. Dans nombre de ces environnements, des communautés diverses convergent avec des cultures et des origines différentes, </w:t>
      </w:r>
      <w:r w:rsidR="00E60876">
        <w:t xml:space="preserve">mettant en œuvre </w:t>
      </w:r>
      <w:r>
        <w:t>une gamme variée d</w:t>
      </w:r>
      <w:r w:rsidR="00A46460">
        <w:t>’</w:t>
      </w:r>
      <w:r>
        <w:t xml:space="preserve">expressions et de pratiques culturelles qui coexistent. Par conséquent, le patrimoine urbain doit être considéré non seulement en termes de formes bâties ou matérielles, mais aussi à travers les usages et les pratiques de vie dans les villes et la manière dont </w:t>
      </w:r>
      <w:r w:rsidR="00E60876">
        <w:t>ces derniers</w:t>
      </w:r>
      <w:r>
        <w:t xml:space="preserve"> se situent dans les espaces urbains.</w:t>
      </w:r>
    </w:p>
    <w:p w14:paraId="1180F856" w14:textId="3AAA9853" w:rsidR="004A754A" w:rsidRPr="005561B8" w:rsidRDefault="004A754A" w:rsidP="00720463">
      <w:pPr>
        <w:pStyle w:val="COMPara"/>
        <w:ind w:left="360"/>
        <w:jc w:val="both"/>
        <w:rPr>
          <w:snapToGrid/>
        </w:rPr>
      </w:pPr>
      <w:r>
        <w:rPr>
          <w:snapToGrid/>
        </w:rPr>
        <w:t>Parallèlement, l</w:t>
      </w:r>
      <w:r w:rsidR="00A46460">
        <w:rPr>
          <w:snapToGrid/>
        </w:rPr>
        <w:t>’</w:t>
      </w:r>
      <w:r>
        <w:rPr>
          <w:snapToGrid/>
        </w:rPr>
        <w:t>absence de stratégies spécifiques visant à reconnaître et à sauvegarder le patrimoine culturel immatériel dans les contextes urbains constitue un défi commun à tous les pays. En réponse à ce besoin, les organes directeurs de la Convention de 2003 pour la sauvegarde du patrimoine culturel immatériel ont lancé une initiative thématique (</w:t>
      </w:r>
      <w:r w:rsidR="00E948A7">
        <w:rPr>
          <w:snapToGrid/>
        </w:rPr>
        <w:t>parallèlement à</w:t>
      </w:r>
      <w:r>
        <w:rPr>
          <w:snapToGrid/>
        </w:rPr>
        <w:t xml:space="preserve"> deux autres thèmes) sur le sujet de la sauvegarde du patrimoine culturel immatériel dans les contextes urbains (</w:t>
      </w:r>
      <w:r>
        <w:t>résolution</w:t>
      </w:r>
      <w:r w:rsidR="00A46460">
        <w:t> </w:t>
      </w:r>
      <w:hyperlink r:id="rId8" w:history="1">
        <w:r>
          <w:rPr>
            <w:rStyle w:val="Hyperlink"/>
          </w:rPr>
          <w:t>9.</w:t>
        </w:r>
        <w:r w:rsidR="00A46460">
          <w:rPr>
            <w:rStyle w:val="Hyperlink"/>
          </w:rPr>
          <w:t xml:space="preserve"> </w:t>
        </w:r>
        <w:r>
          <w:rPr>
            <w:rStyle w:val="Hyperlink"/>
          </w:rPr>
          <w:t>GA 6</w:t>
        </w:r>
      </w:hyperlink>
      <w:r>
        <w:t>, ainsi que les décisions</w:t>
      </w:r>
      <w:r w:rsidR="00A46460">
        <w:t> </w:t>
      </w:r>
      <w:hyperlink r:id="rId9" w:history="1">
        <w:r>
          <w:rPr>
            <w:rStyle w:val="Hyperlink"/>
          </w:rPr>
          <w:t xml:space="preserve">16.COM </w:t>
        </w:r>
        <w:proofErr w:type="gramStart"/>
        <w:r>
          <w:rPr>
            <w:rStyle w:val="Hyperlink"/>
          </w:rPr>
          <w:t>5.b</w:t>
        </w:r>
        <w:proofErr w:type="gramEnd"/>
      </w:hyperlink>
      <w:r>
        <w:t xml:space="preserve">, </w:t>
      </w:r>
      <w:hyperlink r:id="rId10" w:history="1">
        <w:r>
          <w:rPr>
            <w:rStyle w:val="Hyperlink"/>
          </w:rPr>
          <w:t>17.COM 13</w:t>
        </w:r>
      </w:hyperlink>
      <w:r>
        <w:t xml:space="preserve"> et </w:t>
      </w:r>
      <w:hyperlink r:id="rId11" w:history="1">
        <w:r>
          <w:rPr>
            <w:rStyle w:val="Hyperlink"/>
          </w:rPr>
          <w:t>18.COM 12</w:t>
        </w:r>
      </w:hyperlink>
      <w:r>
        <w:rPr>
          <w:snapToGrid/>
        </w:rPr>
        <w:t xml:space="preserve">). Plus récemment, le Comité intergouvernemental de sauvegarde du patrimoine culturel immatériel </w:t>
      </w:r>
      <w:r>
        <w:t>(décision</w:t>
      </w:r>
      <w:r w:rsidR="00A46460">
        <w:t> </w:t>
      </w:r>
      <w:hyperlink r:id="rId12" w:history="1">
        <w:r>
          <w:rPr>
            <w:rStyle w:val="Hyperlink"/>
          </w:rPr>
          <w:t>19.COM 11</w:t>
        </w:r>
      </w:hyperlink>
      <w:r>
        <w:t>) a invité le Secrétariat de la Convention de 2003 à organiser une réunion d</w:t>
      </w:r>
      <w:r w:rsidR="00A46460">
        <w:t>’</w:t>
      </w:r>
      <w:r>
        <w:t>experts en vue d</w:t>
      </w:r>
      <w:r w:rsidR="00A46460">
        <w:t>’</w:t>
      </w:r>
      <w:r>
        <w:t>élaborer une note d</w:t>
      </w:r>
      <w:r w:rsidR="00A46460">
        <w:t>’</w:t>
      </w:r>
      <w:r>
        <w:t>orientation destinée à soutenir les efforts des États parties et des autres parties prenantes dans ce domaine.</w:t>
      </w:r>
    </w:p>
    <w:p w14:paraId="2C28CD5B" w14:textId="473AB073" w:rsidR="00772BAF" w:rsidRPr="00E4406F" w:rsidRDefault="00772BAF" w:rsidP="00720463">
      <w:pPr>
        <w:pStyle w:val="COMPara"/>
        <w:ind w:left="360"/>
        <w:jc w:val="both"/>
      </w:pPr>
      <w:r>
        <w:t>Ces initiatives thématiques s</w:t>
      </w:r>
      <w:r w:rsidR="00A46460">
        <w:t>’</w:t>
      </w:r>
      <w:r>
        <w:t>inscrivent dans le cadre des efforts déployés à l</w:t>
      </w:r>
      <w:r w:rsidR="00A46460">
        <w:t>’</w:t>
      </w:r>
      <w:r>
        <w:t>échelle mondiale pour défendre le rôle de la culture dans la promotion de la paix, de l</w:t>
      </w:r>
      <w:r w:rsidR="00A46460">
        <w:t>’</w:t>
      </w:r>
      <w:r>
        <w:t>innovation, du développement et du bien-être, notamment lors de la Conférence mondiale de l</w:t>
      </w:r>
      <w:r w:rsidR="00A46460">
        <w:t>’</w:t>
      </w:r>
      <w:r>
        <w:t>UNESCO sur les politiques culturelles et le développement durable (</w:t>
      </w:r>
      <w:hyperlink r:id="rId13" w:history="1">
        <w:r>
          <w:rPr>
            <w:rStyle w:val="Hyperlink"/>
          </w:rPr>
          <w:t>MONDIACULT 2022</w:t>
        </w:r>
      </w:hyperlink>
      <w:r>
        <w:t xml:space="preserve">), ainsi qu’à l’occasion des sommets du Groupe des Vingt </w:t>
      </w:r>
      <w:hyperlink r:id="rId14" w:history="1">
        <w:r>
          <w:rPr>
            <w:rStyle w:val="Hyperlink"/>
          </w:rPr>
          <w:t>(G20)</w:t>
        </w:r>
      </w:hyperlink>
      <w:r w:rsidR="00A46460">
        <w:t xml:space="preserve"> </w:t>
      </w:r>
      <w:r>
        <w:t xml:space="preserve">et du Groupe des Sept </w:t>
      </w:r>
      <w:hyperlink r:id="rId15" w:history="1">
        <w:r>
          <w:rPr>
            <w:rStyle w:val="Hyperlink"/>
          </w:rPr>
          <w:t>(G7)</w:t>
        </w:r>
      </w:hyperlink>
      <w:r>
        <w:t>. Récemment, l</w:t>
      </w:r>
      <w:r w:rsidR="00A46460">
        <w:t>’</w:t>
      </w:r>
      <w:r>
        <w:t>Assemblée générale des Nations unies a adopté le «</w:t>
      </w:r>
      <w:r w:rsidR="00A46460">
        <w:t> </w:t>
      </w:r>
      <w:hyperlink r:id="rId16" w:history="1">
        <w:r>
          <w:rPr>
            <w:rStyle w:val="Hyperlink"/>
          </w:rPr>
          <w:t>Pacte pour l</w:t>
        </w:r>
        <w:r w:rsidR="00A46460">
          <w:rPr>
            <w:rStyle w:val="Hyperlink"/>
          </w:rPr>
          <w:t>’</w:t>
        </w:r>
        <w:r>
          <w:rPr>
            <w:rStyle w:val="Hyperlink"/>
          </w:rPr>
          <w:t>avenir</w:t>
        </w:r>
      </w:hyperlink>
      <w:r w:rsidR="00A46460">
        <w:t> </w:t>
      </w:r>
      <w:r>
        <w:t>», qui invite les États à veiller, entre autres, à ce que la culture puisse contribuer à un développement plus efficace, plus inclusif, plus équitable et plus durable, ainsi qu’à intégrer la culture dans leurs politiques économiques, sociales et environnementales. S</w:t>
      </w:r>
      <w:r w:rsidR="00A46460">
        <w:t>’</w:t>
      </w:r>
      <w:r>
        <w:t>appuyant sur cette dynamique, les initiatives thématiques de la Convention de 2003 visent à fournir des orientations aux parties prenantes de la Convention sur l</w:t>
      </w:r>
      <w:r w:rsidR="00A46460">
        <w:t>’</w:t>
      </w:r>
      <w:r>
        <w:t>intégration du patrimoine vivant dans les politiques sociales, environnementales et économiques en vue d</w:t>
      </w:r>
      <w:r w:rsidR="00A46460">
        <w:t>’</w:t>
      </w:r>
      <w:r>
        <w:t>un avenir plus inclusif et durable.</w:t>
      </w:r>
    </w:p>
    <w:p w14:paraId="6F315413" w14:textId="3DA28451" w:rsidR="005561B8" w:rsidRPr="00D77624" w:rsidRDefault="00772BAF" w:rsidP="00720463">
      <w:pPr>
        <w:pStyle w:val="COMPara"/>
        <w:ind w:left="360"/>
        <w:jc w:val="both"/>
        <w:rPr>
          <w:snapToGrid/>
        </w:rPr>
      </w:pPr>
      <w:r>
        <w:t xml:space="preserve">Le présent document vise à </w:t>
      </w:r>
      <w:r w:rsidR="00970EBA">
        <w:t xml:space="preserve">en </w:t>
      </w:r>
      <w:r>
        <w:t>présenter succinctement les principaux aspects afin de soutenir la consultation d</w:t>
      </w:r>
      <w:r w:rsidR="00A46460">
        <w:t>’</w:t>
      </w:r>
      <w:r>
        <w:t xml:space="preserve">experts sur le thème de la sauvegarde du patrimoine culturel immatériel dans les contextes urbains. Dans le cadre de </w:t>
      </w:r>
      <w:r w:rsidR="00970EBA">
        <w:t>s</w:t>
      </w:r>
      <w:r>
        <w:t xml:space="preserve">a préparation, une enquête en ligne a également été réalisée (voir également le document </w:t>
      </w:r>
      <w:hyperlink r:id="rId17" w:history="1">
        <w:r>
          <w:rPr>
            <w:rStyle w:val="Hyperlink"/>
          </w:rPr>
          <w:t>LHE/25/EXP THEMA-URBAN/INF.3</w:t>
        </w:r>
      </w:hyperlink>
      <w:r>
        <w:t xml:space="preserve"> pour les résultats de l</w:t>
      </w:r>
      <w:r w:rsidR="00A46460">
        <w:t>’</w:t>
      </w:r>
      <w:r>
        <w:t>enquête).</w:t>
      </w:r>
    </w:p>
    <w:p w14:paraId="086E7B68" w14:textId="18D3E3F7" w:rsidR="004A754A" w:rsidRPr="004A754A" w:rsidRDefault="00B23CDE" w:rsidP="00BB57EE">
      <w:pPr>
        <w:pStyle w:val="COMPara"/>
        <w:numPr>
          <w:ilvl w:val="0"/>
          <w:numId w:val="6"/>
        </w:numPr>
        <w:ind w:left="360"/>
        <w:jc w:val="both"/>
        <w:rPr>
          <w:b/>
          <w:bCs/>
        </w:rPr>
      </w:pPr>
      <w:r>
        <w:rPr>
          <w:b/>
        </w:rPr>
        <w:t>Le patrimoine culturel immatériel au service du développement durable en milieu urbain</w:t>
      </w:r>
    </w:p>
    <w:p w14:paraId="4F0BC23A" w14:textId="50257203" w:rsidR="0003578A" w:rsidRDefault="0003578A" w:rsidP="00720463">
      <w:pPr>
        <w:pStyle w:val="COMPara"/>
        <w:ind w:left="360"/>
        <w:jc w:val="both"/>
        <w:rPr>
          <w:snapToGrid/>
        </w:rPr>
      </w:pPr>
      <w:r>
        <w:rPr>
          <w:snapToGrid/>
        </w:rPr>
        <w:t xml:space="preserve">Le </w:t>
      </w:r>
      <w:r>
        <w:rPr>
          <w:b/>
          <w:snapToGrid/>
        </w:rPr>
        <w:t>développement urbain durable</w:t>
      </w:r>
      <w:r>
        <w:rPr>
          <w:snapToGrid/>
        </w:rPr>
        <w:t xml:space="preserve"> peut être défini comme «</w:t>
      </w:r>
      <w:r w:rsidR="00A46460">
        <w:rPr>
          <w:snapToGrid/>
        </w:rPr>
        <w:t> </w:t>
      </w:r>
      <w:r>
        <w:rPr>
          <w:snapToGrid/>
        </w:rPr>
        <w:t>la manifestation spatiale des processus de développement urbain qui crée un environnement bâti avec des normes, des institutions et des systèmes de gouvernance permettant aux individus, aux ménages et aux communautés de maximiser leur potentiel et d</w:t>
      </w:r>
      <w:r w:rsidR="00A46460">
        <w:rPr>
          <w:snapToGrid/>
        </w:rPr>
        <w:t>’</w:t>
      </w:r>
      <w:r>
        <w:rPr>
          <w:snapToGrid/>
        </w:rPr>
        <w:t>optimiser une vaste gamme de services</w:t>
      </w:r>
      <w:r w:rsidR="00A46460">
        <w:rPr>
          <w:snapToGrid/>
        </w:rPr>
        <w:t> </w:t>
      </w:r>
      <w:r>
        <w:rPr>
          <w:snapToGrid/>
        </w:rPr>
        <w:t>» (</w:t>
      </w:r>
      <w:hyperlink r:id="rId18" w:history="1">
        <w:r>
          <w:rPr>
            <w:rStyle w:val="Hyperlink"/>
            <w:snapToGrid/>
          </w:rPr>
          <w:t>ONU Habitat</w:t>
        </w:r>
      </w:hyperlink>
      <w:r>
        <w:rPr>
          <w:snapToGrid/>
        </w:rPr>
        <w:t>). En d</w:t>
      </w:r>
      <w:r w:rsidR="00A46460">
        <w:rPr>
          <w:snapToGrid/>
        </w:rPr>
        <w:t>’</w:t>
      </w:r>
      <w:r>
        <w:rPr>
          <w:snapToGrid/>
        </w:rPr>
        <w:t>autres termes, les villes durables sont planifiées, construites et gérées de manière à préserver la qualité de l</w:t>
      </w:r>
      <w:r w:rsidR="00A46460">
        <w:rPr>
          <w:snapToGrid/>
        </w:rPr>
        <w:t>’</w:t>
      </w:r>
      <w:r>
        <w:rPr>
          <w:snapToGrid/>
        </w:rPr>
        <w:t xml:space="preserve">environnement, à soutenir le développement socio-économique et à sauvegarder la qualité de vie, les besoins et les moyens de subsistance de leurs populations actuelles et futures. </w:t>
      </w:r>
    </w:p>
    <w:p w14:paraId="2548F284" w14:textId="274C1210" w:rsidR="00D70BB7" w:rsidRPr="00D43AC8" w:rsidRDefault="0003578A" w:rsidP="00720463">
      <w:pPr>
        <w:pStyle w:val="COMPara"/>
        <w:ind w:left="360"/>
        <w:jc w:val="both"/>
        <w:rPr>
          <w:snapToGrid/>
        </w:rPr>
      </w:pPr>
      <w:r>
        <w:rPr>
          <w:snapToGrid/>
        </w:rPr>
        <w:t xml:space="preserve">En termes de processus, </w:t>
      </w:r>
      <w:r>
        <w:rPr>
          <w:b/>
          <w:snapToGrid/>
        </w:rPr>
        <w:t>la planification urbaine</w:t>
      </w:r>
      <w:r>
        <w:rPr>
          <w:snapToGrid/>
        </w:rPr>
        <w:t xml:space="preserve"> comprend la conception et la réglementation de l</w:t>
      </w:r>
      <w:r w:rsidR="00A46460">
        <w:rPr>
          <w:snapToGrid/>
        </w:rPr>
        <w:t>’</w:t>
      </w:r>
      <w:r>
        <w:rPr>
          <w:snapToGrid/>
        </w:rPr>
        <w:t>utilisation des espaces et de leurs formes physiques (construites et naturelles), englobant les fonctions économiques proposées, les stratégies de conservation des ressources et de l</w:t>
      </w:r>
      <w:r w:rsidR="00A46460">
        <w:rPr>
          <w:snapToGrid/>
        </w:rPr>
        <w:t>’</w:t>
      </w:r>
      <w:r>
        <w:rPr>
          <w:snapToGrid/>
        </w:rPr>
        <w:t>environnement et le zonage (</w:t>
      </w:r>
      <w:r w:rsidR="00C5743C">
        <w:rPr>
          <w:snapToGrid/>
        </w:rPr>
        <w:t xml:space="preserve">zones </w:t>
      </w:r>
      <w:r>
        <w:rPr>
          <w:snapToGrid/>
        </w:rPr>
        <w:t xml:space="preserve">résidentielles, industrielles, commerciales, culturelles, de </w:t>
      </w:r>
      <w:proofErr w:type="gramStart"/>
      <w:r>
        <w:rPr>
          <w:snapToGrid/>
        </w:rPr>
        <w:lastRenderedPageBreak/>
        <w:t>loisirs</w:t>
      </w:r>
      <w:proofErr w:type="gramEnd"/>
      <w:r>
        <w:rPr>
          <w:snapToGrid/>
        </w:rPr>
        <w:t xml:space="preserve">). </w:t>
      </w:r>
      <w:r w:rsidR="006E71B3">
        <w:rPr>
          <w:snapToGrid/>
        </w:rPr>
        <w:t>L</w:t>
      </w:r>
      <w:r>
        <w:rPr>
          <w:snapToGrid/>
        </w:rPr>
        <w:t>a plupart des planifications urbaines se concentrent sur les structures fonctionnelles, socio-économiques et environnementales, sans s’intéresser à des aspects plus poussés de la manière dont l</w:t>
      </w:r>
      <w:r w:rsidR="00A46460">
        <w:rPr>
          <w:snapToGrid/>
        </w:rPr>
        <w:t>’</w:t>
      </w:r>
      <w:r>
        <w:rPr>
          <w:snapToGrid/>
        </w:rPr>
        <w:t>organisation et la gestion spatiales peuvent avoir un impact sur le patrimoine culturel immatériel des communautés, et sur les actions nécessaires pour garantir que les villes facilitent la transmission continue du patrimoine culturel immatériel en tant qu</w:t>
      </w:r>
      <w:r w:rsidR="00A46460">
        <w:rPr>
          <w:snapToGrid/>
        </w:rPr>
        <w:t>’</w:t>
      </w:r>
      <w:r>
        <w:rPr>
          <w:snapToGrid/>
        </w:rPr>
        <w:t>élément essentiel du bien-être social.</w:t>
      </w:r>
    </w:p>
    <w:p w14:paraId="20296C66" w14:textId="149D3892" w:rsidR="00287C51" w:rsidRDefault="00287C51" w:rsidP="00BB57EE">
      <w:pPr>
        <w:pStyle w:val="COMPara"/>
        <w:numPr>
          <w:ilvl w:val="0"/>
          <w:numId w:val="7"/>
        </w:numPr>
        <w:jc w:val="both"/>
        <w:rPr>
          <w:snapToGrid/>
        </w:rPr>
      </w:pPr>
      <w:r>
        <w:rPr>
          <w:snapToGrid/>
        </w:rPr>
        <w:t xml:space="preserve">Les connaissances traditionnelles et les pratiques culturelles liées à la flore, à la faune et aux écosystèmes locaux, par exemple, peuvent contribuer à la durabilité de la </w:t>
      </w:r>
      <w:r>
        <w:rPr>
          <w:snapToGrid/>
          <w:u w:val="single"/>
        </w:rPr>
        <w:t>structure écologique</w:t>
      </w:r>
      <w:r>
        <w:rPr>
          <w:snapToGrid/>
        </w:rPr>
        <w:t xml:space="preserve"> des villes (qui sont liées à la connectivité des zones et des corridors naturels, à la gestion des risques, au développement rural et à la durabilité environnementale).</w:t>
      </w:r>
    </w:p>
    <w:p w14:paraId="2459A5A0" w14:textId="72AABC14" w:rsidR="00287C51" w:rsidRDefault="006754BF" w:rsidP="00BB57EE">
      <w:pPr>
        <w:pStyle w:val="COMPara"/>
        <w:numPr>
          <w:ilvl w:val="0"/>
          <w:numId w:val="7"/>
        </w:numPr>
        <w:jc w:val="both"/>
        <w:rPr>
          <w:snapToGrid/>
        </w:rPr>
      </w:pPr>
      <w:r>
        <w:rPr>
          <w:snapToGrid/>
          <w:u w:val="single"/>
        </w:rPr>
        <w:t>La structure fonctionnelle des villes est essentielle pour la transmission et la viabilité du patrimoine culturel immatériel.</w:t>
      </w:r>
      <w:r>
        <w:rPr>
          <w:snapToGrid/>
        </w:rPr>
        <w:t xml:space="preserve"> Il s</w:t>
      </w:r>
      <w:r w:rsidR="00A46460">
        <w:rPr>
          <w:snapToGrid/>
        </w:rPr>
        <w:t>’</w:t>
      </w:r>
      <w:r>
        <w:rPr>
          <w:snapToGrid/>
        </w:rPr>
        <w:t xml:space="preserve">agit par exemple des systèmes de transport et de mobilité (circulation dans les villes), des espaces publics, des services </w:t>
      </w:r>
      <w:r w:rsidR="00C5743C">
        <w:rPr>
          <w:snapToGrid/>
        </w:rPr>
        <w:t xml:space="preserve">et des équipements </w:t>
      </w:r>
      <w:r>
        <w:rPr>
          <w:snapToGrid/>
        </w:rPr>
        <w:t>publics, ainsi que d</w:t>
      </w:r>
      <w:r w:rsidR="00A46460">
        <w:rPr>
          <w:snapToGrid/>
        </w:rPr>
        <w:t>’</w:t>
      </w:r>
      <w:r>
        <w:rPr>
          <w:snapToGrid/>
        </w:rPr>
        <w:t xml:space="preserve">autres </w:t>
      </w:r>
      <w:r w:rsidR="008A1C17">
        <w:rPr>
          <w:snapToGrid/>
        </w:rPr>
        <w:t xml:space="preserve">infrastructures </w:t>
      </w:r>
      <w:r>
        <w:rPr>
          <w:snapToGrid/>
        </w:rPr>
        <w:t>urbain</w:t>
      </w:r>
      <w:r w:rsidR="008A1C17">
        <w:rPr>
          <w:snapToGrid/>
        </w:rPr>
        <w:t>e</w:t>
      </w:r>
      <w:r>
        <w:rPr>
          <w:snapToGrid/>
        </w:rPr>
        <w:t>s de l</w:t>
      </w:r>
      <w:r w:rsidR="00A46460">
        <w:rPr>
          <w:snapToGrid/>
        </w:rPr>
        <w:t>’</w:t>
      </w:r>
      <w:r>
        <w:rPr>
          <w:snapToGrid/>
        </w:rPr>
        <w:t>environnement bâti (routes, voies ferrées et autres centres de transport, voies navigables, voies piétonnes et autres connecteurs spatiaux).</w:t>
      </w:r>
    </w:p>
    <w:p w14:paraId="57223A49" w14:textId="23F58C38" w:rsidR="00287C51" w:rsidRDefault="00287C51" w:rsidP="00BB57EE">
      <w:pPr>
        <w:pStyle w:val="COMPara"/>
        <w:numPr>
          <w:ilvl w:val="0"/>
          <w:numId w:val="7"/>
        </w:numPr>
        <w:jc w:val="both"/>
        <w:rPr>
          <w:snapToGrid/>
        </w:rPr>
      </w:pPr>
      <w:r>
        <w:rPr>
          <w:snapToGrid/>
        </w:rPr>
        <w:t xml:space="preserve">De même, la </w:t>
      </w:r>
      <w:r>
        <w:rPr>
          <w:snapToGrid/>
          <w:u w:val="single"/>
        </w:rPr>
        <w:t>structure socio-économique</w:t>
      </w:r>
      <w:r>
        <w:rPr>
          <w:snapToGrid/>
        </w:rPr>
        <w:t xml:space="preserve"> des villes (</w:t>
      </w:r>
      <w:r w:rsidR="008A1C17">
        <w:rPr>
          <w:snapToGrid/>
        </w:rPr>
        <w:t>en lien avec</w:t>
      </w:r>
      <w:r>
        <w:rPr>
          <w:snapToGrid/>
        </w:rPr>
        <w:t xml:space="preserve"> la planification d</w:t>
      </w:r>
      <w:r w:rsidR="00A46460">
        <w:rPr>
          <w:snapToGrid/>
        </w:rPr>
        <w:t>’</w:t>
      </w:r>
      <w:r>
        <w:rPr>
          <w:snapToGrid/>
        </w:rPr>
        <w:t>une plus grande efficacité économique en termes de productivité, d</w:t>
      </w:r>
      <w:r w:rsidR="00A46460">
        <w:rPr>
          <w:snapToGrid/>
        </w:rPr>
        <w:t>’</w:t>
      </w:r>
      <w:r>
        <w:rPr>
          <w:snapToGrid/>
        </w:rPr>
        <w:t>emploi, de logement, d</w:t>
      </w:r>
      <w:r w:rsidR="00A46460">
        <w:rPr>
          <w:snapToGrid/>
        </w:rPr>
        <w:t>’</w:t>
      </w:r>
      <w:r>
        <w:rPr>
          <w:snapToGrid/>
        </w:rPr>
        <w:t>attractivité de la ville en tant que destination d</w:t>
      </w:r>
      <w:r w:rsidR="00A46460">
        <w:rPr>
          <w:snapToGrid/>
        </w:rPr>
        <w:t>’</w:t>
      </w:r>
      <w:r>
        <w:rPr>
          <w:snapToGrid/>
        </w:rPr>
        <w:t>investissement, entre autres) peut contribuer à garantir l</w:t>
      </w:r>
      <w:r w:rsidR="00A46460">
        <w:rPr>
          <w:snapToGrid/>
        </w:rPr>
        <w:t>’</w:t>
      </w:r>
      <w:r>
        <w:rPr>
          <w:snapToGrid/>
        </w:rPr>
        <w:t>inclusion sociale ainsi qu’à réduire les inégalités</w:t>
      </w:r>
      <w:r w:rsidR="00A46460">
        <w:rPr>
          <w:snapToGrid/>
        </w:rPr>
        <w:t> </w:t>
      </w:r>
      <w:r>
        <w:rPr>
          <w:snapToGrid/>
        </w:rPr>
        <w:t>; par exemple, grâce à un accès égal</w:t>
      </w:r>
      <w:r w:rsidR="008A1C17">
        <w:rPr>
          <w:snapToGrid/>
        </w:rPr>
        <w:t>itaire</w:t>
      </w:r>
      <w:r>
        <w:rPr>
          <w:snapToGrid/>
        </w:rPr>
        <w:t xml:space="preserve"> à la santé et à l</w:t>
      </w:r>
      <w:r w:rsidR="00A46460">
        <w:rPr>
          <w:snapToGrid/>
        </w:rPr>
        <w:t>’</w:t>
      </w:r>
      <w:r>
        <w:rPr>
          <w:snapToGrid/>
        </w:rPr>
        <w:t>éducation et à un revenu équitable indépendamment de l</w:t>
      </w:r>
      <w:r w:rsidR="00A46460">
        <w:rPr>
          <w:snapToGrid/>
        </w:rPr>
        <w:t>’</w:t>
      </w:r>
      <w:r>
        <w:rPr>
          <w:snapToGrid/>
        </w:rPr>
        <w:t xml:space="preserve">âge, du </w:t>
      </w:r>
      <w:r w:rsidR="008A1C17">
        <w:rPr>
          <w:snapToGrid/>
        </w:rPr>
        <w:t>genre</w:t>
      </w:r>
      <w:r>
        <w:rPr>
          <w:snapToGrid/>
        </w:rPr>
        <w:t>, d</w:t>
      </w:r>
      <w:r w:rsidR="008A1C17">
        <w:rPr>
          <w:snapToGrid/>
        </w:rPr>
        <w:t>’une situation de</w:t>
      </w:r>
      <w:r>
        <w:rPr>
          <w:snapToGrid/>
        </w:rPr>
        <w:t xml:space="preserve"> handicap,</w:t>
      </w:r>
      <w:r w:rsidR="00621F9C">
        <w:rPr>
          <w:snapToGrid/>
        </w:rPr>
        <w:t xml:space="preserve"> de l’apparence physique,</w:t>
      </w:r>
      <w:r>
        <w:rPr>
          <w:snapToGrid/>
        </w:rPr>
        <w:t xml:space="preserve"> de l</w:t>
      </w:r>
      <w:r w:rsidR="00A46460">
        <w:rPr>
          <w:snapToGrid/>
        </w:rPr>
        <w:t>’</w:t>
      </w:r>
      <w:r>
        <w:rPr>
          <w:snapToGrid/>
        </w:rPr>
        <w:t>appartenance ethnique, de l</w:t>
      </w:r>
      <w:r w:rsidR="00A46460">
        <w:rPr>
          <w:snapToGrid/>
        </w:rPr>
        <w:t>’</w:t>
      </w:r>
      <w:r>
        <w:rPr>
          <w:snapToGrid/>
        </w:rPr>
        <w:t>origine, de la religion ou de la situation économique ou autre, qui sont des facteurs clés du bien-être et de la qualité de la vie dans les villes.</w:t>
      </w:r>
    </w:p>
    <w:p w14:paraId="27A5F6F7" w14:textId="7CD6D6E8" w:rsidR="00CB2896" w:rsidRDefault="006754BF" w:rsidP="00BB57EE">
      <w:pPr>
        <w:pStyle w:val="COMPara"/>
        <w:numPr>
          <w:ilvl w:val="0"/>
          <w:numId w:val="7"/>
        </w:numPr>
        <w:jc w:val="both"/>
        <w:rPr>
          <w:snapToGrid/>
        </w:rPr>
      </w:pPr>
      <w:r>
        <w:rPr>
          <w:snapToGrid/>
          <w:u w:val="single"/>
        </w:rPr>
        <w:t>La structure du patrimoine historique et bâti</w:t>
      </w:r>
      <w:r>
        <w:rPr>
          <w:snapToGrid/>
        </w:rPr>
        <w:t xml:space="preserve"> </w:t>
      </w:r>
      <w:proofErr w:type="gramStart"/>
      <w:r>
        <w:rPr>
          <w:snapToGrid/>
        </w:rPr>
        <w:t>peut être</w:t>
      </w:r>
      <w:proofErr w:type="gramEnd"/>
      <w:r>
        <w:rPr>
          <w:snapToGrid/>
        </w:rPr>
        <w:t xml:space="preserve"> traitée comme un élément impératif dans la structuration d</w:t>
      </w:r>
      <w:r w:rsidR="00A46460">
        <w:rPr>
          <w:snapToGrid/>
        </w:rPr>
        <w:t>’</w:t>
      </w:r>
      <w:r>
        <w:rPr>
          <w:snapToGrid/>
        </w:rPr>
        <w:t>un plan d</w:t>
      </w:r>
      <w:r w:rsidR="00A46460">
        <w:rPr>
          <w:snapToGrid/>
        </w:rPr>
        <w:t>’</w:t>
      </w:r>
      <w:r>
        <w:rPr>
          <w:snapToGrid/>
        </w:rPr>
        <w:t>urbanisme, notamment en ce qui concerne les monuments historiques classés ou les quartiers qui apportent une valeur sociale et économique significative aux villes.</w:t>
      </w:r>
    </w:p>
    <w:p w14:paraId="757E44E7" w14:textId="38E35CED" w:rsidR="00650359" w:rsidRPr="00913942" w:rsidRDefault="00650359" w:rsidP="00720463">
      <w:pPr>
        <w:pStyle w:val="COMPara"/>
        <w:ind w:left="360"/>
        <w:jc w:val="both"/>
        <w:rPr>
          <w:snapToGrid/>
        </w:rPr>
      </w:pPr>
      <w:r>
        <w:rPr>
          <w:snapToGrid/>
        </w:rPr>
        <w:t>L’aménagement urbain concerne toutes les dimensions et caractéristiques des villes. Il façonne, à des degrés divers, la manière dont les gens vivent et utilisent l</w:t>
      </w:r>
      <w:r w:rsidR="00A46460">
        <w:rPr>
          <w:snapToGrid/>
        </w:rPr>
        <w:t>’</w:t>
      </w:r>
      <w:r>
        <w:rPr>
          <w:snapToGrid/>
        </w:rPr>
        <w:t>espace qui les entoure. En tant que tel, l</w:t>
      </w:r>
      <w:r w:rsidR="00A46460">
        <w:rPr>
          <w:snapToGrid/>
        </w:rPr>
        <w:t>’</w:t>
      </w:r>
      <w:r>
        <w:rPr>
          <w:snapToGrid/>
        </w:rPr>
        <w:t>urbanisme peut avoir un impact direct sur le développement durable, si l</w:t>
      </w:r>
      <w:r w:rsidR="00A46460">
        <w:rPr>
          <w:snapToGrid/>
        </w:rPr>
        <w:t>’</w:t>
      </w:r>
      <w:r>
        <w:rPr>
          <w:snapToGrid/>
        </w:rPr>
        <w:t>utilisation de l</w:t>
      </w:r>
      <w:r w:rsidR="00A46460">
        <w:rPr>
          <w:snapToGrid/>
        </w:rPr>
        <w:t>’</w:t>
      </w:r>
      <w:r>
        <w:rPr>
          <w:snapToGrid/>
        </w:rPr>
        <w:t xml:space="preserve">espace et des ressources est proposée de manière à produire des effets socio-économiques plus équitables et à assurer une utilisation durable des ressources. </w:t>
      </w:r>
    </w:p>
    <w:p w14:paraId="08264F6D" w14:textId="546CE8E6" w:rsidR="00650359" w:rsidRDefault="00650359" w:rsidP="00BB57EE">
      <w:pPr>
        <w:pStyle w:val="COMPara"/>
        <w:numPr>
          <w:ilvl w:val="0"/>
          <w:numId w:val="7"/>
        </w:numPr>
        <w:jc w:val="both"/>
        <w:rPr>
          <w:snapToGrid/>
        </w:rPr>
      </w:pPr>
      <w:r>
        <w:rPr>
          <w:snapToGrid/>
        </w:rPr>
        <w:t>Il est important de comprendre que si le patrimoine culturel immatériel est fragile face à des dispositions d</w:t>
      </w:r>
      <w:r w:rsidR="00A46460">
        <w:rPr>
          <w:snapToGrid/>
        </w:rPr>
        <w:t>’</w:t>
      </w:r>
      <w:r>
        <w:rPr>
          <w:snapToGrid/>
        </w:rPr>
        <w:t>urbanisme inadéquates ou inappropriées, il a le potentiel de contribuer positivement à la fonction de la ville.</w:t>
      </w:r>
    </w:p>
    <w:p w14:paraId="40C1C5AA" w14:textId="4D0F10C4" w:rsidR="00650359" w:rsidRDefault="00650359" w:rsidP="00BB57EE">
      <w:pPr>
        <w:pStyle w:val="COMPara"/>
        <w:numPr>
          <w:ilvl w:val="0"/>
          <w:numId w:val="7"/>
        </w:numPr>
        <w:jc w:val="both"/>
        <w:rPr>
          <w:snapToGrid/>
        </w:rPr>
      </w:pPr>
      <w:r>
        <w:rPr>
          <w:snapToGrid/>
        </w:rPr>
        <w:t>L</w:t>
      </w:r>
      <w:r w:rsidR="00A46460">
        <w:rPr>
          <w:snapToGrid/>
        </w:rPr>
        <w:t>’</w:t>
      </w:r>
      <w:r>
        <w:rPr>
          <w:snapToGrid/>
        </w:rPr>
        <w:t>urbanisme peut faciliter la sauvegarde du patrimoine vivant en tenant compte des besoins des communautés et des praticiens en termes d</w:t>
      </w:r>
      <w:r w:rsidR="00A46460">
        <w:rPr>
          <w:snapToGrid/>
        </w:rPr>
        <w:t>’</w:t>
      </w:r>
      <w:r>
        <w:rPr>
          <w:snapToGrid/>
        </w:rPr>
        <w:t>organisation spatiale.</w:t>
      </w:r>
    </w:p>
    <w:p w14:paraId="64C8E605" w14:textId="4EB52EB3" w:rsidR="00650359" w:rsidRPr="00DB0DA1" w:rsidRDefault="00650359" w:rsidP="00BB57EE">
      <w:pPr>
        <w:pStyle w:val="COMPara"/>
        <w:numPr>
          <w:ilvl w:val="0"/>
          <w:numId w:val="7"/>
        </w:numPr>
        <w:jc w:val="both"/>
        <w:rPr>
          <w:snapToGrid/>
        </w:rPr>
      </w:pPr>
      <w:r>
        <w:rPr>
          <w:snapToGrid/>
        </w:rPr>
        <w:t>Le patrimoine culturel immatériel pouvant contribuer à renforcer la cohésion sociale et le bien-être, ainsi que les moyens de subsistance, il est essentiel de solliciter l</w:t>
      </w:r>
      <w:r w:rsidR="00A46460">
        <w:rPr>
          <w:snapToGrid/>
        </w:rPr>
        <w:t>’</w:t>
      </w:r>
      <w:r>
        <w:rPr>
          <w:snapToGrid/>
        </w:rPr>
        <w:t>avis et la participation des communautés dans les processus de planification urbaine.</w:t>
      </w:r>
    </w:p>
    <w:p w14:paraId="5E6F3163" w14:textId="0846C6AD" w:rsidR="007C3F01" w:rsidRPr="003D64E3" w:rsidRDefault="007C3F01" w:rsidP="00BB57EE">
      <w:pPr>
        <w:pStyle w:val="COMPara"/>
        <w:numPr>
          <w:ilvl w:val="0"/>
          <w:numId w:val="6"/>
        </w:numPr>
        <w:ind w:left="360"/>
        <w:jc w:val="both"/>
        <w:rPr>
          <w:b/>
          <w:bCs/>
          <w:snapToGrid/>
        </w:rPr>
      </w:pPr>
      <w:r>
        <w:rPr>
          <w:b/>
          <w:snapToGrid/>
        </w:rPr>
        <w:t>Cadres relatifs au développement urbain durable</w:t>
      </w:r>
    </w:p>
    <w:p w14:paraId="2D02BEF0" w14:textId="1E110A3A" w:rsidR="007C3F01" w:rsidRPr="007C3F01" w:rsidRDefault="007C3F01" w:rsidP="00720463">
      <w:pPr>
        <w:pStyle w:val="COMPara"/>
        <w:numPr>
          <w:ilvl w:val="0"/>
          <w:numId w:val="0"/>
        </w:numPr>
        <w:ind w:left="720" w:hanging="360"/>
        <w:jc w:val="both"/>
        <w:rPr>
          <w:snapToGrid/>
        </w:rPr>
      </w:pPr>
      <w:r>
        <w:rPr>
          <w:snapToGrid/>
          <w:u w:val="single"/>
        </w:rPr>
        <w:t xml:space="preserve">Convention </w:t>
      </w:r>
      <w:r w:rsidR="00665773">
        <w:rPr>
          <w:snapToGrid/>
          <w:u w:val="single"/>
        </w:rPr>
        <w:t xml:space="preserve">de 2003 </w:t>
      </w:r>
      <w:r>
        <w:rPr>
          <w:snapToGrid/>
          <w:u w:val="single"/>
        </w:rPr>
        <w:t xml:space="preserve">pour la sauvegarde du patrimoine culturel immatériel </w:t>
      </w:r>
    </w:p>
    <w:p w14:paraId="52A8B2C7" w14:textId="5335BB54" w:rsidR="00E06C70" w:rsidRDefault="00E06C70" w:rsidP="00720463">
      <w:pPr>
        <w:pStyle w:val="COMPara"/>
        <w:ind w:left="360"/>
        <w:jc w:val="both"/>
        <w:rPr>
          <w:snapToGrid/>
        </w:rPr>
      </w:pPr>
      <w:r>
        <w:t xml:space="preserve">Aux fins de la </w:t>
      </w:r>
      <w:r w:rsidR="00665773">
        <w:t>C</w:t>
      </w:r>
      <w:r>
        <w:t xml:space="preserve">onvention de 2003, </w:t>
      </w:r>
      <w:r>
        <w:rPr>
          <w:b/>
        </w:rPr>
        <w:t>le patrimoine culturel immatériel</w:t>
      </w:r>
      <w:r>
        <w:t xml:space="preserve"> (ou patrimoine vivant) couvre une série de domaines, </w:t>
      </w:r>
      <w:bookmarkStart w:id="1" w:name="_Hlk177382402"/>
      <w:r>
        <w:t xml:space="preserve">notamment les expressions orales telles que la poésie et la chanson, les arts du spectacle tels que la danse et le théâtre, les pratiques sociales, y compris les rituels et les événements festifs, ainsi que </w:t>
      </w:r>
      <w:r>
        <w:rPr>
          <w:snapToGrid/>
        </w:rPr>
        <w:t>l</w:t>
      </w:r>
      <w:r w:rsidR="00A46460">
        <w:rPr>
          <w:snapToGrid/>
        </w:rPr>
        <w:t>’</w:t>
      </w:r>
      <w:r>
        <w:rPr>
          <w:snapToGrid/>
        </w:rPr>
        <w:t>artisanat</w:t>
      </w:r>
      <w:r>
        <w:t xml:space="preserve"> et les connaissances liées à la nature et à l</w:t>
      </w:r>
      <w:r w:rsidR="00A46460">
        <w:t>’</w:t>
      </w:r>
      <w:r>
        <w:t xml:space="preserve">univers, </w:t>
      </w:r>
      <w:r w:rsidR="00665773">
        <w:t>incluant</w:t>
      </w:r>
      <w:r>
        <w:t xml:space="preserve"> les pratiques agricoles et </w:t>
      </w:r>
      <w:bookmarkEnd w:id="1"/>
      <w:r w:rsidR="00665773">
        <w:t>halieutiques</w:t>
      </w:r>
      <w:r>
        <w:t xml:space="preserve">. Ces formes de connaissances et de pratiques sont généralement mises en œuvre et transmises par des communautés, des </w:t>
      </w:r>
      <w:r>
        <w:lastRenderedPageBreak/>
        <w:t>groupes ou des individus (ci-après dénommés «</w:t>
      </w:r>
      <w:r w:rsidR="00A46460">
        <w:t> </w:t>
      </w:r>
      <w:r>
        <w:t>communautés</w:t>
      </w:r>
      <w:r w:rsidR="00A46460">
        <w:t> </w:t>
      </w:r>
      <w:r>
        <w:t>»), qui les considèrent comme faisant partie de leur patrimoine vivant.</w:t>
      </w:r>
    </w:p>
    <w:p w14:paraId="78BA9DFE" w14:textId="5A952508" w:rsidR="00F855F2" w:rsidRDefault="005C1AFC" w:rsidP="00720463">
      <w:pPr>
        <w:pStyle w:val="COMPara"/>
        <w:ind w:left="360"/>
        <w:jc w:val="both"/>
      </w:pPr>
      <w:r>
        <w:t>Le chapitre</w:t>
      </w:r>
      <w:r w:rsidR="00A46460">
        <w:t> </w:t>
      </w:r>
      <w:r>
        <w:t>VI des Directives opérationnelles de la Convention de 2003 (</w:t>
      </w:r>
      <w:r>
        <w:rPr>
          <w:i/>
          <w:iCs/>
        </w:rPr>
        <w:t>Sauvegarde du patrimoine culturel immatériel et développement durable au niveau national</w:t>
      </w:r>
      <w:r>
        <w:t xml:space="preserve">) demande aux États parties de reconnaître la nature dynamique du patrimoine culturel immatériel </w:t>
      </w:r>
      <w:r>
        <w:rPr>
          <w:u w:val="single"/>
        </w:rPr>
        <w:t>dans les contextes urbains et ruraux</w:t>
      </w:r>
      <w:r>
        <w:t>, tout en s</w:t>
      </w:r>
      <w:r w:rsidR="00A46460">
        <w:t>’</w:t>
      </w:r>
      <w:r>
        <w:t>efforçant de reconnaître l</w:t>
      </w:r>
      <w:r w:rsidR="00A46460">
        <w:t>’</w:t>
      </w:r>
      <w:r>
        <w:t>importance et de renforcer le rôle du patrimoine culturel immatériel en tant que moteur et garantie du développement durable (paragraphe</w:t>
      </w:r>
      <w:r w:rsidR="00A46460">
        <w:t> </w:t>
      </w:r>
      <w:r>
        <w:t>170). Cela inclut également le rôle clé du patrimoine culturel immatériel dans d</w:t>
      </w:r>
      <w:r w:rsidR="00A46460">
        <w:t>’</w:t>
      </w:r>
      <w:r>
        <w:t>autres aspects du développement durable dans les contextes urbains, tels que la sécurité alimentaire, les systèmes de gestion de l</w:t>
      </w:r>
      <w:r w:rsidR="00A46460">
        <w:t>’</w:t>
      </w:r>
      <w:r>
        <w:t>eau, le développement économique inclusif, la durabilité environnementale, entre autres.</w:t>
      </w:r>
    </w:p>
    <w:p w14:paraId="7A6752F7" w14:textId="396BAB84" w:rsidR="001002C3" w:rsidRPr="001002C3" w:rsidRDefault="001002C3" w:rsidP="00720463">
      <w:pPr>
        <w:pStyle w:val="COMPara"/>
        <w:numPr>
          <w:ilvl w:val="0"/>
          <w:numId w:val="0"/>
        </w:numPr>
        <w:ind w:left="720" w:hanging="360"/>
        <w:jc w:val="both"/>
        <w:rPr>
          <w:u w:val="single"/>
        </w:rPr>
      </w:pPr>
      <w:r>
        <w:rPr>
          <w:u w:val="single"/>
        </w:rPr>
        <w:t>Autres cadres et programmes de l</w:t>
      </w:r>
      <w:r w:rsidR="00A46460">
        <w:rPr>
          <w:u w:val="single"/>
        </w:rPr>
        <w:t>’</w:t>
      </w:r>
      <w:r>
        <w:rPr>
          <w:u w:val="single"/>
        </w:rPr>
        <w:t>UNESCO</w:t>
      </w:r>
    </w:p>
    <w:p w14:paraId="19591A9E" w14:textId="5787AD25" w:rsidR="00325583" w:rsidRPr="001002C3" w:rsidRDefault="00650359" w:rsidP="00720463">
      <w:pPr>
        <w:pStyle w:val="COMPara"/>
        <w:ind w:left="360"/>
        <w:jc w:val="both"/>
      </w:pPr>
      <w:r>
        <w:rPr>
          <w:snapToGrid/>
        </w:rPr>
        <w:t xml:space="preserve">La recommandation </w:t>
      </w:r>
      <w:r w:rsidR="00621F9C">
        <w:rPr>
          <w:snapToGrid/>
        </w:rPr>
        <w:t xml:space="preserve">concernant </w:t>
      </w:r>
      <w:r>
        <w:rPr>
          <w:snapToGrid/>
        </w:rPr>
        <w:t xml:space="preserve">le </w:t>
      </w:r>
      <w:hyperlink r:id="rId19" w:history="1">
        <w:r>
          <w:rPr>
            <w:rStyle w:val="Hyperlink"/>
            <w:snapToGrid/>
          </w:rPr>
          <w:t>Paysage urbain historique</w:t>
        </w:r>
      </w:hyperlink>
      <w:r>
        <w:rPr>
          <w:snapToGrid/>
        </w:rPr>
        <w:t xml:space="preserve"> (UNESCO, 2011</w:t>
      </w:r>
      <w:r w:rsidR="00A46460">
        <w:rPr>
          <w:snapToGrid/>
        </w:rPr>
        <w:t> </w:t>
      </w:r>
      <w:r>
        <w:rPr>
          <w:snapToGrid/>
        </w:rPr>
        <w:t>; ci-après «</w:t>
      </w:r>
      <w:r w:rsidR="00A46460">
        <w:rPr>
          <w:snapToGrid/>
        </w:rPr>
        <w:t> </w:t>
      </w:r>
      <w:r>
        <w:rPr>
          <w:snapToGrid/>
        </w:rPr>
        <w:t xml:space="preserve">Recommandation </w:t>
      </w:r>
      <w:bookmarkStart w:id="2" w:name="_Hlk200621957"/>
      <w:r>
        <w:rPr>
          <w:snapToGrid/>
        </w:rPr>
        <w:t>sur le paysage urbain historique</w:t>
      </w:r>
      <w:bookmarkEnd w:id="2"/>
      <w:r w:rsidR="00A46460">
        <w:rPr>
          <w:snapToGrid/>
        </w:rPr>
        <w:t> </w:t>
      </w:r>
      <w:r>
        <w:rPr>
          <w:snapToGrid/>
        </w:rPr>
        <w:t>») dans le cadre de la Convention du patrimoine mondial de 1972 propose une vision dans laquelle le développement urbain et la conservation du patrimoine se complètent mutuellement. La recommandation, qui accorde une attention particulière à la protection des zones historiques, rappelle la nécessité de sauvegarder le patrimoine urbain, y compris les aspects matériels et immatériels, afin de parvenir à un équilibre entre la croissance urbaine et la qualité de vie, d</w:t>
      </w:r>
      <w:r w:rsidR="00A46460">
        <w:rPr>
          <w:snapToGrid/>
        </w:rPr>
        <w:t>’</w:t>
      </w:r>
      <w:r>
        <w:rPr>
          <w:snapToGrid/>
        </w:rPr>
        <w:t>améliorer l</w:t>
      </w:r>
      <w:r w:rsidR="00A46460">
        <w:rPr>
          <w:snapToGrid/>
        </w:rPr>
        <w:t>’</w:t>
      </w:r>
      <w:r>
        <w:rPr>
          <w:snapToGrid/>
        </w:rPr>
        <w:t xml:space="preserve">utilisation productive et durable des espaces urbains et de promouvoir le développement social et économique. En synergie évidente avec la Convention de 2003, la recommandation sur le </w:t>
      </w:r>
      <w:r w:rsidR="009B659F">
        <w:rPr>
          <w:snapToGrid/>
        </w:rPr>
        <w:t>paysage urbain historique</w:t>
      </w:r>
      <w:r>
        <w:rPr>
          <w:snapToGrid/>
        </w:rPr>
        <w:t xml:space="preserve"> souligne la nécessité de promouvoir la participation des communautés à la prise de décision, mais elle ne mentionne pas la contribution d</w:t>
      </w:r>
      <w:r w:rsidR="009B659F">
        <w:rPr>
          <w:snapToGrid/>
        </w:rPr>
        <w:t>u</w:t>
      </w:r>
      <w:r>
        <w:rPr>
          <w:snapToGrid/>
        </w:rPr>
        <w:t xml:space="preserve"> patrimoine </w:t>
      </w:r>
      <w:r w:rsidR="009B659F">
        <w:rPr>
          <w:snapToGrid/>
        </w:rPr>
        <w:t xml:space="preserve">culturel immatériel </w:t>
      </w:r>
      <w:r>
        <w:rPr>
          <w:snapToGrid/>
        </w:rPr>
        <w:t>à la planification urbaine ni la nécessité de l</w:t>
      </w:r>
      <w:r w:rsidR="00A46460">
        <w:rPr>
          <w:snapToGrid/>
        </w:rPr>
        <w:t>’</w:t>
      </w:r>
      <w:r>
        <w:rPr>
          <w:snapToGrid/>
        </w:rPr>
        <w:t>intégrer dans les processus de planification urbaine.</w:t>
      </w:r>
    </w:p>
    <w:p w14:paraId="56BF19EB" w14:textId="3B84F62F" w:rsidR="001002C3" w:rsidRDefault="00530777" w:rsidP="00720463">
      <w:pPr>
        <w:pStyle w:val="COMPara"/>
        <w:ind w:left="360"/>
        <w:jc w:val="both"/>
      </w:pPr>
      <w:r>
        <w:t xml:space="preserve">Le </w:t>
      </w:r>
      <w:hyperlink r:id="rId20" w:history="1">
        <w:r>
          <w:rPr>
            <w:rStyle w:val="Hyperlink"/>
          </w:rPr>
          <w:t>réseau des villes créatives de l</w:t>
        </w:r>
        <w:r w:rsidR="00A46460">
          <w:rPr>
            <w:rStyle w:val="Hyperlink"/>
          </w:rPr>
          <w:t>’</w:t>
        </w:r>
        <w:r>
          <w:rPr>
            <w:rStyle w:val="Hyperlink"/>
          </w:rPr>
          <w:t>UNESCO</w:t>
        </w:r>
      </w:hyperlink>
      <w:r>
        <w:t xml:space="preserve"> a été créé en 2004 afin de promouvoir la coopération avec et entre les villes qui ont identifié la créativité comme un facteur stratégique pour le développement urbain durable. Les 350</w:t>
      </w:r>
      <w:r w:rsidR="00A46460">
        <w:t> </w:t>
      </w:r>
      <w:r>
        <w:t>villes du monde entier qui composent actuellement ce réseau travaillent ensemble à la réalisation d</w:t>
      </w:r>
      <w:r w:rsidR="00A46460">
        <w:t>’</w:t>
      </w:r>
      <w:r>
        <w:t>un objectif commun, en plaçant la créativité et les industries culturelles au cœur de leurs plans de développement au niveau local et en coopérant activement au niveau international. Le réseau représente huit domaines créatifs</w:t>
      </w:r>
      <w:r w:rsidR="00A46460">
        <w:t> </w:t>
      </w:r>
      <w:r>
        <w:t>: l</w:t>
      </w:r>
      <w:r w:rsidR="00A46460">
        <w:t>’</w:t>
      </w:r>
      <w:r>
        <w:t>architecture, l</w:t>
      </w:r>
      <w:r w:rsidR="00A46460">
        <w:t>’</w:t>
      </w:r>
      <w:r>
        <w:t>artisanat et l</w:t>
      </w:r>
      <w:r w:rsidR="009B659F">
        <w:t xml:space="preserve">es </w:t>
      </w:r>
      <w:r>
        <w:t>art</w:t>
      </w:r>
      <w:r w:rsidR="009B659F">
        <w:t>s</w:t>
      </w:r>
      <w:r>
        <w:t xml:space="preserve"> populaire</w:t>
      </w:r>
      <w:r w:rsidR="009B659F">
        <w:t>s</w:t>
      </w:r>
      <w:r>
        <w:t xml:space="preserve">, le design, le </w:t>
      </w:r>
      <w:r w:rsidR="009B659F">
        <w:t>film</w:t>
      </w:r>
      <w:r>
        <w:t xml:space="preserve">, la gastronomie, la littérature, les arts </w:t>
      </w:r>
      <w:r w:rsidR="009B659F">
        <w:t xml:space="preserve">numériques </w:t>
      </w:r>
      <w:r>
        <w:t>et la musique.</w:t>
      </w:r>
      <w:r w:rsidR="006E71B3">
        <w:t xml:space="preserve"> </w:t>
      </w:r>
      <w:r w:rsidR="006E71B3" w:rsidRPr="006E71B3">
        <w:t xml:space="preserve">Il convient de noter que, dans de nombreux cas, ces villes </w:t>
      </w:r>
      <w:r w:rsidR="006E71B3">
        <w:t>o</w:t>
      </w:r>
      <w:r w:rsidR="006E71B3" w:rsidRPr="006E71B3">
        <w:t>nt un patrimoine vivant qui est au cœur de leurs industries créatives et culturelles.</w:t>
      </w:r>
    </w:p>
    <w:p w14:paraId="0F32FFE6" w14:textId="1398397E" w:rsidR="00C4185F" w:rsidRPr="00CC20FA" w:rsidRDefault="00CC20FA" w:rsidP="00720463">
      <w:pPr>
        <w:pStyle w:val="COMPara"/>
        <w:numPr>
          <w:ilvl w:val="0"/>
          <w:numId w:val="0"/>
        </w:numPr>
        <w:ind w:left="720" w:hanging="360"/>
        <w:jc w:val="both"/>
        <w:rPr>
          <w:u w:val="single"/>
        </w:rPr>
      </w:pPr>
      <w:r>
        <w:rPr>
          <w:u w:val="single"/>
        </w:rPr>
        <w:t>Autres cadres des Nations unies</w:t>
      </w:r>
    </w:p>
    <w:p w14:paraId="03705713" w14:textId="6C55B4D0" w:rsidR="00C4185F" w:rsidRPr="00650359" w:rsidRDefault="00BC65D7" w:rsidP="00720463">
      <w:pPr>
        <w:pStyle w:val="COMPara"/>
        <w:ind w:left="360"/>
        <w:jc w:val="both"/>
      </w:pPr>
      <w:r>
        <w:t>L’Objectif de développement durable (ODD) n</w:t>
      </w:r>
      <w:r>
        <w:rPr>
          <w:vertAlign w:val="superscript"/>
        </w:rPr>
        <w:t>o</w:t>
      </w:r>
      <w:r w:rsidR="00A46460">
        <w:t> </w:t>
      </w:r>
      <w:r>
        <w:t>11 d’ici 2030, sur les villes et communautés durables, rappelle l</w:t>
      </w:r>
      <w:r w:rsidR="00A46460">
        <w:t>’</w:t>
      </w:r>
      <w:r>
        <w:t>importance de la sauvegarde du patrimoine culturel pour le développement durable. À cet égard, les pays se sont engagés à «</w:t>
      </w:r>
      <w:r w:rsidR="00A46460">
        <w:t> </w:t>
      </w:r>
      <w:r>
        <w:t>rendre les villes et les zones d’implantation inclusives, sûres, résilientes et durables</w:t>
      </w:r>
      <w:r w:rsidR="00A46460">
        <w:t> </w:t>
      </w:r>
      <w:r>
        <w:t>» et, plus précisément, dans le cadre de cet objectif, la cible</w:t>
      </w:r>
      <w:r w:rsidR="00A46460">
        <w:t> </w:t>
      </w:r>
      <w:r>
        <w:t>11.4 vise à «</w:t>
      </w:r>
      <w:r w:rsidR="00A46460">
        <w:t> </w:t>
      </w:r>
      <w:r>
        <w:t>renforcer les efforts pour protéger et sauvegarder le patrimoine culturel et naturel mondial</w:t>
      </w:r>
      <w:r w:rsidR="00A46460">
        <w:t> </w:t>
      </w:r>
      <w:r>
        <w:t>». Dans ce cadre international global, le Nouvel agenda urbain (2016) vise à rendre les villes plus inclusives, sûres, résilientes et durables et appelle notamment à l</w:t>
      </w:r>
      <w:r w:rsidR="00A46460">
        <w:t>’</w:t>
      </w:r>
      <w:r>
        <w:t>inclusion de «</w:t>
      </w:r>
      <w:r w:rsidR="00A46460">
        <w:t> </w:t>
      </w:r>
      <w:r>
        <w:t>la culture en tant qu</w:t>
      </w:r>
      <w:r w:rsidR="00A46460">
        <w:t>’</w:t>
      </w:r>
      <w:r>
        <w:t>élément prioritaire des plans urbains et des politiques de développement stratégique qui sauvegardent le patrimoine culturel matériel et immatériel et le paysage</w:t>
      </w:r>
      <w:r w:rsidR="00A46460">
        <w:t> </w:t>
      </w:r>
      <w:r>
        <w:t>» et à «</w:t>
      </w:r>
      <w:r w:rsidR="00A46460">
        <w:t> </w:t>
      </w:r>
      <w:r>
        <w:t>les protéger des impacts perturbateurs potentiels du développement urbain</w:t>
      </w:r>
      <w:r w:rsidR="00A46460">
        <w:t> </w:t>
      </w:r>
      <w:r>
        <w:t>». En outre, cet agenda partage une vision des «</w:t>
      </w:r>
      <w:r w:rsidR="00A46460">
        <w:t> </w:t>
      </w:r>
      <w:r>
        <w:t>villes pour tous</w:t>
      </w:r>
      <w:r w:rsidR="00A46460">
        <w:t> </w:t>
      </w:r>
      <w:r>
        <w:t>», qui fait référence à l</w:t>
      </w:r>
      <w:r w:rsidR="00A46460">
        <w:t>’</w:t>
      </w:r>
      <w:r>
        <w:t>égalité d</w:t>
      </w:r>
      <w:r w:rsidR="00A46460">
        <w:t>’</w:t>
      </w:r>
      <w:r>
        <w:t>utilisation et de jouissance des villes et des établissements humains, faisant écho aux principes énoncés précédemment dans la Charte mondiale pour le droit à la ville, une initiative de la société civile qui met l</w:t>
      </w:r>
      <w:r w:rsidR="00A46460">
        <w:t>’</w:t>
      </w:r>
      <w:r>
        <w:t>accent sur la promotion des droits de l</w:t>
      </w:r>
      <w:r w:rsidR="00A46460">
        <w:t>’</w:t>
      </w:r>
      <w:r>
        <w:t>homme, de l</w:t>
      </w:r>
      <w:r w:rsidR="00A46460">
        <w:t>’</w:t>
      </w:r>
      <w:r>
        <w:t>équité et de la participation de toutes les parties prenantes à l</w:t>
      </w:r>
      <w:r w:rsidR="00A46460">
        <w:t>’</w:t>
      </w:r>
      <w:r>
        <w:t>aménagement des espaces urbains.</w:t>
      </w:r>
      <w:r w:rsidR="006E71B3" w:rsidRPr="006E71B3">
        <w:rPr>
          <w:snapToGrid/>
        </w:rPr>
        <w:t xml:space="preserve"> </w:t>
      </w:r>
      <w:r w:rsidR="006E71B3">
        <w:rPr>
          <w:snapToGrid/>
        </w:rPr>
        <w:t xml:space="preserve">En </w:t>
      </w:r>
      <w:r w:rsidR="00673890">
        <w:rPr>
          <w:snapToGrid/>
        </w:rPr>
        <w:t xml:space="preserve">outre, plusieurs </w:t>
      </w:r>
      <w:r w:rsidR="006E71B3">
        <w:rPr>
          <w:snapToGrid/>
        </w:rPr>
        <w:t>cadres et lignes directrices</w:t>
      </w:r>
      <w:r w:rsidR="00673890">
        <w:rPr>
          <w:snapToGrid/>
        </w:rPr>
        <w:t xml:space="preserve"> des Nations </w:t>
      </w:r>
      <w:r w:rsidR="006C467D">
        <w:rPr>
          <w:snapToGrid/>
        </w:rPr>
        <w:t>u</w:t>
      </w:r>
      <w:r w:rsidR="00673890">
        <w:rPr>
          <w:snapToGrid/>
        </w:rPr>
        <w:t>nies</w:t>
      </w:r>
      <w:r w:rsidR="00673890" w:rsidRPr="00673890">
        <w:rPr>
          <w:snapToGrid/>
        </w:rPr>
        <w:t xml:space="preserve"> font référence à l'importance de la culture et du patrimoine culturel et à leurs dimensions spatiales </w:t>
      </w:r>
      <w:r w:rsidR="006E71B3">
        <w:rPr>
          <w:snapToGrid/>
        </w:rPr>
        <w:t>- tels que « Urban Planning for City Leaders » (</w:t>
      </w:r>
      <w:r w:rsidR="006E71B3">
        <w:rPr>
          <w:i/>
          <w:iCs/>
          <w:snapToGrid/>
        </w:rPr>
        <w:t>Urbanisme pour les responsables municipaux</w:t>
      </w:r>
      <w:r w:rsidR="006E71B3">
        <w:rPr>
          <w:snapToGrid/>
        </w:rPr>
        <w:t xml:space="preserve">, UN Habitat, 2014) ; les lignes </w:t>
      </w:r>
      <w:r w:rsidR="006E71B3">
        <w:rPr>
          <w:snapToGrid/>
        </w:rPr>
        <w:lastRenderedPageBreak/>
        <w:t>directrices internationales sur la planification urbaine et territoriale (UN Habitat, 2015) et « Our City Plans » (</w:t>
      </w:r>
      <w:r w:rsidR="006E71B3">
        <w:rPr>
          <w:i/>
          <w:iCs/>
          <w:snapToGrid/>
        </w:rPr>
        <w:t>Nos plans municipaux</w:t>
      </w:r>
      <w:r w:rsidR="006E71B3">
        <w:rPr>
          <w:snapToGrid/>
        </w:rPr>
        <w:t>, UN Habitat, 2024)</w:t>
      </w:r>
      <w:r w:rsidR="00673890">
        <w:rPr>
          <w:snapToGrid/>
        </w:rPr>
        <w:t>.</w:t>
      </w:r>
    </w:p>
    <w:p w14:paraId="5B847C07" w14:textId="67E52C1A" w:rsidR="00325583" w:rsidRDefault="008441AF" w:rsidP="00BB57EE">
      <w:pPr>
        <w:pStyle w:val="COMPara"/>
        <w:numPr>
          <w:ilvl w:val="0"/>
          <w:numId w:val="6"/>
        </w:numPr>
        <w:ind w:left="360"/>
        <w:jc w:val="both"/>
        <w:rPr>
          <w:b/>
          <w:bCs/>
        </w:rPr>
      </w:pPr>
      <w:r>
        <w:rPr>
          <w:b/>
        </w:rPr>
        <w:t>Considérations relatives à l</w:t>
      </w:r>
      <w:r w:rsidR="00A46460">
        <w:rPr>
          <w:b/>
        </w:rPr>
        <w:t>’</w:t>
      </w:r>
      <w:r>
        <w:rPr>
          <w:b/>
        </w:rPr>
        <w:t>intégration du patrimoine culturel immatériel dans la planification urbaine</w:t>
      </w:r>
    </w:p>
    <w:p w14:paraId="20797EE0" w14:textId="577A09F8" w:rsidR="0084403C" w:rsidRDefault="0084403C" w:rsidP="00720463">
      <w:pPr>
        <w:pStyle w:val="COMPara"/>
        <w:ind w:left="360"/>
        <w:jc w:val="both"/>
      </w:pPr>
      <w:r>
        <w:t xml:space="preserve">Parmi les </w:t>
      </w:r>
      <w:r>
        <w:rPr>
          <w:b/>
        </w:rPr>
        <w:t>avantages</w:t>
      </w:r>
      <w:r>
        <w:t xml:space="preserve"> de l</w:t>
      </w:r>
      <w:r w:rsidR="00A46460">
        <w:t>’</w:t>
      </w:r>
      <w:r>
        <w:t>intégration du patrimoine culturel immatériel dans l’aménagement urbain, citons le renforcement du sentiment d</w:t>
      </w:r>
      <w:r w:rsidR="00A46460">
        <w:t>’</w:t>
      </w:r>
      <w:r>
        <w:t>identité et d</w:t>
      </w:r>
      <w:r w:rsidR="00A46460">
        <w:t>’</w:t>
      </w:r>
      <w:r>
        <w:t xml:space="preserve">appartenance à une communauté ou à un lieu, </w:t>
      </w:r>
      <w:r w:rsidR="006C467D">
        <w:t>des</w:t>
      </w:r>
      <w:r>
        <w:t xml:space="preserve"> moyen</w:t>
      </w:r>
      <w:r w:rsidR="006C467D">
        <w:t>s</w:t>
      </w:r>
      <w:r>
        <w:t xml:space="preserve"> de subsistance durable</w:t>
      </w:r>
      <w:r w:rsidR="006C467D">
        <w:t>s</w:t>
      </w:r>
      <w:r>
        <w:t xml:space="preserve">, la protection des économies locales et le renforcement de la communication intergénérationnelle grâce à la pratique du patrimoine culturel immatériel. Parmi les autres avantages, on peut citer </w:t>
      </w:r>
      <w:r w:rsidR="006C467D">
        <w:t>l’amélioration</w:t>
      </w:r>
      <w:r>
        <w:t xml:space="preserve"> de la tolérance intra et intercommunautaire, y compris </w:t>
      </w:r>
      <w:r w:rsidR="006C467D">
        <w:t>un plus grand</w:t>
      </w:r>
      <w:r>
        <w:t xml:space="preserve"> respect de la diversité culturelle et la compréhension mutuelle et, dans certains cas, la protection de l</w:t>
      </w:r>
      <w:r w:rsidR="00A46460">
        <w:t>’</w:t>
      </w:r>
      <w:r>
        <w:t>environnement, l</w:t>
      </w:r>
      <w:r w:rsidR="00A46460">
        <w:t>’</w:t>
      </w:r>
      <w:r>
        <w:t xml:space="preserve">adaptation au changement climatique et la préparation aux risques de catastrophes, dans la mesure où </w:t>
      </w:r>
      <w:r w:rsidR="006C467D">
        <w:t>ces dernières</w:t>
      </w:r>
      <w:r>
        <w:t xml:space="preserve"> sont lié</w:t>
      </w:r>
      <w:r w:rsidR="006C467D">
        <w:t>e</w:t>
      </w:r>
      <w:r>
        <w:t>s aux connaissances, traditions et pratiques spécifiques des communautés ayant une compréhension de l</w:t>
      </w:r>
      <w:r w:rsidR="00A46460">
        <w:t>’</w:t>
      </w:r>
      <w:r>
        <w:t>écologie ou de l</w:t>
      </w:r>
      <w:r w:rsidR="00A46460">
        <w:t>’</w:t>
      </w:r>
      <w:r>
        <w:t>environnement ou des mécanismes d</w:t>
      </w:r>
      <w:r w:rsidR="00A46460">
        <w:t>’</w:t>
      </w:r>
      <w:r>
        <w:t>adaptation.</w:t>
      </w:r>
    </w:p>
    <w:p w14:paraId="3EDC9B9B" w14:textId="48F0D35A" w:rsidR="00CE7A40" w:rsidRPr="00706DC1" w:rsidRDefault="007D3BB2" w:rsidP="00720463">
      <w:pPr>
        <w:pStyle w:val="COMPara"/>
        <w:ind w:left="360"/>
        <w:jc w:val="both"/>
      </w:pPr>
      <w:r>
        <w:t xml:space="preserve">De même, les </w:t>
      </w:r>
      <w:r>
        <w:rPr>
          <w:b/>
        </w:rPr>
        <w:t>menaces</w:t>
      </w:r>
      <w:r>
        <w:t xml:space="preserve"> qui pèsent sur le patrimoine </w:t>
      </w:r>
      <w:r w:rsidR="006C467D">
        <w:t xml:space="preserve">culturel immatériel </w:t>
      </w:r>
      <w:r>
        <w:t xml:space="preserve">des communautés </w:t>
      </w:r>
      <w:r w:rsidR="006C467D">
        <w:t xml:space="preserve">vivant </w:t>
      </w:r>
      <w:r>
        <w:t>dans des contextes urbains en évolution rapide sont nombreuses et variées. La principale est l</w:t>
      </w:r>
      <w:r w:rsidR="00A46460">
        <w:t>’</w:t>
      </w:r>
      <w:r>
        <w:t>intervention ou la modification physique des espaces publics dans lesquels les pratiques du patrimoine culturel immatériel sont traditionnellement exprimées (comme les marchés, les bazars pour le commerce local et l</w:t>
      </w:r>
      <w:r w:rsidR="00A46460">
        <w:t>’</w:t>
      </w:r>
      <w:r>
        <w:t xml:space="preserve">artisanat), ce qui peut </w:t>
      </w:r>
      <w:proofErr w:type="gramStart"/>
      <w:r>
        <w:t>avoir</w:t>
      </w:r>
      <w:proofErr w:type="gramEnd"/>
      <w:r>
        <w:t xml:space="preserve"> des conséquences directes et visibles. L</w:t>
      </w:r>
      <w:r w:rsidR="00A46460">
        <w:t>’</w:t>
      </w:r>
      <w:r>
        <w:t>engagement économique des communautés dans les contextes urbains fait apparaître certaines menaces spécifiques pour la pratique du patrimoine culturel immatériel, telles que la commercialisation excessive et la décontex</w:t>
      </w:r>
      <w:r w:rsidR="00A46460">
        <w:t>t</w:t>
      </w:r>
      <w:r>
        <w:t>ualisation. La mobilité de la population, la fragmentation des structures sociales, l</w:t>
      </w:r>
      <w:r w:rsidR="00A46460">
        <w:t>’</w:t>
      </w:r>
      <w:r>
        <w:t>évolution rapide des modes de vie et la perte d</w:t>
      </w:r>
      <w:r w:rsidR="00A46460">
        <w:t>’</w:t>
      </w:r>
      <w:r>
        <w:t xml:space="preserve">intérêt des jeunes pour le patrimoine vivant, ainsi que le déplacement des communautés en raison de </w:t>
      </w:r>
      <w:r w:rsidR="00914BF3">
        <w:t xml:space="preserve">la gentrification </w:t>
      </w:r>
      <w:r>
        <w:t>et de l</w:t>
      </w:r>
      <w:r w:rsidR="00A46460">
        <w:t>’</w:t>
      </w:r>
      <w:r>
        <w:t>augmentation des coûts, entre autres facteurs, peuvent constituer d</w:t>
      </w:r>
      <w:r w:rsidR="00A46460">
        <w:t>’</w:t>
      </w:r>
      <w:r>
        <w:t>autres menaces globales.</w:t>
      </w:r>
    </w:p>
    <w:p w14:paraId="2B1E13D9" w14:textId="59E8FB36" w:rsidR="00D44A25" w:rsidRDefault="00167EE7" w:rsidP="00720463">
      <w:pPr>
        <w:pStyle w:val="COMPara"/>
        <w:ind w:left="360"/>
        <w:jc w:val="both"/>
      </w:pPr>
      <w:r>
        <w:t xml:space="preserve">Concernant les </w:t>
      </w:r>
      <w:r>
        <w:rPr>
          <w:b/>
        </w:rPr>
        <w:t>défis</w:t>
      </w:r>
      <w:r>
        <w:t>, bien que les urbanistes comprennent et reconnaissent de plus en plus le patrimoine culturel immatériel, le manque de sensibilisation des décideurs à la manière d</w:t>
      </w:r>
      <w:r w:rsidR="00A46460">
        <w:t>’</w:t>
      </w:r>
      <w:r>
        <w:t>identifier les besoins et les avantages du patrimoine culturel immatériel reste un problème critique. De manière générale, le patrimoine culturel immatériel ne fait pas l</w:t>
      </w:r>
      <w:r w:rsidR="00A46460">
        <w:t>’</w:t>
      </w:r>
      <w:r>
        <w:t>objet d</w:t>
      </w:r>
      <w:r w:rsidR="00A46460">
        <w:t>’</w:t>
      </w:r>
      <w:r>
        <w:t>une attention particulière dans la planification urbaine, sauf dans les contextes où il est susceptible de générer des revenus, comme le tourisme. D</w:t>
      </w:r>
      <w:r w:rsidR="00A46460">
        <w:t>’</w:t>
      </w:r>
      <w:r>
        <w:t>autres défis consistent à favoriser une coordination efficace entre les secteurs de la culture et de l</w:t>
      </w:r>
      <w:r w:rsidR="00A46460">
        <w:t>’</w:t>
      </w:r>
      <w:r>
        <w:t>urbanisme, ainsi qu</w:t>
      </w:r>
      <w:r w:rsidR="00A46460">
        <w:t>’</w:t>
      </w:r>
      <w:r>
        <w:t xml:space="preserve">à trouver un équilibre entre le besoin de nouvelles infrastructures ou de nouveaux aménagements et la protection des enceintes culturelles, des espaces publics et des bâtiments existants qui sont propices à la pratique et à la transmission des traditions, des connaissances et des pratiques des communautés, </w:t>
      </w:r>
      <w:r w:rsidR="00914BF3">
        <w:t>parallèlement</w:t>
      </w:r>
      <w:r>
        <w:t xml:space="preserve"> aux exigences d</w:t>
      </w:r>
      <w:r w:rsidR="00A46460">
        <w:t>’</w:t>
      </w:r>
      <w:r>
        <w:t>un investissement motivé par la recherche du profit.</w:t>
      </w:r>
    </w:p>
    <w:p w14:paraId="14869672" w14:textId="6CA1EFD4" w:rsidR="00673890" w:rsidRPr="00673890" w:rsidRDefault="00673890" w:rsidP="00673890">
      <w:pPr>
        <w:pStyle w:val="COMPara"/>
        <w:ind w:left="360"/>
        <w:jc w:val="both"/>
      </w:pPr>
      <w:r w:rsidRPr="00673890">
        <w:t xml:space="preserve">En ce qui concerne les </w:t>
      </w:r>
      <w:r w:rsidRPr="00673890">
        <w:rPr>
          <w:b/>
          <w:bCs/>
        </w:rPr>
        <w:t xml:space="preserve">principaux domaines ou secteurs </w:t>
      </w:r>
      <w:r w:rsidRPr="00673890">
        <w:t>où l</w:t>
      </w:r>
      <w:r w:rsidR="00621F9C">
        <w:t>’</w:t>
      </w:r>
      <w:r w:rsidRPr="00673890">
        <w:t xml:space="preserve">intégration du </w:t>
      </w:r>
      <w:r w:rsidR="00914BF3">
        <w:t>patrimoine culturel immatériel</w:t>
      </w:r>
      <w:r w:rsidRPr="00673890">
        <w:t xml:space="preserve"> dans les plans d</w:t>
      </w:r>
      <w:r w:rsidR="00621F9C">
        <w:t>’</w:t>
      </w:r>
      <w:r w:rsidRPr="00673890">
        <w:t xml:space="preserve">urbanisme serait pertinente, on peut citer les suivants : les zones historiques et </w:t>
      </w:r>
      <w:r w:rsidR="00E824B3">
        <w:t>sites de</w:t>
      </w:r>
      <w:r w:rsidRPr="00673890">
        <w:t xml:space="preserve"> patrimoine bâti, les espaces publics, les équipements publics et les corridors écologiques et de transport.</w:t>
      </w:r>
    </w:p>
    <w:p w14:paraId="20D418C4" w14:textId="77777777" w:rsidR="00673890" w:rsidRDefault="00673890" w:rsidP="004D04CE">
      <w:pPr>
        <w:pStyle w:val="COMPara"/>
        <w:numPr>
          <w:ilvl w:val="0"/>
          <w:numId w:val="0"/>
        </w:numPr>
        <w:ind w:left="360"/>
        <w:jc w:val="both"/>
      </w:pPr>
    </w:p>
    <w:p w14:paraId="1C5E4C79" w14:textId="5D4C41F1" w:rsidR="006E627E" w:rsidRPr="00FE4DD5" w:rsidRDefault="00FE4DD5" w:rsidP="00BB57EE">
      <w:pPr>
        <w:pStyle w:val="COMPara"/>
        <w:numPr>
          <w:ilvl w:val="0"/>
          <w:numId w:val="6"/>
        </w:numPr>
        <w:ind w:left="360"/>
        <w:jc w:val="both"/>
        <w:rPr>
          <w:b/>
          <w:bCs/>
        </w:rPr>
      </w:pPr>
      <w:r>
        <w:rPr>
          <w:b/>
        </w:rPr>
        <w:t>Acteurs et parties prenantes clés</w:t>
      </w:r>
    </w:p>
    <w:p w14:paraId="43E112FC" w14:textId="1B7A80FE" w:rsidR="00FE4DD5" w:rsidRDefault="003550C3" w:rsidP="00720463">
      <w:pPr>
        <w:pStyle w:val="COMPara"/>
        <w:ind w:left="360"/>
        <w:jc w:val="both"/>
      </w:pPr>
      <w:r>
        <w:t>Les approches, stratégies et réglementations en matière d</w:t>
      </w:r>
      <w:r w:rsidR="00A46460">
        <w:t>’</w:t>
      </w:r>
      <w:r>
        <w:t>urbanisme varient considérablement d</w:t>
      </w:r>
      <w:r w:rsidR="00A46460">
        <w:t>’</w:t>
      </w:r>
      <w:r>
        <w:t>une ville à l</w:t>
      </w:r>
      <w:r w:rsidR="00A46460">
        <w:t>’</w:t>
      </w:r>
      <w:r>
        <w:t>autre, d</w:t>
      </w:r>
      <w:r w:rsidR="00A46460">
        <w:t>’</w:t>
      </w:r>
      <w:r>
        <w:t>une région à l</w:t>
      </w:r>
      <w:r w:rsidR="00A46460">
        <w:t>’</w:t>
      </w:r>
      <w:r>
        <w:t>autre et d</w:t>
      </w:r>
      <w:r w:rsidR="00A46460">
        <w:t>’</w:t>
      </w:r>
      <w:r>
        <w:t>un pays à l</w:t>
      </w:r>
      <w:r w:rsidR="00A46460">
        <w:t>’</w:t>
      </w:r>
      <w:r>
        <w:t>autre. En fonction de l</w:t>
      </w:r>
      <w:r w:rsidR="00A46460">
        <w:t>’</w:t>
      </w:r>
      <w:r>
        <w:t>ampleur d</w:t>
      </w:r>
      <w:r w:rsidR="00A46460">
        <w:t>’</w:t>
      </w:r>
      <w:r>
        <w:t>un plan urbain, les autorités nationales de différents niveaux peuvent être impliquées (avec des mandats qui couvrent le logement, l</w:t>
      </w:r>
      <w:r w:rsidR="00A46460">
        <w:t>’</w:t>
      </w:r>
      <w:r>
        <w:t>environnement, l</w:t>
      </w:r>
      <w:r w:rsidR="00A46460">
        <w:t>’</w:t>
      </w:r>
      <w:r>
        <w:t>infrastructure, le transport et le développement urbain, entre autres). Les plans plus modestes pour les zones urbaines - souvent appelés «</w:t>
      </w:r>
      <w:r w:rsidR="00A46460">
        <w:t> </w:t>
      </w:r>
      <w:r>
        <w:t>plans directeurs</w:t>
      </w:r>
      <w:r w:rsidR="00A46460">
        <w:t> </w:t>
      </w:r>
      <w:r>
        <w:t xml:space="preserve">» dans le cadre de stratégies de planification urbaine plus larges - impliquent généralement des agences et des responsables </w:t>
      </w:r>
      <w:r w:rsidR="00056F09">
        <w:t>davantage</w:t>
      </w:r>
      <w:r>
        <w:t xml:space="preserve"> localisés et peuvent également impliquer des investissements privés associés à des processus spécifiques de développement ou de régénération urbaine.</w:t>
      </w:r>
    </w:p>
    <w:p w14:paraId="1DEABE81" w14:textId="0BFE0E9C" w:rsidR="002D1986" w:rsidRPr="002F7A8B" w:rsidRDefault="00260F30" w:rsidP="00720463">
      <w:pPr>
        <w:pStyle w:val="COMPara"/>
        <w:ind w:left="360"/>
        <w:jc w:val="both"/>
      </w:pPr>
      <w:r>
        <w:lastRenderedPageBreak/>
        <w:t>En ce qui concerne la planification urbaine susceptible de modifier les zones résidentielles ou les espaces publics, les communautés ont tendance à former des groupes organisés pour défendre leurs intérêts. Dans certains cas, des organisations non gouvernementales, des associations ou des agences spécialisées peuvent représenter des groupes moins établis (comme les communautés de migrants) ou exprimer leurs préoccupations concernant des décisions de planification susceptibles d</w:t>
      </w:r>
      <w:r w:rsidR="00A46460">
        <w:t>’</w:t>
      </w:r>
      <w:r>
        <w:t xml:space="preserve">avoir un impact sur des pratiques, des lieux de culte ou des activités spécifiques. En outre, des institutions universitaires et des spécialistes techniques - tels que des urbanistes, des ingénieurs, des architectes, des économistes, des sociologues, des anthropologues et des géographes, ainsi que des experts en patrimoine culturel immatériel - </w:t>
      </w:r>
      <w:r w:rsidR="00056F09">
        <w:t xml:space="preserve">offrent </w:t>
      </w:r>
      <w:r>
        <w:t xml:space="preserve">des conseils et </w:t>
      </w:r>
      <w:proofErr w:type="gramStart"/>
      <w:r>
        <w:t>un soutien multidisciplinaires</w:t>
      </w:r>
      <w:proofErr w:type="gramEnd"/>
      <w:r>
        <w:t xml:space="preserve"> sur les questions relatives à la planification urbaine et aux processus de développement. Ils réalisent souvent des études techniques pour éclairer la planification, la politique et la prise de décision, traitent </w:t>
      </w:r>
      <w:r w:rsidR="00056F09">
        <w:t>des</w:t>
      </w:r>
      <w:r>
        <w:t xml:space="preserve"> demandes de planification pour les exigences réglementaires, préparent des dossiers de conception et évaluent les impacts socio-économiques des plans d</w:t>
      </w:r>
      <w:r w:rsidR="00A46460">
        <w:t>’</w:t>
      </w:r>
      <w:r>
        <w:t>urbanisme.</w:t>
      </w:r>
    </w:p>
    <w:p w14:paraId="5DBBF406" w14:textId="4A55A7F8" w:rsidR="009A1E8E" w:rsidRPr="00E559A5" w:rsidRDefault="00660226" w:rsidP="00BB57EE">
      <w:pPr>
        <w:pStyle w:val="COMPara"/>
        <w:numPr>
          <w:ilvl w:val="0"/>
          <w:numId w:val="6"/>
        </w:numPr>
        <w:ind w:left="360"/>
        <w:jc w:val="both"/>
        <w:rPr>
          <w:b/>
          <w:bCs/>
        </w:rPr>
      </w:pPr>
      <w:r>
        <w:rPr>
          <w:b/>
        </w:rPr>
        <w:t>Exemples de méthodologies, d</w:t>
      </w:r>
      <w:r w:rsidR="00A46460">
        <w:rPr>
          <w:b/>
        </w:rPr>
        <w:t>’</w:t>
      </w:r>
      <w:r>
        <w:rPr>
          <w:b/>
        </w:rPr>
        <w:t>outils et d</w:t>
      </w:r>
      <w:r w:rsidR="00A46460">
        <w:rPr>
          <w:b/>
        </w:rPr>
        <w:t>’</w:t>
      </w:r>
      <w:r>
        <w:rPr>
          <w:b/>
        </w:rPr>
        <w:t>études de cas</w:t>
      </w:r>
    </w:p>
    <w:p w14:paraId="143E58ED" w14:textId="249D273E" w:rsidR="00AF14D9" w:rsidRDefault="00AF14D9" w:rsidP="00720463">
      <w:pPr>
        <w:pStyle w:val="COMPara"/>
        <w:ind w:left="360"/>
        <w:jc w:val="both"/>
      </w:pPr>
      <w:r>
        <w:t>Parallèlement à l</w:t>
      </w:r>
      <w:r w:rsidR="00056F09">
        <w:t xml:space="preserve">a présente </w:t>
      </w:r>
      <w:r>
        <w:t xml:space="preserve">initiative thématique, un </w:t>
      </w:r>
      <w:r w:rsidR="00056F09">
        <w:t xml:space="preserve">développement </w:t>
      </w:r>
      <w:r>
        <w:t xml:space="preserve">récent notable a été </w:t>
      </w:r>
      <w:r w:rsidR="00056F09">
        <w:t>l’élaboration</w:t>
      </w:r>
      <w:r>
        <w:t xml:space="preserve"> d</w:t>
      </w:r>
      <w:r w:rsidR="00A46460">
        <w:t>’</w:t>
      </w:r>
      <w:r>
        <w:t>une approche de renforcement des capacités, créée en collaboration par un expert en patrimoine culturel immatériel et un spécialiste de l</w:t>
      </w:r>
      <w:r w:rsidR="00A46460">
        <w:t>’</w:t>
      </w:r>
      <w:r>
        <w:t>urbanisme. Ce programme de formation se concentre sur la relation entre la sauvegarde du patrimoine culturel immatériel et le développement urbain durable, explore les synergies avec les principaux cadres politiques dans les domaines du patrimoine et du développement urbain, et fournit une sélection d</w:t>
      </w:r>
      <w:r w:rsidR="00A46460">
        <w:t>’</w:t>
      </w:r>
      <w:r>
        <w:t>outils pratiques pour l</w:t>
      </w:r>
      <w:r w:rsidR="00A46460">
        <w:t>’</w:t>
      </w:r>
      <w:r>
        <w:t>intégration efficace du patrimoine vivant dans les contextes urbains.</w:t>
      </w:r>
    </w:p>
    <w:p w14:paraId="5204BF22" w14:textId="04988227" w:rsidR="00AF14D9" w:rsidRDefault="00AF14D9" w:rsidP="008D5F8E">
      <w:pPr>
        <w:pStyle w:val="COMPara"/>
        <w:ind w:left="360"/>
        <w:jc w:val="both"/>
      </w:pPr>
      <w:r>
        <w:t>Cette approche a été développée dans le cadre d</w:t>
      </w:r>
      <w:r w:rsidR="00A46460">
        <w:t>’</w:t>
      </w:r>
      <w:r>
        <w:t>un projet régional intitulé «</w:t>
      </w:r>
      <w:r w:rsidR="00A46460">
        <w:t> </w:t>
      </w:r>
      <w:r w:rsidR="008D5F8E" w:rsidRPr="008D5F8E">
        <w:rPr>
          <w:b/>
        </w:rPr>
        <w:t xml:space="preserve">Renforcement des capacités pour des communautés résilientes à travers le tourisme durable et la sauvegarde du patrimoine en Amérique latine et dans les </w:t>
      </w:r>
      <w:proofErr w:type="gramStart"/>
      <w:r w:rsidR="008D5F8E" w:rsidRPr="008D5F8E">
        <w:rPr>
          <w:b/>
        </w:rPr>
        <w:t>Caraïbes</w:t>
      </w:r>
      <w:r w:rsidR="008D5F8E" w:rsidRPr="008D5F8E" w:rsidDel="008D5F8E">
        <w:rPr>
          <w:b/>
        </w:rPr>
        <w:t xml:space="preserve"> </w:t>
      </w:r>
      <w:r w:rsidR="00A46460">
        <w:t> </w:t>
      </w:r>
      <w:r>
        <w:t>»</w:t>
      </w:r>
      <w:proofErr w:type="gramEnd"/>
      <w:r>
        <w:t>, qui implique dix pays de la région. L</w:t>
      </w:r>
      <w:r w:rsidR="00A46460">
        <w:t>’</w:t>
      </w:r>
      <w:r>
        <w:t>approche du renforcement des capacités, qui repose sur une collaboration intersectorielle, fait actuellement l’objet d’un examen par des équipes d</w:t>
      </w:r>
      <w:r w:rsidR="00A46460">
        <w:t>’</w:t>
      </w:r>
      <w:r>
        <w:t>experts nationaux dans le cadre d</w:t>
      </w:r>
      <w:r w:rsidR="00A46460">
        <w:t>’</w:t>
      </w:r>
      <w:r>
        <w:t>une formation en ligne organisée au cours du premier semestre</w:t>
      </w:r>
      <w:r w:rsidR="00A46460">
        <w:t> </w:t>
      </w:r>
      <w:r>
        <w:t>2025. Ce processus s</w:t>
      </w:r>
      <w:r w:rsidR="00A46460">
        <w:t>’</w:t>
      </w:r>
      <w:r>
        <w:t xml:space="preserve">appuie sur la double expertise des équipes, associant patrimoine culturel immatériel et développement urbain au niveau national. Sur la base de leurs commentaires, le matériel de formation est en cours de finalisation (accessible via une </w:t>
      </w:r>
      <w:hyperlink r:id="rId21" w:history="1">
        <w:r>
          <w:rPr>
            <w:rStyle w:val="Hyperlink"/>
          </w:rPr>
          <w:t>page web dédiée</w:t>
        </w:r>
      </w:hyperlink>
      <w:r>
        <w:t>) et l</w:t>
      </w:r>
      <w:r w:rsidR="00A46460">
        <w:t>’</w:t>
      </w:r>
      <w:r>
        <w:t>approche est déployée dans les pays participants en étroite collaboration avec la Coordination éducative et culturelle centraméricaine et le Système d</w:t>
      </w:r>
      <w:r w:rsidR="00A46460">
        <w:t>’</w:t>
      </w:r>
      <w:r>
        <w:t>intégration centraméricain (CECC/SICA).</w:t>
      </w:r>
    </w:p>
    <w:p w14:paraId="699C7987" w14:textId="639DD837" w:rsidR="00325583" w:rsidRDefault="00CD5579" w:rsidP="00CD5579">
      <w:pPr>
        <w:pStyle w:val="COMPara"/>
        <w:ind w:left="360"/>
        <w:jc w:val="both"/>
      </w:pPr>
      <w:r>
        <w:t>Le matériel de formation comprend la série d</w:t>
      </w:r>
      <w:r w:rsidR="00A46460">
        <w:t>’</w:t>
      </w:r>
      <w:r>
        <w:t>études de cas suivante (disponible en anglais et en espagnol pour l</w:t>
      </w:r>
      <w:r w:rsidR="00A46460">
        <w:t>’</w:t>
      </w:r>
      <w:r>
        <w:t>instant), qui pourra fournir des indications lors de la préparation de la note d</w:t>
      </w:r>
      <w:r w:rsidR="00A46460">
        <w:t>’</w:t>
      </w:r>
      <w:r>
        <w:t xml:space="preserve">orientation sur la sauvegarde du patrimoine culturel immatériel </w:t>
      </w:r>
      <w:r w:rsidR="00035666">
        <w:t>en milieu</w:t>
      </w:r>
      <w:r>
        <w:t xml:space="preserve"> urbain</w:t>
      </w:r>
      <w:r w:rsidR="00A46460">
        <w:t> </w:t>
      </w:r>
      <w:r>
        <w:t>:</w:t>
      </w:r>
    </w:p>
    <w:tbl>
      <w:tblPr>
        <w:tblStyle w:val="TableGrid"/>
        <w:tblW w:w="0" w:type="auto"/>
        <w:tblInd w:w="360" w:type="dxa"/>
        <w:tblLook w:val="04A0" w:firstRow="1" w:lastRow="0" w:firstColumn="1" w:lastColumn="0" w:noHBand="0" w:noVBand="1"/>
      </w:tblPr>
      <w:tblGrid>
        <w:gridCol w:w="1762"/>
        <w:gridCol w:w="5386"/>
        <w:gridCol w:w="2120"/>
      </w:tblGrid>
      <w:tr w:rsidR="00CD5579" w14:paraId="282E28F4" w14:textId="77777777" w:rsidTr="00CA0DCF">
        <w:tc>
          <w:tcPr>
            <w:tcW w:w="1762" w:type="dxa"/>
          </w:tcPr>
          <w:p w14:paraId="512DB4CF" w14:textId="77777777" w:rsidR="00CD5579" w:rsidRPr="00D77624" w:rsidRDefault="00CD5579" w:rsidP="00CA0DCF">
            <w:pPr>
              <w:pStyle w:val="COMPara"/>
              <w:numPr>
                <w:ilvl w:val="0"/>
                <w:numId w:val="0"/>
              </w:numPr>
              <w:jc w:val="both"/>
              <w:rPr>
                <w:b/>
                <w:bCs/>
              </w:rPr>
            </w:pPr>
            <w:r>
              <w:rPr>
                <w:b/>
              </w:rPr>
              <w:t>Étude de cas 1</w:t>
            </w:r>
          </w:p>
        </w:tc>
        <w:tc>
          <w:tcPr>
            <w:tcW w:w="5386" w:type="dxa"/>
          </w:tcPr>
          <w:p w14:paraId="617E5146" w14:textId="77777777" w:rsidR="00CD5579" w:rsidRDefault="00CD5579" w:rsidP="00CA0DCF">
            <w:pPr>
              <w:pStyle w:val="COMPara"/>
              <w:numPr>
                <w:ilvl w:val="0"/>
                <w:numId w:val="0"/>
              </w:numPr>
              <w:jc w:val="both"/>
            </w:pPr>
            <w:r>
              <w:t>Plan directeur de Singapour (Singapour)</w:t>
            </w:r>
          </w:p>
        </w:tc>
        <w:tc>
          <w:tcPr>
            <w:tcW w:w="2120" w:type="dxa"/>
          </w:tcPr>
          <w:p w14:paraId="4600CFBC" w14:textId="635A4D8A" w:rsidR="00CD5579" w:rsidRPr="00CD5579" w:rsidRDefault="00CD5579" w:rsidP="00CA0DCF">
            <w:pPr>
              <w:pStyle w:val="COMPara"/>
              <w:numPr>
                <w:ilvl w:val="0"/>
                <w:numId w:val="0"/>
              </w:numPr>
              <w:jc w:val="both"/>
            </w:pPr>
            <w:hyperlink r:id="rId22" w:tgtFrame="_blank" w:history="1">
              <w:r>
                <w:rPr>
                  <w:rStyle w:val="Hyperlink"/>
                </w:rPr>
                <w:t>Anglais</w:t>
              </w:r>
            </w:hyperlink>
            <w:r>
              <w:t xml:space="preserve"> | </w:t>
            </w:r>
            <w:hyperlink r:id="rId23" w:tgtFrame="_blank" w:history="1">
              <w:r>
                <w:rPr>
                  <w:rStyle w:val="Hyperlink"/>
                </w:rPr>
                <w:t>Espagnol</w:t>
              </w:r>
            </w:hyperlink>
          </w:p>
        </w:tc>
      </w:tr>
      <w:tr w:rsidR="00CD5579" w:rsidRPr="00C15E1F" w14:paraId="6D385191" w14:textId="77777777" w:rsidTr="00CA0DCF">
        <w:tc>
          <w:tcPr>
            <w:tcW w:w="1762" w:type="dxa"/>
          </w:tcPr>
          <w:p w14:paraId="0DE5E153" w14:textId="77777777" w:rsidR="00CD5579" w:rsidRPr="00D77624" w:rsidRDefault="00CD5579" w:rsidP="00CA0DCF">
            <w:pPr>
              <w:pStyle w:val="COMPara"/>
              <w:numPr>
                <w:ilvl w:val="0"/>
                <w:numId w:val="0"/>
              </w:numPr>
              <w:jc w:val="both"/>
              <w:rPr>
                <w:b/>
                <w:bCs/>
              </w:rPr>
            </w:pPr>
            <w:r>
              <w:rPr>
                <w:b/>
              </w:rPr>
              <w:t>Étude de cas 2</w:t>
            </w:r>
          </w:p>
        </w:tc>
        <w:tc>
          <w:tcPr>
            <w:tcW w:w="5386" w:type="dxa"/>
          </w:tcPr>
          <w:p w14:paraId="4701E7F9" w14:textId="6767ABFB" w:rsidR="00CD5579" w:rsidRPr="004D04CE" w:rsidRDefault="00CD5579" w:rsidP="00CA0DCF">
            <w:pPr>
              <w:pStyle w:val="COMPara"/>
              <w:numPr>
                <w:ilvl w:val="0"/>
                <w:numId w:val="0"/>
              </w:numPr>
              <w:jc w:val="both"/>
              <w:rPr>
                <w:lang w:val="es-ES"/>
              </w:rPr>
            </w:pPr>
            <w:r w:rsidRPr="004D04CE">
              <w:rPr>
                <w:lang w:val="es-ES"/>
              </w:rPr>
              <w:t>Plan territorial</w:t>
            </w:r>
            <w:r w:rsidR="00A46460" w:rsidRPr="004D04CE">
              <w:rPr>
                <w:lang w:val="es-ES"/>
              </w:rPr>
              <w:t> </w:t>
            </w:r>
            <w:r w:rsidRPr="004D04CE">
              <w:rPr>
                <w:lang w:val="es-ES"/>
              </w:rPr>
              <w:t xml:space="preserve">2022-2025 </w:t>
            </w:r>
            <w:proofErr w:type="gramStart"/>
            <w:r w:rsidRPr="004D04CE">
              <w:rPr>
                <w:lang w:val="es-ES"/>
              </w:rPr>
              <w:t>«</w:t>
            </w:r>
            <w:r w:rsidR="00A46460" w:rsidRPr="004D04CE">
              <w:rPr>
                <w:lang w:val="es-ES"/>
              </w:rPr>
              <w:t> </w:t>
            </w:r>
            <w:r w:rsidRPr="004D04CE">
              <w:rPr>
                <w:lang w:val="es-ES"/>
              </w:rPr>
              <w:t>Bogotá</w:t>
            </w:r>
            <w:proofErr w:type="gramEnd"/>
            <w:r w:rsidRPr="004D04CE">
              <w:rPr>
                <w:lang w:val="es-ES"/>
              </w:rPr>
              <w:t xml:space="preserve"> </w:t>
            </w:r>
            <w:proofErr w:type="gramStart"/>
            <w:r w:rsidRPr="004D04CE">
              <w:rPr>
                <w:lang w:val="es-ES"/>
              </w:rPr>
              <w:t>Reverdece</w:t>
            </w:r>
            <w:r w:rsidR="00A46460" w:rsidRPr="004D04CE">
              <w:rPr>
                <w:lang w:val="es-ES"/>
              </w:rPr>
              <w:t> </w:t>
            </w:r>
            <w:r w:rsidRPr="004D04CE">
              <w:rPr>
                <w:lang w:val="es-ES"/>
              </w:rPr>
              <w:t>»</w:t>
            </w:r>
            <w:proofErr w:type="gramEnd"/>
            <w:r w:rsidRPr="004D04CE">
              <w:rPr>
                <w:lang w:val="es-ES"/>
              </w:rPr>
              <w:t xml:space="preserve"> (Bogotá, </w:t>
            </w:r>
            <w:proofErr w:type="spellStart"/>
            <w:r w:rsidRPr="004D04CE">
              <w:rPr>
                <w:lang w:val="es-ES"/>
              </w:rPr>
              <w:t>Colombie</w:t>
            </w:r>
            <w:proofErr w:type="spellEnd"/>
            <w:r w:rsidRPr="004D04CE">
              <w:rPr>
                <w:lang w:val="es-ES"/>
              </w:rPr>
              <w:t>)</w:t>
            </w:r>
          </w:p>
        </w:tc>
        <w:tc>
          <w:tcPr>
            <w:tcW w:w="2120" w:type="dxa"/>
          </w:tcPr>
          <w:p w14:paraId="2F2D057D" w14:textId="78C28D79" w:rsidR="00CD5579" w:rsidRPr="00CD5579" w:rsidRDefault="00CD5579" w:rsidP="00CA0DCF">
            <w:pPr>
              <w:pStyle w:val="COMPara"/>
              <w:numPr>
                <w:ilvl w:val="0"/>
                <w:numId w:val="0"/>
              </w:numPr>
              <w:jc w:val="both"/>
            </w:pPr>
            <w:hyperlink r:id="rId24" w:tgtFrame="_blank" w:history="1">
              <w:r>
                <w:rPr>
                  <w:rStyle w:val="Hyperlink"/>
                </w:rPr>
                <w:t>Anglais</w:t>
              </w:r>
            </w:hyperlink>
            <w:r>
              <w:t xml:space="preserve"> | </w:t>
            </w:r>
            <w:hyperlink r:id="rId25" w:tgtFrame="_blank" w:history="1">
              <w:r>
                <w:rPr>
                  <w:rStyle w:val="Hyperlink"/>
                </w:rPr>
                <w:t>Espagnol</w:t>
              </w:r>
            </w:hyperlink>
          </w:p>
        </w:tc>
      </w:tr>
      <w:tr w:rsidR="00CD5579" w14:paraId="1BA82AE4" w14:textId="77777777" w:rsidTr="00CA0DCF">
        <w:tc>
          <w:tcPr>
            <w:tcW w:w="1762" w:type="dxa"/>
          </w:tcPr>
          <w:p w14:paraId="249E1A9E" w14:textId="77777777" w:rsidR="00CD5579" w:rsidRPr="00D77624" w:rsidRDefault="00CD5579" w:rsidP="00CA0DCF">
            <w:pPr>
              <w:pStyle w:val="COMPara"/>
              <w:numPr>
                <w:ilvl w:val="0"/>
                <w:numId w:val="0"/>
              </w:numPr>
              <w:jc w:val="both"/>
              <w:rPr>
                <w:b/>
                <w:bCs/>
              </w:rPr>
            </w:pPr>
            <w:r>
              <w:rPr>
                <w:b/>
              </w:rPr>
              <w:t>Étude de cas 3</w:t>
            </w:r>
          </w:p>
        </w:tc>
        <w:tc>
          <w:tcPr>
            <w:tcW w:w="5386" w:type="dxa"/>
          </w:tcPr>
          <w:p w14:paraId="606FEB73" w14:textId="10197B8F" w:rsidR="00CD5579" w:rsidRDefault="00CD5579" w:rsidP="00CA0DCF">
            <w:pPr>
              <w:pStyle w:val="COMPara"/>
              <w:numPr>
                <w:ilvl w:val="0"/>
                <w:numId w:val="0"/>
              </w:numPr>
              <w:jc w:val="both"/>
            </w:pPr>
            <w:r>
              <w:t>Cadre de développement spatial local de Bo-</w:t>
            </w:r>
            <w:proofErr w:type="spellStart"/>
            <w:r>
              <w:t>Kaap</w:t>
            </w:r>
            <w:proofErr w:type="spellEnd"/>
            <w:r>
              <w:t xml:space="preserve"> (Le Cap, Afrique du Sud)</w:t>
            </w:r>
          </w:p>
        </w:tc>
        <w:tc>
          <w:tcPr>
            <w:tcW w:w="2120" w:type="dxa"/>
          </w:tcPr>
          <w:p w14:paraId="40A882A1" w14:textId="2B07A195" w:rsidR="00CD5579" w:rsidRPr="00CD5579" w:rsidRDefault="00CD5579" w:rsidP="00CA0DCF">
            <w:pPr>
              <w:pStyle w:val="COMPara"/>
              <w:numPr>
                <w:ilvl w:val="0"/>
                <w:numId w:val="0"/>
              </w:numPr>
              <w:jc w:val="both"/>
            </w:pPr>
            <w:hyperlink r:id="rId26" w:tgtFrame="_blank" w:history="1">
              <w:r>
                <w:rPr>
                  <w:rStyle w:val="Hyperlink"/>
                </w:rPr>
                <w:t>Anglais</w:t>
              </w:r>
            </w:hyperlink>
            <w:r>
              <w:t xml:space="preserve"> | </w:t>
            </w:r>
            <w:hyperlink r:id="rId27" w:tgtFrame="_blank" w:history="1">
              <w:r>
                <w:rPr>
                  <w:rStyle w:val="Hyperlink"/>
                </w:rPr>
                <w:t>Espagnol</w:t>
              </w:r>
            </w:hyperlink>
          </w:p>
        </w:tc>
      </w:tr>
      <w:tr w:rsidR="00CD5579" w14:paraId="330AD2C9" w14:textId="77777777" w:rsidTr="00CA0DCF">
        <w:tc>
          <w:tcPr>
            <w:tcW w:w="1762" w:type="dxa"/>
          </w:tcPr>
          <w:p w14:paraId="1D821C7C" w14:textId="77777777" w:rsidR="00CD5579" w:rsidRPr="00D77624" w:rsidRDefault="00CD5579" w:rsidP="00CA0DCF">
            <w:pPr>
              <w:pStyle w:val="COMPara"/>
              <w:numPr>
                <w:ilvl w:val="0"/>
                <w:numId w:val="0"/>
              </w:numPr>
              <w:jc w:val="both"/>
              <w:rPr>
                <w:b/>
                <w:bCs/>
              </w:rPr>
            </w:pPr>
            <w:r>
              <w:rPr>
                <w:b/>
              </w:rPr>
              <w:t>Étude de cas 4</w:t>
            </w:r>
          </w:p>
        </w:tc>
        <w:tc>
          <w:tcPr>
            <w:tcW w:w="5386" w:type="dxa"/>
          </w:tcPr>
          <w:p w14:paraId="238B889B" w14:textId="77777777" w:rsidR="00CD5579" w:rsidRDefault="00CD5579" w:rsidP="00CA0DCF">
            <w:pPr>
              <w:pStyle w:val="COMPara"/>
              <w:numPr>
                <w:ilvl w:val="0"/>
                <w:numId w:val="0"/>
              </w:numPr>
              <w:jc w:val="both"/>
            </w:pPr>
            <w:r>
              <w:t>Plan de gestion de la conservation (As-Salt, Jordanie)</w:t>
            </w:r>
          </w:p>
        </w:tc>
        <w:tc>
          <w:tcPr>
            <w:tcW w:w="2120" w:type="dxa"/>
          </w:tcPr>
          <w:p w14:paraId="3B0467B1" w14:textId="3ADAC242" w:rsidR="00CD5579" w:rsidRPr="00CD5579" w:rsidRDefault="00CD5579" w:rsidP="00CA0DCF">
            <w:pPr>
              <w:pStyle w:val="COMPara"/>
              <w:numPr>
                <w:ilvl w:val="0"/>
                <w:numId w:val="0"/>
              </w:numPr>
              <w:jc w:val="both"/>
            </w:pPr>
            <w:hyperlink r:id="rId28" w:tgtFrame="_blank" w:history="1">
              <w:r>
                <w:rPr>
                  <w:rStyle w:val="Hyperlink"/>
                </w:rPr>
                <w:t>Anglais</w:t>
              </w:r>
            </w:hyperlink>
            <w:r>
              <w:t xml:space="preserve"> | </w:t>
            </w:r>
            <w:hyperlink r:id="rId29" w:tgtFrame="_blank" w:history="1">
              <w:r>
                <w:rPr>
                  <w:rStyle w:val="Hyperlink"/>
                </w:rPr>
                <w:t>Espagnol</w:t>
              </w:r>
            </w:hyperlink>
          </w:p>
        </w:tc>
      </w:tr>
    </w:tbl>
    <w:p w14:paraId="5CB5E761" w14:textId="77777777" w:rsidR="00CD5579" w:rsidRPr="00CD5579" w:rsidRDefault="00CD5579" w:rsidP="00CD5579">
      <w:pPr>
        <w:pStyle w:val="COMPara"/>
        <w:numPr>
          <w:ilvl w:val="0"/>
          <w:numId w:val="0"/>
        </w:numPr>
        <w:ind w:left="360"/>
        <w:jc w:val="both"/>
        <w:rPr>
          <w:lang w:val="en-AU"/>
        </w:rPr>
      </w:pPr>
    </w:p>
    <w:sectPr w:rsidR="00CD5579" w:rsidRPr="00CD5579"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60F7" w14:textId="77777777" w:rsidR="002975A7" w:rsidRDefault="002975A7" w:rsidP="00655736">
      <w:r>
        <w:separator/>
      </w:r>
    </w:p>
  </w:endnote>
  <w:endnote w:type="continuationSeparator" w:id="0">
    <w:p w14:paraId="2EC03992" w14:textId="77777777" w:rsidR="002975A7" w:rsidRDefault="002975A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6BB7" w14:textId="77777777" w:rsidR="002975A7" w:rsidRDefault="002975A7" w:rsidP="00655736">
      <w:r>
        <w:separator/>
      </w:r>
    </w:p>
  </w:footnote>
  <w:footnote w:type="continuationSeparator" w:id="0">
    <w:p w14:paraId="6912FB63" w14:textId="77777777" w:rsidR="002975A7" w:rsidRDefault="002975A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4890E7F" w:rsidR="00D95C4C" w:rsidRPr="00455314" w:rsidRDefault="00C5776D" w:rsidP="00C5776D">
    <w:pPr>
      <w:pStyle w:val="Header"/>
      <w:rPr>
        <w:rFonts w:ascii="Arial" w:hAnsi="Arial" w:cs="Arial"/>
      </w:rPr>
    </w:pPr>
    <w:r>
      <w:rPr>
        <w:rFonts w:ascii="Arial" w:hAnsi="Arial"/>
        <w:sz w:val="20"/>
      </w:rPr>
      <w:t xml:space="preserve">LHE/25/EXP THEMA-URBAN/3 – page </w:t>
    </w:r>
    <w:r w:rsidR="00D95C4C" w:rsidRPr="00C23A97">
      <w:rPr>
        <w:rStyle w:val="PageNumber"/>
        <w:rFonts w:ascii="Arial" w:hAnsi="Arial" w:cs="Arial"/>
        <w:sz w:val="20"/>
      </w:rPr>
      <w:fldChar w:fldCharType="begin"/>
    </w:r>
    <w:r w:rsidR="00D95C4C" w:rsidRPr="00455314">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sidRPr="00455314">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434C372" w:rsidR="00D95C4C" w:rsidRPr="00EE5D7D" w:rsidRDefault="00EE5D7D" w:rsidP="00EE5D7D">
    <w:pPr>
      <w:pStyle w:val="Header"/>
      <w:jc w:val="right"/>
      <w:rPr>
        <w:rFonts w:ascii="Arial" w:hAnsi="Arial" w:cs="Arial"/>
      </w:rPr>
    </w:pPr>
    <w:r>
      <w:rPr>
        <w:rFonts w:ascii="Arial" w:hAnsi="Arial"/>
        <w:sz w:val="20"/>
      </w:rPr>
      <w:t>LHE/25/EXP THEMA-URBAN/3 – page</w:t>
    </w:r>
    <w:r w:rsidR="00A46460">
      <w:rPr>
        <w:rFonts w:ascii="Arial" w:hAnsi="Arial"/>
        <w:sz w:val="20"/>
      </w:rPr>
      <w:t> </w:t>
    </w:r>
    <w:r w:rsidRPr="00C23A97">
      <w:rPr>
        <w:rStyle w:val="PageNumber"/>
        <w:rFonts w:ascii="Arial" w:hAnsi="Arial" w:cs="Arial"/>
        <w:sz w:val="20"/>
      </w:rPr>
      <w:fldChar w:fldCharType="begin"/>
    </w:r>
    <w:r w:rsidRPr="00455314">
      <w:rPr>
        <w:rStyle w:val="PageNumber"/>
        <w:rFonts w:ascii="Arial" w:hAnsi="Arial" w:cs="Arial"/>
        <w:sz w:val="20"/>
      </w:rPr>
      <w:instrText xml:space="preserve"> PAGE </w:instrText>
    </w:r>
    <w:r w:rsidRPr="00C23A97">
      <w:rPr>
        <w:rStyle w:val="PageNumber"/>
        <w:rFonts w:ascii="Arial" w:hAnsi="Arial" w:cs="Arial"/>
        <w:sz w:val="20"/>
      </w:rPr>
      <w:fldChar w:fldCharType="separate"/>
    </w:r>
    <w:r w:rsidRPr="00EE5D7D">
      <w:rPr>
        <w:rStyle w:val="PageNumber"/>
        <w:rFonts w:ascii="Arial" w:hAnsi="Arial" w:cs="Arial"/>
        <w:sz w:val="20"/>
      </w:rPr>
      <w:t>2</w:t>
    </w:r>
    <w:r w:rsidRPr="00C23A97">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1CFC255A" w:rsidR="00D95C4C" w:rsidRPr="00E95AE2" w:rsidRDefault="00D95C4C">
    <w:pPr>
      <w:pStyle w:val="Header"/>
      <w:rPr>
        <w:sz w:val="22"/>
        <w:szCs w:val="22"/>
      </w:rPr>
    </w:pPr>
  </w:p>
  <w:p w14:paraId="5F355250" w14:textId="1031A7C5" w:rsidR="004E1760" w:rsidRPr="00A46460" w:rsidRDefault="006357C6" w:rsidP="004E1760">
    <w:pPr>
      <w:pStyle w:val="Header"/>
      <w:spacing w:after="520"/>
      <w:jc w:val="right"/>
      <w:rPr>
        <w:rFonts w:ascii="Arial" w:hAnsi="Arial" w:cs="Arial"/>
        <w:b/>
        <w:sz w:val="44"/>
        <w:szCs w:val="44"/>
        <w:lang w:val="en-US"/>
      </w:rPr>
    </w:pPr>
    <w:r>
      <w:rPr>
        <w:noProof/>
      </w:rPr>
      <w:drawing>
        <wp:anchor distT="0" distB="0" distL="114300" distR="114300" simplePos="0" relativeHeight="251659264" behindDoc="0" locked="0" layoutInCell="1" allowOverlap="1" wp14:anchorId="7E484C05" wp14:editId="1FFF4D7D">
          <wp:simplePos x="0" y="0"/>
          <wp:positionH relativeFrom="margin">
            <wp:posOffset>6824</wp:posOffset>
          </wp:positionH>
          <wp:positionV relativeFrom="paragraph">
            <wp:posOffset>3175</wp:posOffset>
          </wp:positionV>
          <wp:extent cx="1546225" cy="12960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622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F11" w:rsidRPr="00A46460">
      <w:rPr>
        <w:rFonts w:ascii="Arial" w:hAnsi="Arial"/>
        <w:b/>
        <w:sz w:val="44"/>
        <w:lang w:val="en-US"/>
      </w:rPr>
      <w:t>EXP THEMA-URBAN</w:t>
    </w:r>
  </w:p>
  <w:p w14:paraId="6D1B3489" w14:textId="70F85BD2" w:rsidR="004E1760" w:rsidRPr="00A46460" w:rsidRDefault="004E1760" w:rsidP="004E1760">
    <w:pPr>
      <w:jc w:val="right"/>
      <w:rPr>
        <w:rFonts w:ascii="Arial" w:hAnsi="Arial" w:cs="Arial"/>
        <w:b/>
        <w:sz w:val="22"/>
        <w:szCs w:val="22"/>
        <w:lang w:val="en-US"/>
      </w:rPr>
    </w:pPr>
    <w:r w:rsidRPr="00A46460">
      <w:rPr>
        <w:rFonts w:ascii="Arial" w:hAnsi="Arial"/>
        <w:b/>
        <w:sz w:val="22"/>
        <w:lang w:val="en-US"/>
      </w:rPr>
      <w:t>LHE/25/</w:t>
    </w:r>
    <w:bookmarkStart w:id="3" w:name="_Hlk94624970"/>
    <w:r w:rsidRPr="00A46460">
      <w:rPr>
        <w:rFonts w:ascii="Arial" w:hAnsi="Arial"/>
        <w:b/>
        <w:sz w:val="22"/>
        <w:lang w:val="en-US"/>
      </w:rPr>
      <w:t>EXP THEMA-URBAN/3</w:t>
    </w:r>
  </w:p>
  <w:bookmarkEnd w:id="3"/>
  <w:p w14:paraId="1B4446C3" w14:textId="7C94A6B7" w:rsidR="00D95C4C" w:rsidRPr="00D7105A" w:rsidRDefault="00D95C4C" w:rsidP="00655736">
    <w:pPr>
      <w:jc w:val="right"/>
      <w:rPr>
        <w:rFonts w:ascii="Arial" w:eastAsiaTheme="minorEastAsia" w:hAnsi="Arial" w:cs="Arial"/>
        <w:b/>
        <w:sz w:val="22"/>
        <w:szCs w:val="22"/>
      </w:rPr>
    </w:pPr>
    <w:proofErr w:type="gramStart"/>
    <w:r>
      <w:rPr>
        <w:rFonts w:ascii="Arial" w:hAnsi="Arial"/>
        <w:b/>
        <w:sz w:val="22"/>
      </w:rPr>
      <w:t>Paris</w:t>
    </w:r>
    <w:r w:rsidRPr="006357C6">
      <w:rPr>
        <w:rFonts w:ascii="Arial" w:hAnsi="Arial"/>
        <w:b/>
        <w:sz w:val="22"/>
      </w:rPr>
      <w:t xml:space="preserve">, </w:t>
    </w:r>
    <w:r w:rsidRPr="004D04CE">
      <w:rPr>
        <w:rFonts w:ascii="Arial" w:hAnsi="Arial"/>
        <w:b/>
        <w:sz w:val="22"/>
      </w:rPr>
      <w:t xml:space="preserve"> </w:t>
    </w:r>
    <w:r w:rsidR="006357C6" w:rsidRPr="006357C6">
      <w:rPr>
        <w:rFonts w:ascii="Arial" w:hAnsi="Arial"/>
        <w:b/>
        <w:sz w:val="22"/>
      </w:rPr>
      <w:t>12</w:t>
    </w:r>
    <w:proofErr w:type="gramEnd"/>
    <w:r w:rsidR="006357C6">
      <w:rPr>
        <w:rFonts w:ascii="Arial" w:hAnsi="Arial"/>
        <w:b/>
        <w:sz w:val="22"/>
      </w:rPr>
      <w:t xml:space="preserve"> </w:t>
    </w:r>
    <w:r>
      <w:rPr>
        <w:rFonts w:ascii="Arial" w:hAnsi="Arial"/>
        <w:b/>
        <w:sz w:val="22"/>
      </w:rPr>
      <w:t>juin 2025</w:t>
    </w:r>
  </w:p>
  <w:p w14:paraId="255B57FF" w14:textId="6DCCA7F3" w:rsidR="00D95C4C" w:rsidRPr="00151E44" w:rsidRDefault="00D95C4C" w:rsidP="00962034">
    <w:pPr>
      <w:spacing w:after="120"/>
      <w:jc w:val="right"/>
      <w:rPr>
        <w:rFonts w:ascii="Arial" w:hAnsi="Arial" w:cs="Arial"/>
        <w:b/>
        <w:sz w:val="22"/>
        <w:szCs w:val="22"/>
      </w:rPr>
    </w:pPr>
    <w:r>
      <w:rPr>
        <w:rFonts w:ascii="Arial" w:hAnsi="Arial"/>
        <w:b/>
        <w:sz w:val="22"/>
      </w:rPr>
      <w:t xml:space="preserve">Original : </w:t>
    </w:r>
    <w:r w:rsidR="006E71B3">
      <w:rPr>
        <w:rFonts w:ascii="Arial" w:hAnsi="Arial"/>
        <w:b/>
        <w:sz w:val="22"/>
      </w:rPr>
      <w:t>a</w:t>
    </w:r>
    <w:r>
      <w:rPr>
        <w:rFonts w:ascii="Arial" w:hAnsi="Arial"/>
        <w:b/>
        <w:sz w:val="22"/>
      </w:rPr>
      <w:t>nglais</w:t>
    </w:r>
  </w:p>
  <w:p w14:paraId="3C4B8B1B" w14:textId="77777777" w:rsidR="00D95C4C" w:rsidRPr="004D04CE"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670404"/>
    <w:multiLevelType w:val="hybridMultilevel"/>
    <w:tmpl w:val="0FB29D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482EC0"/>
    <w:multiLevelType w:val="hybridMultilevel"/>
    <w:tmpl w:val="88F6D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1"/>
  </w:num>
  <w:num w:numId="3" w16cid:durableId="347945616">
    <w:abstractNumId w:val="2"/>
  </w:num>
  <w:num w:numId="4" w16cid:durableId="1119109097">
    <w:abstractNumId w:val="3"/>
  </w:num>
  <w:num w:numId="5" w16cid:durableId="1445689247">
    <w:abstractNumId w:val="6"/>
  </w:num>
  <w:num w:numId="6" w16cid:durableId="1965043671">
    <w:abstractNumId w:val="4"/>
  </w:num>
  <w:num w:numId="7" w16cid:durableId="20079008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2DD"/>
    <w:rsid w:val="00001449"/>
    <w:rsid w:val="000048ED"/>
    <w:rsid w:val="00014915"/>
    <w:rsid w:val="00035666"/>
    <w:rsid w:val="0003578A"/>
    <w:rsid w:val="00041A66"/>
    <w:rsid w:val="00042D88"/>
    <w:rsid w:val="0005176E"/>
    <w:rsid w:val="000557C9"/>
    <w:rsid w:val="00056F09"/>
    <w:rsid w:val="00060557"/>
    <w:rsid w:val="000765F7"/>
    <w:rsid w:val="00077AB7"/>
    <w:rsid w:val="00081888"/>
    <w:rsid w:val="00081CD8"/>
    <w:rsid w:val="00091385"/>
    <w:rsid w:val="00094640"/>
    <w:rsid w:val="000A2C61"/>
    <w:rsid w:val="000A7F0E"/>
    <w:rsid w:val="000B1C8F"/>
    <w:rsid w:val="000B4280"/>
    <w:rsid w:val="000C0D61"/>
    <w:rsid w:val="000E025A"/>
    <w:rsid w:val="000E06A3"/>
    <w:rsid w:val="000F3A3F"/>
    <w:rsid w:val="000F7A45"/>
    <w:rsid w:val="001002C3"/>
    <w:rsid w:val="00102557"/>
    <w:rsid w:val="00151E44"/>
    <w:rsid w:val="0015219D"/>
    <w:rsid w:val="001543CA"/>
    <w:rsid w:val="0015772D"/>
    <w:rsid w:val="001577FF"/>
    <w:rsid w:val="00164D56"/>
    <w:rsid w:val="00167B10"/>
    <w:rsid w:val="00167EE7"/>
    <w:rsid w:val="0017402F"/>
    <w:rsid w:val="00190205"/>
    <w:rsid w:val="00196C1B"/>
    <w:rsid w:val="001A7CDA"/>
    <w:rsid w:val="001B0F73"/>
    <w:rsid w:val="001C2DB7"/>
    <w:rsid w:val="001D14FE"/>
    <w:rsid w:val="001D5C04"/>
    <w:rsid w:val="001F26CF"/>
    <w:rsid w:val="001F4E62"/>
    <w:rsid w:val="001F70DD"/>
    <w:rsid w:val="00200DA8"/>
    <w:rsid w:val="00200EDD"/>
    <w:rsid w:val="00222A2D"/>
    <w:rsid w:val="00223029"/>
    <w:rsid w:val="00223257"/>
    <w:rsid w:val="00224EA6"/>
    <w:rsid w:val="002337F4"/>
    <w:rsid w:val="00234745"/>
    <w:rsid w:val="002351A6"/>
    <w:rsid w:val="002407AF"/>
    <w:rsid w:val="0025640D"/>
    <w:rsid w:val="00260F30"/>
    <w:rsid w:val="0026221A"/>
    <w:rsid w:val="0027466B"/>
    <w:rsid w:val="00276943"/>
    <w:rsid w:val="002838A5"/>
    <w:rsid w:val="00285BB4"/>
    <w:rsid w:val="00287C51"/>
    <w:rsid w:val="002975A7"/>
    <w:rsid w:val="002A4D71"/>
    <w:rsid w:val="002C09E3"/>
    <w:rsid w:val="002D1244"/>
    <w:rsid w:val="002D1986"/>
    <w:rsid w:val="002F7A8B"/>
    <w:rsid w:val="0031456C"/>
    <w:rsid w:val="00325583"/>
    <w:rsid w:val="00332D1F"/>
    <w:rsid w:val="003340BD"/>
    <w:rsid w:val="003373CB"/>
    <w:rsid w:val="00337CEB"/>
    <w:rsid w:val="00344B58"/>
    <w:rsid w:val="0034539A"/>
    <w:rsid w:val="00345CB4"/>
    <w:rsid w:val="003550C3"/>
    <w:rsid w:val="00360422"/>
    <w:rsid w:val="00375D42"/>
    <w:rsid w:val="00386178"/>
    <w:rsid w:val="003B7522"/>
    <w:rsid w:val="003C3534"/>
    <w:rsid w:val="003C60C6"/>
    <w:rsid w:val="003D069C"/>
    <w:rsid w:val="003D64E3"/>
    <w:rsid w:val="003D7646"/>
    <w:rsid w:val="003E6148"/>
    <w:rsid w:val="003F113A"/>
    <w:rsid w:val="003F37A1"/>
    <w:rsid w:val="003F3E63"/>
    <w:rsid w:val="003F5AF7"/>
    <w:rsid w:val="003F7D51"/>
    <w:rsid w:val="00407480"/>
    <w:rsid w:val="00414643"/>
    <w:rsid w:val="004328F5"/>
    <w:rsid w:val="004421E5"/>
    <w:rsid w:val="00452284"/>
    <w:rsid w:val="00455314"/>
    <w:rsid w:val="00457C8E"/>
    <w:rsid w:val="00481669"/>
    <w:rsid w:val="004856CA"/>
    <w:rsid w:val="00487E67"/>
    <w:rsid w:val="0049705E"/>
    <w:rsid w:val="004A2875"/>
    <w:rsid w:val="004A34A0"/>
    <w:rsid w:val="004A754A"/>
    <w:rsid w:val="004C74DD"/>
    <w:rsid w:val="004C7C82"/>
    <w:rsid w:val="004D04CE"/>
    <w:rsid w:val="004E1760"/>
    <w:rsid w:val="005008A8"/>
    <w:rsid w:val="00505C6A"/>
    <w:rsid w:val="0050604F"/>
    <w:rsid w:val="00515CBE"/>
    <w:rsid w:val="00517FD8"/>
    <w:rsid w:val="00526B7B"/>
    <w:rsid w:val="00530777"/>
    <w:rsid w:val="005308CE"/>
    <w:rsid w:val="0053318C"/>
    <w:rsid w:val="0054619E"/>
    <w:rsid w:val="005561B8"/>
    <w:rsid w:val="0055661F"/>
    <w:rsid w:val="00560BB8"/>
    <w:rsid w:val="0056538E"/>
    <w:rsid w:val="00565419"/>
    <w:rsid w:val="0057439C"/>
    <w:rsid w:val="00575971"/>
    <w:rsid w:val="00595881"/>
    <w:rsid w:val="005B0127"/>
    <w:rsid w:val="005B7A35"/>
    <w:rsid w:val="005C1AFC"/>
    <w:rsid w:val="005C4B73"/>
    <w:rsid w:val="005E1D2B"/>
    <w:rsid w:val="005E7074"/>
    <w:rsid w:val="005F2BAF"/>
    <w:rsid w:val="00600D93"/>
    <w:rsid w:val="006152F5"/>
    <w:rsid w:val="00621F9C"/>
    <w:rsid w:val="00626BEA"/>
    <w:rsid w:val="0063300C"/>
    <w:rsid w:val="006357C6"/>
    <w:rsid w:val="00650359"/>
    <w:rsid w:val="00651A5B"/>
    <w:rsid w:val="00655736"/>
    <w:rsid w:val="00656A6B"/>
    <w:rsid w:val="00660226"/>
    <w:rsid w:val="00663B8D"/>
    <w:rsid w:val="00665773"/>
    <w:rsid w:val="00673890"/>
    <w:rsid w:val="006754BF"/>
    <w:rsid w:val="00696C8D"/>
    <w:rsid w:val="006A2AC2"/>
    <w:rsid w:val="006A3617"/>
    <w:rsid w:val="006B4452"/>
    <w:rsid w:val="006C3266"/>
    <w:rsid w:val="006C467D"/>
    <w:rsid w:val="006E12F0"/>
    <w:rsid w:val="006E142D"/>
    <w:rsid w:val="006E46E4"/>
    <w:rsid w:val="006E627E"/>
    <w:rsid w:val="006E71B3"/>
    <w:rsid w:val="006E75EB"/>
    <w:rsid w:val="00706DC1"/>
    <w:rsid w:val="007123A6"/>
    <w:rsid w:val="00717DA5"/>
    <w:rsid w:val="00720463"/>
    <w:rsid w:val="00724910"/>
    <w:rsid w:val="00724967"/>
    <w:rsid w:val="00744484"/>
    <w:rsid w:val="00745EB7"/>
    <w:rsid w:val="00747566"/>
    <w:rsid w:val="00772BAF"/>
    <w:rsid w:val="00773188"/>
    <w:rsid w:val="0077621C"/>
    <w:rsid w:val="00783782"/>
    <w:rsid w:val="00784B8C"/>
    <w:rsid w:val="00784D93"/>
    <w:rsid w:val="007879E1"/>
    <w:rsid w:val="007C3F01"/>
    <w:rsid w:val="007D12C9"/>
    <w:rsid w:val="007D3BB2"/>
    <w:rsid w:val="007E611B"/>
    <w:rsid w:val="00823A11"/>
    <w:rsid w:val="0084403C"/>
    <w:rsid w:val="008441AF"/>
    <w:rsid w:val="0085188D"/>
    <w:rsid w:val="0085339D"/>
    <w:rsid w:val="0085405E"/>
    <w:rsid w:val="0085414A"/>
    <w:rsid w:val="0085720B"/>
    <w:rsid w:val="00857EB9"/>
    <w:rsid w:val="0086269D"/>
    <w:rsid w:val="0086543A"/>
    <w:rsid w:val="008724E5"/>
    <w:rsid w:val="00884A9D"/>
    <w:rsid w:val="0088512B"/>
    <w:rsid w:val="00892DDB"/>
    <w:rsid w:val="00893047"/>
    <w:rsid w:val="008A1C17"/>
    <w:rsid w:val="008A2B2D"/>
    <w:rsid w:val="008A4E1E"/>
    <w:rsid w:val="008B5624"/>
    <w:rsid w:val="008C296C"/>
    <w:rsid w:val="008D0A18"/>
    <w:rsid w:val="008D21E5"/>
    <w:rsid w:val="008D2832"/>
    <w:rsid w:val="008D32C9"/>
    <w:rsid w:val="008D4305"/>
    <w:rsid w:val="008D5F8E"/>
    <w:rsid w:val="008D640C"/>
    <w:rsid w:val="008E1A85"/>
    <w:rsid w:val="008E33B2"/>
    <w:rsid w:val="008F22BA"/>
    <w:rsid w:val="00901309"/>
    <w:rsid w:val="00913942"/>
    <w:rsid w:val="00914BF3"/>
    <w:rsid w:val="009163A7"/>
    <w:rsid w:val="009211BD"/>
    <w:rsid w:val="00932E06"/>
    <w:rsid w:val="00946D0B"/>
    <w:rsid w:val="00955877"/>
    <w:rsid w:val="00962034"/>
    <w:rsid w:val="00970EBA"/>
    <w:rsid w:val="009711C3"/>
    <w:rsid w:val="00980B41"/>
    <w:rsid w:val="00984299"/>
    <w:rsid w:val="009A18CD"/>
    <w:rsid w:val="009A1E8E"/>
    <w:rsid w:val="009B659F"/>
    <w:rsid w:val="009D3C07"/>
    <w:rsid w:val="009D5428"/>
    <w:rsid w:val="00A12558"/>
    <w:rsid w:val="00A13903"/>
    <w:rsid w:val="00A16FD5"/>
    <w:rsid w:val="00A34ED5"/>
    <w:rsid w:val="00A45734"/>
    <w:rsid w:val="00A45DBF"/>
    <w:rsid w:val="00A46414"/>
    <w:rsid w:val="00A46460"/>
    <w:rsid w:val="00A50FFA"/>
    <w:rsid w:val="00A53F11"/>
    <w:rsid w:val="00A725CF"/>
    <w:rsid w:val="00A755A2"/>
    <w:rsid w:val="00AA6660"/>
    <w:rsid w:val="00AB2C36"/>
    <w:rsid w:val="00AB6DDE"/>
    <w:rsid w:val="00AB70B6"/>
    <w:rsid w:val="00AD1A86"/>
    <w:rsid w:val="00AD785B"/>
    <w:rsid w:val="00AE103E"/>
    <w:rsid w:val="00AE33FA"/>
    <w:rsid w:val="00AE3AC5"/>
    <w:rsid w:val="00AF0A07"/>
    <w:rsid w:val="00AF1041"/>
    <w:rsid w:val="00AF14D9"/>
    <w:rsid w:val="00AF4AEC"/>
    <w:rsid w:val="00AF625E"/>
    <w:rsid w:val="00AF70EC"/>
    <w:rsid w:val="00B139BE"/>
    <w:rsid w:val="00B15750"/>
    <w:rsid w:val="00B2172B"/>
    <w:rsid w:val="00B23CDE"/>
    <w:rsid w:val="00B27908"/>
    <w:rsid w:val="00B40B60"/>
    <w:rsid w:val="00B40E0F"/>
    <w:rsid w:val="00B42767"/>
    <w:rsid w:val="00B5370B"/>
    <w:rsid w:val="00B60ED4"/>
    <w:rsid w:val="00B703F1"/>
    <w:rsid w:val="00B862BB"/>
    <w:rsid w:val="00B9146E"/>
    <w:rsid w:val="00B917D2"/>
    <w:rsid w:val="00BA241A"/>
    <w:rsid w:val="00BA7EFF"/>
    <w:rsid w:val="00BB04AF"/>
    <w:rsid w:val="00BB57EE"/>
    <w:rsid w:val="00BC65D7"/>
    <w:rsid w:val="00BD52C9"/>
    <w:rsid w:val="00BE6354"/>
    <w:rsid w:val="00BF6276"/>
    <w:rsid w:val="00C021E3"/>
    <w:rsid w:val="00C138D1"/>
    <w:rsid w:val="00C22B32"/>
    <w:rsid w:val="00C23A97"/>
    <w:rsid w:val="00C244CC"/>
    <w:rsid w:val="00C25B18"/>
    <w:rsid w:val="00C33081"/>
    <w:rsid w:val="00C406CB"/>
    <w:rsid w:val="00C4185F"/>
    <w:rsid w:val="00C52EBE"/>
    <w:rsid w:val="00C5743C"/>
    <w:rsid w:val="00C5776D"/>
    <w:rsid w:val="00C64855"/>
    <w:rsid w:val="00C65196"/>
    <w:rsid w:val="00C70EA7"/>
    <w:rsid w:val="00C7433F"/>
    <w:rsid w:val="00C7516E"/>
    <w:rsid w:val="00C75374"/>
    <w:rsid w:val="00C75770"/>
    <w:rsid w:val="00C855EF"/>
    <w:rsid w:val="00C9225A"/>
    <w:rsid w:val="00CA56BB"/>
    <w:rsid w:val="00CB0542"/>
    <w:rsid w:val="00CB196F"/>
    <w:rsid w:val="00CB2896"/>
    <w:rsid w:val="00CB3740"/>
    <w:rsid w:val="00CC20FA"/>
    <w:rsid w:val="00CD376A"/>
    <w:rsid w:val="00CD5579"/>
    <w:rsid w:val="00CE488F"/>
    <w:rsid w:val="00CE71E5"/>
    <w:rsid w:val="00CE7A40"/>
    <w:rsid w:val="00D00B2B"/>
    <w:rsid w:val="00D01269"/>
    <w:rsid w:val="00D15121"/>
    <w:rsid w:val="00D24877"/>
    <w:rsid w:val="00D41AA1"/>
    <w:rsid w:val="00D43AC8"/>
    <w:rsid w:val="00D44A25"/>
    <w:rsid w:val="00D51E66"/>
    <w:rsid w:val="00D53E1F"/>
    <w:rsid w:val="00D70BB7"/>
    <w:rsid w:val="00D7105A"/>
    <w:rsid w:val="00D77624"/>
    <w:rsid w:val="00D8250F"/>
    <w:rsid w:val="00D86BB3"/>
    <w:rsid w:val="00D95C4C"/>
    <w:rsid w:val="00DA36ED"/>
    <w:rsid w:val="00DA752B"/>
    <w:rsid w:val="00DB0DA1"/>
    <w:rsid w:val="00DB48FE"/>
    <w:rsid w:val="00DD4BFB"/>
    <w:rsid w:val="00DE34F1"/>
    <w:rsid w:val="00DE6160"/>
    <w:rsid w:val="00DF23DD"/>
    <w:rsid w:val="00DF4942"/>
    <w:rsid w:val="00E00398"/>
    <w:rsid w:val="00E019FC"/>
    <w:rsid w:val="00E06C70"/>
    <w:rsid w:val="00E16EFD"/>
    <w:rsid w:val="00E2125F"/>
    <w:rsid w:val="00E244E1"/>
    <w:rsid w:val="00E31D68"/>
    <w:rsid w:val="00E41158"/>
    <w:rsid w:val="00E4150C"/>
    <w:rsid w:val="00E559A5"/>
    <w:rsid w:val="00E60876"/>
    <w:rsid w:val="00E61F10"/>
    <w:rsid w:val="00E627B1"/>
    <w:rsid w:val="00E70169"/>
    <w:rsid w:val="00E824B3"/>
    <w:rsid w:val="00E9376C"/>
    <w:rsid w:val="00E948A7"/>
    <w:rsid w:val="00E95AE2"/>
    <w:rsid w:val="00EA335E"/>
    <w:rsid w:val="00EA528C"/>
    <w:rsid w:val="00EA580C"/>
    <w:rsid w:val="00EC6F8D"/>
    <w:rsid w:val="00ED39B2"/>
    <w:rsid w:val="00ED5CDA"/>
    <w:rsid w:val="00EE49F4"/>
    <w:rsid w:val="00EE5D7D"/>
    <w:rsid w:val="00EF2950"/>
    <w:rsid w:val="00EF34E2"/>
    <w:rsid w:val="00F1741E"/>
    <w:rsid w:val="00F26446"/>
    <w:rsid w:val="00F30DC6"/>
    <w:rsid w:val="00F32C23"/>
    <w:rsid w:val="00F365AA"/>
    <w:rsid w:val="00F40CE4"/>
    <w:rsid w:val="00F45B84"/>
    <w:rsid w:val="00F53DE9"/>
    <w:rsid w:val="00F56FA1"/>
    <w:rsid w:val="00F576CB"/>
    <w:rsid w:val="00F7035D"/>
    <w:rsid w:val="00F71A02"/>
    <w:rsid w:val="00F83239"/>
    <w:rsid w:val="00F855F2"/>
    <w:rsid w:val="00F92792"/>
    <w:rsid w:val="00F9386F"/>
    <w:rsid w:val="00FA0D63"/>
    <w:rsid w:val="00FA57E5"/>
    <w:rsid w:val="00FB0CA8"/>
    <w:rsid w:val="00FB12F7"/>
    <w:rsid w:val="00FC4596"/>
    <w:rsid w:val="00FD1226"/>
    <w:rsid w:val="00FE4DD5"/>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character" w:styleId="Hyperlink">
    <w:name w:val="Hyperlink"/>
    <w:basedOn w:val="DefaultParagraphFont"/>
    <w:unhideWhenUsed/>
    <w:rsid w:val="007E611B"/>
    <w:rPr>
      <w:color w:val="0000FF" w:themeColor="hyperlink"/>
      <w:u w:val="single"/>
    </w:rPr>
  </w:style>
  <w:style w:type="character" w:styleId="UnresolvedMention">
    <w:name w:val="Unresolved Mention"/>
    <w:basedOn w:val="DefaultParagraphFont"/>
    <w:uiPriority w:val="99"/>
    <w:semiHidden/>
    <w:unhideWhenUsed/>
    <w:rsid w:val="0015219D"/>
    <w:rPr>
      <w:color w:val="605E5C"/>
      <w:shd w:val="clear" w:color="auto" w:fill="E1DFDD"/>
    </w:rPr>
  </w:style>
  <w:style w:type="paragraph" w:styleId="Revision">
    <w:name w:val="Revision"/>
    <w:hidden/>
    <w:uiPriority w:val="99"/>
    <w:semiHidden/>
    <w:rsid w:val="00932E0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B57EE"/>
    <w:rPr>
      <w:color w:val="800080" w:themeColor="followedHyperlink"/>
      <w:u w:val="single"/>
    </w:rPr>
  </w:style>
  <w:style w:type="paragraph" w:styleId="FootnoteText">
    <w:name w:val="footnote text"/>
    <w:basedOn w:val="Normal"/>
    <w:link w:val="FootnoteTextChar"/>
    <w:uiPriority w:val="99"/>
    <w:semiHidden/>
    <w:unhideWhenUsed/>
    <w:rsid w:val="00CD5579"/>
    <w:rPr>
      <w:sz w:val="20"/>
      <w:szCs w:val="20"/>
    </w:rPr>
  </w:style>
  <w:style w:type="character" w:customStyle="1" w:styleId="FootnoteTextChar">
    <w:name w:val="Footnote Text Char"/>
    <w:basedOn w:val="DefaultParagraphFont"/>
    <w:link w:val="FootnoteText"/>
    <w:uiPriority w:val="99"/>
    <w:semiHidden/>
    <w:rsid w:val="00CD5579"/>
    <w:rPr>
      <w:rFonts w:ascii="Times New Roman" w:eastAsia="Times New Roman" w:hAnsi="Times New Roman"/>
    </w:rPr>
  </w:style>
  <w:style w:type="character" w:styleId="FootnoteReference">
    <w:name w:val="footnote reference"/>
    <w:basedOn w:val="DefaultParagraphFont"/>
    <w:uiPriority w:val="99"/>
    <w:semiHidden/>
    <w:unhideWhenUsed/>
    <w:rsid w:val="00CD5579"/>
    <w:rPr>
      <w:vertAlign w:val="superscript"/>
    </w:rPr>
  </w:style>
  <w:style w:type="character" w:styleId="CommentReference">
    <w:name w:val="annotation reference"/>
    <w:basedOn w:val="DefaultParagraphFont"/>
    <w:uiPriority w:val="99"/>
    <w:semiHidden/>
    <w:unhideWhenUsed/>
    <w:rsid w:val="00200EDD"/>
    <w:rPr>
      <w:sz w:val="16"/>
      <w:szCs w:val="16"/>
    </w:rPr>
  </w:style>
  <w:style w:type="paragraph" w:styleId="CommentText">
    <w:name w:val="annotation text"/>
    <w:basedOn w:val="Normal"/>
    <w:link w:val="CommentTextChar"/>
    <w:uiPriority w:val="99"/>
    <w:unhideWhenUsed/>
    <w:rsid w:val="00200EDD"/>
    <w:rPr>
      <w:sz w:val="20"/>
      <w:szCs w:val="20"/>
    </w:rPr>
  </w:style>
  <w:style w:type="character" w:customStyle="1" w:styleId="CommentTextChar">
    <w:name w:val="Comment Text Char"/>
    <w:basedOn w:val="DefaultParagraphFont"/>
    <w:link w:val="CommentText"/>
    <w:uiPriority w:val="99"/>
    <w:rsid w:val="00200ED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00EDD"/>
    <w:rPr>
      <w:b/>
      <w:bCs/>
    </w:rPr>
  </w:style>
  <w:style w:type="character" w:customStyle="1" w:styleId="CommentSubjectChar">
    <w:name w:val="Comment Subject Char"/>
    <w:basedOn w:val="CommentTextChar"/>
    <w:link w:val="CommentSubject"/>
    <w:uiPriority w:val="99"/>
    <w:semiHidden/>
    <w:rsid w:val="00200ED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779915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53646905">
      <w:bodyDiv w:val="1"/>
      <w:marLeft w:val="0"/>
      <w:marRight w:val="0"/>
      <w:marTop w:val="0"/>
      <w:marBottom w:val="0"/>
      <w:divBdr>
        <w:top w:val="none" w:sz="0" w:space="0" w:color="auto"/>
        <w:left w:val="none" w:sz="0" w:space="0" w:color="auto"/>
        <w:bottom w:val="none" w:sz="0" w:space="0" w:color="auto"/>
        <w:right w:val="none" w:sz="0" w:space="0" w:color="auto"/>
      </w:divBdr>
    </w:div>
    <w:div w:id="1498494643">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5957109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9.GA/6" TargetMode="External"/><Relationship Id="rId13" Type="http://schemas.openxmlformats.org/officeDocument/2006/relationships/hyperlink" Target="https://www.unesco.org/fr/mondiacult2022" TargetMode="External"/><Relationship Id="rId18" Type="http://schemas.openxmlformats.org/officeDocument/2006/relationships/hyperlink" Target="https://www.un.org/en/development/desa/policy/untaskteam_undf/groupb_unhabitat_suscities.pdf" TargetMode="External"/><Relationship Id="rId26" Type="http://schemas.openxmlformats.org/officeDocument/2006/relationships/hyperlink" Target="https://ich.unesco.org/doc/src/Case_study_(CS)_3._Cape_Town,_South_Africa_EN.docx" TargetMode="External"/><Relationship Id="rId3" Type="http://schemas.openxmlformats.org/officeDocument/2006/relationships/styles" Target="styles.xml"/><Relationship Id="rId21" Type="http://schemas.openxmlformats.org/officeDocument/2006/relationships/hyperlink" Target="https://ich.unesco.org/fr/evenements/formation-de-formateurs-sur-le-patrimoine-vivant-et-le-developpement-urbain-durable-0102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fr/decisions/19.COM/11" TargetMode="External"/><Relationship Id="rId17" Type="http://schemas.openxmlformats.org/officeDocument/2006/relationships/hyperlink" Target="https://ich.unesco.org/fr/expert-meeting-on-urban-contexts-01405" TargetMode="External"/><Relationship Id="rId25" Type="http://schemas.openxmlformats.org/officeDocument/2006/relationships/hyperlink" Target="https://ich.unesco.org/doc/src/Estudio_de_caso_(EC)_2._Bogot%C3%A1,_Colombia_ES.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s.un.org/doc/undoc/gen/n24/272/22/pdf/n2427222.pdf" TargetMode="External"/><Relationship Id="rId20" Type="http://schemas.openxmlformats.org/officeDocument/2006/relationships/hyperlink" Target="https://www.unesco.org/fr/creative-cities" TargetMode="External"/><Relationship Id="rId29" Type="http://schemas.openxmlformats.org/officeDocument/2006/relationships/hyperlink" Target="https://ich.unesco.org/doc/src/Estudio_de_caso_(EC)_4._As-Salt,_Jordania_E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8.COM/12" TargetMode="External"/><Relationship Id="rId24" Type="http://schemas.openxmlformats.org/officeDocument/2006/relationships/hyperlink" Target="https://ich.unesco.org/doc/src/Case_study_(CS)_2._Bogota,_Colombia_EN.docx"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nesco.org/en/articles/unesco-welcomes-g7-declaration-culture-ministers" TargetMode="External"/><Relationship Id="rId23" Type="http://schemas.openxmlformats.org/officeDocument/2006/relationships/hyperlink" Target="https://ich.unesco.org/doc/src/Estudio_de_caso_(EC)_1._Singapur_ES.docx" TargetMode="External"/><Relationship Id="rId28" Type="http://schemas.openxmlformats.org/officeDocument/2006/relationships/hyperlink" Target="https://ich.unesco.org/doc/src/Case_study_(CS)_4._As-Salt,_Jordan_EN.docx" TargetMode="External"/><Relationship Id="rId10" Type="http://schemas.openxmlformats.org/officeDocument/2006/relationships/hyperlink" Target="https://ich.unesco.org/fr/Decisions/17.COM/13" TargetMode="External"/><Relationship Id="rId19" Type="http://schemas.openxmlformats.org/officeDocument/2006/relationships/hyperlink" Target="https://whc.unesco.org/fr/hu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fr/Decisions/16.COM/5.b" TargetMode="External"/><Relationship Id="rId14" Type="http://schemas.openxmlformats.org/officeDocument/2006/relationships/hyperlink" Target="https://www.unesco.org/fr/g20" TargetMode="External"/><Relationship Id="rId22" Type="http://schemas.openxmlformats.org/officeDocument/2006/relationships/hyperlink" Target="https://ich.unesco.org/doc/src/Case_study_(CS)_1._Singapore_EN.docx" TargetMode="External"/><Relationship Id="rId27" Type="http://schemas.openxmlformats.org/officeDocument/2006/relationships/hyperlink" Target="https://ich.unesco.org/doc/src/Estudio_de_caso_(EC)_3._Ciudad_del_Cabo,_Sud%C3%A1frica_ES.docx" TargetMode="External"/><Relationship Id="rId3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1055</TotalTime>
  <Pages>6</Pages>
  <Words>3490</Words>
  <Characters>19897</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Tan, Nicholas</cp:lastModifiedBy>
  <cp:revision>118</cp:revision>
  <cp:lastPrinted>2011-08-06T10:22:00Z</cp:lastPrinted>
  <dcterms:created xsi:type="dcterms:W3CDTF">2024-03-26T13:04:00Z</dcterms:created>
  <dcterms:modified xsi:type="dcterms:W3CDTF">2025-06-12T18:24:00Z</dcterms:modified>
</cp:coreProperties>
</file>