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Ind w:w="0" w:type="dxa"/>
        <w:tblLook w:val="04A0" w:firstRow="1" w:lastRow="0" w:firstColumn="1" w:lastColumn="0" w:noHBand="0" w:noVBand="1"/>
      </w:tblPr>
      <w:tblGrid>
        <w:gridCol w:w="4819"/>
        <w:gridCol w:w="4819"/>
      </w:tblGrid>
      <w:tr w:rsidR="00A50FFA" w:rsidRPr="00332D1F" w14:paraId="7432DA8D" w14:textId="77777777" w:rsidTr="000E06A3">
        <w:tc>
          <w:tcPr>
            <w:tcW w:w="4927" w:type="dxa"/>
            <w:tcBorders>
              <w:top w:val="nil"/>
              <w:left w:val="nil"/>
              <w:bottom w:val="nil"/>
              <w:right w:val="nil"/>
            </w:tcBorders>
          </w:tcPr>
          <w:p w14:paraId="024B4961" w14:textId="02E76C39" w:rsidR="00A50FFA" w:rsidRPr="00E95AE2" w:rsidRDefault="00A50FFA" w:rsidP="00724FB2">
            <w:pPr>
              <w:rPr>
                <w:rFonts w:ascii="Arial" w:hAnsi="Arial" w:cs="Arial"/>
                <w:bCs/>
                <w:sz w:val="22"/>
                <w:szCs w:val="22"/>
                <w:lang w:val="en-GB"/>
              </w:rPr>
            </w:pPr>
          </w:p>
        </w:tc>
        <w:tc>
          <w:tcPr>
            <w:tcW w:w="4927" w:type="dxa"/>
            <w:tcBorders>
              <w:top w:val="nil"/>
              <w:left w:val="nil"/>
              <w:bottom w:val="nil"/>
              <w:right w:val="nil"/>
            </w:tcBorders>
          </w:tcPr>
          <w:p w14:paraId="0D544049" w14:textId="323547E9" w:rsidR="00A50FFA" w:rsidRPr="00332D1F" w:rsidRDefault="00A50FFA" w:rsidP="00724FB2">
            <w:pPr>
              <w:spacing w:after="120"/>
              <w:rPr>
                <w:rFonts w:ascii="Arial" w:hAnsi="Arial" w:cs="Arial"/>
                <w:b/>
                <w:sz w:val="22"/>
                <w:szCs w:val="22"/>
                <w:lang w:val="pt-PT"/>
              </w:rPr>
            </w:pPr>
          </w:p>
        </w:tc>
      </w:tr>
    </w:tbl>
    <w:p w14:paraId="2485E36E" w14:textId="2C143DE3"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CONVENTION FOR THE SAFEGUARDING OF THE</w:t>
      </w:r>
      <w:r w:rsidRPr="00293C60">
        <w:rPr>
          <w:rFonts w:ascii="Arial" w:hAnsi="Arial" w:cs="Arial"/>
          <w:b/>
          <w:sz w:val="22"/>
          <w:szCs w:val="22"/>
          <w:lang w:val="en-GB"/>
        </w:rPr>
        <w:br/>
        <w:t>INTANGIBLE CULTURAL HERITAGE</w:t>
      </w:r>
    </w:p>
    <w:p w14:paraId="3D556B12" w14:textId="1BAF0AB7" w:rsidR="00091385" w:rsidRPr="00091385" w:rsidRDefault="00C9225A" w:rsidP="00CE71E5">
      <w:pPr>
        <w:spacing w:before="1200"/>
        <w:ind w:right="-1"/>
        <w:jc w:val="center"/>
        <w:rPr>
          <w:rFonts w:ascii="Arial" w:eastAsia="Calibri" w:hAnsi="Arial" w:cs="Arial"/>
          <w:b/>
          <w:bCs/>
          <w:sz w:val="22"/>
          <w:szCs w:val="22"/>
          <w:lang w:val="en-US" w:eastAsia="en-US"/>
        </w:rPr>
      </w:pPr>
      <w:bookmarkStart w:id="0" w:name="_Hlk70514086"/>
      <w:r w:rsidRPr="00C9225A">
        <w:rPr>
          <w:rFonts w:ascii="Arial" w:eastAsia="Calibri" w:hAnsi="Arial" w:cs="Arial"/>
          <w:b/>
          <w:bCs/>
          <w:sz w:val="22"/>
          <w:szCs w:val="22"/>
          <w:lang w:val="en-US"/>
        </w:rPr>
        <w:t xml:space="preserve">Expert meeting on </w:t>
      </w:r>
      <w:r w:rsidR="00CE71E5">
        <w:rPr>
          <w:rFonts w:ascii="Arial" w:eastAsia="Calibri" w:hAnsi="Arial" w:cs="Arial"/>
          <w:b/>
          <w:bCs/>
          <w:sz w:val="22"/>
          <w:szCs w:val="22"/>
          <w:lang w:val="en-US"/>
        </w:rPr>
        <w:t xml:space="preserve">safeguarding intangible cultural heritage </w:t>
      </w:r>
      <w:r w:rsidR="000557C9">
        <w:rPr>
          <w:rFonts w:ascii="Arial" w:eastAsia="Calibri" w:hAnsi="Arial" w:cs="Arial"/>
          <w:b/>
          <w:bCs/>
          <w:sz w:val="22"/>
          <w:szCs w:val="22"/>
          <w:lang w:val="en-US"/>
        </w:rPr>
        <w:t>in urban contexts</w:t>
      </w:r>
    </w:p>
    <w:bookmarkEnd w:id="0"/>
    <w:p w14:paraId="711FFA0E" w14:textId="7226FEDC" w:rsidR="0015772D" w:rsidRPr="00F45B84" w:rsidRDefault="000557C9" w:rsidP="003F37A1">
      <w:pPr>
        <w:spacing w:before="840"/>
        <w:jc w:val="center"/>
        <w:rPr>
          <w:rFonts w:ascii="Arial" w:eastAsia="Calibri" w:hAnsi="Arial" w:cs="Arial"/>
          <w:b/>
          <w:bCs/>
          <w:sz w:val="22"/>
          <w:szCs w:val="22"/>
          <w:lang w:val="en-US"/>
        </w:rPr>
      </w:pPr>
      <w:r>
        <w:rPr>
          <w:rFonts w:ascii="Arial" w:eastAsia="Calibri" w:hAnsi="Arial" w:cs="Arial"/>
          <w:b/>
          <w:bCs/>
          <w:sz w:val="22"/>
          <w:szCs w:val="22"/>
          <w:lang w:val="en-US"/>
        </w:rPr>
        <w:t>16</w:t>
      </w:r>
      <w:r w:rsidR="003F37A1">
        <w:rPr>
          <w:rFonts w:ascii="Arial" w:eastAsia="Calibri" w:hAnsi="Arial" w:cs="Arial"/>
          <w:b/>
          <w:bCs/>
          <w:sz w:val="22"/>
          <w:szCs w:val="22"/>
          <w:lang w:val="en-US"/>
        </w:rPr>
        <w:t xml:space="preserve"> –</w:t>
      </w:r>
      <w:r w:rsidR="0015772D" w:rsidRPr="00F45B84">
        <w:rPr>
          <w:rFonts w:ascii="Arial" w:eastAsia="Calibri" w:hAnsi="Arial" w:cs="Arial"/>
          <w:b/>
          <w:bCs/>
          <w:sz w:val="22"/>
          <w:szCs w:val="22"/>
          <w:lang w:val="en-US"/>
        </w:rPr>
        <w:t xml:space="preserve"> </w:t>
      </w:r>
      <w:r>
        <w:rPr>
          <w:rFonts w:ascii="Arial" w:eastAsia="Calibri" w:hAnsi="Arial" w:cs="Arial"/>
          <w:b/>
          <w:bCs/>
          <w:sz w:val="22"/>
          <w:szCs w:val="22"/>
          <w:lang w:val="en-US"/>
        </w:rPr>
        <w:t>17</w:t>
      </w:r>
      <w:r w:rsidR="003F37A1">
        <w:rPr>
          <w:rFonts w:ascii="Arial" w:eastAsia="Calibri" w:hAnsi="Arial" w:cs="Arial"/>
          <w:b/>
          <w:bCs/>
          <w:sz w:val="22"/>
          <w:szCs w:val="22"/>
          <w:lang w:val="en-US"/>
        </w:rPr>
        <w:t xml:space="preserve"> </w:t>
      </w:r>
      <w:r w:rsidR="00CE71E5">
        <w:rPr>
          <w:rFonts w:ascii="Arial" w:eastAsia="Calibri" w:hAnsi="Arial" w:cs="Arial"/>
          <w:b/>
          <w:bCs/>
          <w:sz w:val="22"/>
          <w:szCs w:val="22"/>
          <w:lang w:val="en-US"/>
        </w:rPr>
        <w:t>June</w:t>
      </w:r>
      <w:r w:rsidR="0015772D" w:rsidRPr="00F45B84">
        <w:rPr>
          <w:rFonts w:ascii="Arial" w:eastAsia="Calibri" w:hAnsi="Arial" w:cs="Arial"/>
          <w:b/>
          <w:bCs/>
          <w:sz w:val="22"/>
          <w:szCs w:val="22"/>
          <w:lang w:val="en-US"/>
        </w:rPr>
        <w:t xml:space="preserve"> </w:t>
      </w:r>
      <w:r>
        <w:rPr>
          <w:rFonts w:ascii="Arial" w:eastAsia="Calibri" w:hAnsi="Arial" w:cs="Arial"/>
          <w:b/>
          <w:bCs/>
          <w:sz w:val="22"/>
          <w:szCs w:val="22"/>
          <w:lang w:val="en-US"/>
        </w:rPr>
        <w:t>2025</w:t>
      </w:r>
      <w:r w:rsidR="003F37A1">
        <w:rPr>
          <w:rFonts w:ascii="Arial" w:eastAsia="Calibri" w:hAnsi="Arial" w:cs="Arial"/>
          <w:b/>
          <w:bCs/>
          <w:sz w:val="22"/>
          <w:szCs w:val="22"/>
          <w:lang w:val="en-US"/>
        </w:rPr>
        <w:t xml:space="preserve"> (Part I)</w:t>
      </w:r>
    </w:p>
    <w:p w14:paraId="72C8CFDD" w14:textId="3ACA7DD2" w:rsidR="0015772D" w:rsidRPr="00F45B84" w:rsidRDefault="0015772D" w:rsidP="0015772D">
      <w:pPr>
        <w:ind w:right="-1"/>
        <w:jc w:val="center"/>
        <w:rPr>
          <w:rFonts w:ascii="Arial" w:eastAsia="Calibri" w:hAnsi="Arial" w:cs="Arial"/>
          <w:b/>
          <w:bCs/>
          <w:sz w:val="22"/>
          <w:szCs w:val="22"/>
          <w:lang w:val="en-US"/>
        </w:rPr>
      </w:pPr>
      <w:r w:rsidRPr="00F45B84">
        <w:rPr>
          <w:rFonts w:ascii="Arial" w:eastAsia="Calibri" w:hAnsi="Arial" w:cs="Arial"/>
          <w:b/>
          <w:bCs/>
          <w:sz w:val="22"/>
          <w:szCs w:val="22"/>
          <w:lang w:val="en-US"/>
        </w:rPr>
        <w:t>UNESCO Headquarters, Paris</w:t>
      </w:r>
    </w:p>
    <w:p w14:paraId="1CDB36F7" w14:textId="5FBC9145" w:rsidR="0015772D" w:rsidRPr="00F45B84" w:rsidRDefault="000557C9" w:rsidP="0015772D">
      <w:pPr>
        <w:spacing w:before="360"/>
        <w:ind w:right="-1"/>
        <w:jc w:val="center"/>
        <w:rPr>
          <w:rFonts w:ascii="Arial" w:eastAsia="Calibri" w:hAnsi="Arial" w:cs="Arial"/>
          <w:b/>
          <w:bCs/>
          <w:sz w:val="22"/>
          <w:szCs w:val="22"/>
          <w:lang w:val="en-US"/>
        </w:rPr>
      </w:pPr>
      <w:r>
        <w:rPr>
          <w:rFonts w:ascii="Arial" w:eastAsia="Calibri" w:hAnsi="Arial" w:cs="Arial"/>
          <w:b/>
          <w:bCs/>
          <w:sz w:val="22"/>
          <w:szCs w:val="22"/>
          <w:lang w:val="en-US"/>
        </w:rPr>
        <w:t>18</w:t>
      </w:r>
      <w:r w:rsidR="0015772D" w:rsidRPr="00F45B84">
        <w:rPr>
          <w:rFonts w:ascii="Arial" w:eastAsia="Calibri" w:hAnsi="Arial" w:cs="Arial"/>
          <w:b/>
          <w:bCs/>
          <w:sz w:val="22"/>
          <w:szCs w:val="22"/>
          <w:lang w:val="en-US"/>
        </w:rPr>
        <w:t xml:space="preserve"> </w:t>
      </w:r>
      <w:r w:rsidR="00CE71E5">
        <w:rPr>
          <w:rFonts w:ascii="Arial" w:eastAsia="Calibri" w:hAnsi="Arial" w:cs="Arial"/>
          <w:b/>
          <w:bCs/>
          <w:sz w:val="22"/>
          <w:szCs w:val="22"/>
          <w:lang w:val="en-US"/>
        </w:rPr>
        <w:t>–</w:t>
      </w:r>
      <w:r w:rsidR="00CE71E5" w:rsidRPr="00F45B84">
        <w:rPr>
          <w:rFonts w:ascii="Arial" w:eastAsia="Calibri" w:hAnsi="Arial" w:cs="Arial"/>
          <w:b/>
          <w:bCs/>
          <w:sz w:val="22"/>
          <w:szCs w:val="22"/>
          <w:lang w:val="en-US"/>
        </w:rPr>
        <w:t xml:space="preserve"> </w:t>
      </w:r>
      <w:r>
        <w:rPr>
          <w:rFonts w:ascii="Arial" w:eastAsia="Calibri" w:hAnsi="Arial" w:cs="Arial"/>
          <w:b/>
          <w:bCs/>
          <w:sz w:val="22"/>
          <w:szCs w:val="22"/>
          <w:lang w:val="en-US"/>
        </w:rPr>
        <w:t>19</w:t>
      </w:r>
      <w:r w:rsidR="00CE71E5">
        <w:rPr>
          <w:rFonts w:ascii="Arial" w:eastAsia="Calibri" w:hAnsi="Arial" w:cs="Arial"/>
          <w:b/>
          <w:bCs/>
          <w:sz w:val="22"/>
          <w:szCs w:val="22"/>
          <w:lang w:val="en-US"/>
        </w:rPr>
        <w:t xml:space="preserve"> September</w:t>
      </w:r>
      <w:r w:rsidR="0015772D" w:rsidRPr="00F45B84">
        <w:rPr>
          <w:rFonts w:ascii="Arial" w:eastAsia="Calibri" w:hAnsi="Arial" w:cs="Arial"/>
          <w:b/>
          <w:bCs/>
          <w:sz w:val="22"/>
          <w:szCs w:val="22"/>
          <w:lang w:val="en-US"/>
        </w:rPr>
        <w:t xml:space="preserve"> </w:t>
      </w:r>
      <w:r>
        <w:rPr>
          <w:rFonts w:ascii="Arial" w:eastAsia="Calibri" w:hAnsi="Arial" w:cs="Arial"/>
          <w:b/>
          <w:bCs/>
          <w:sz w:val="22"/>
          <w:szCs w:val="22"/>
          <w:lang w:val="en-US"/>
        </w:rPr>
        <w:t>2025</w:t>
      </w:r>
      <w:r w:rsidR="003F37A1">
        <w:rPr>
          <w:rFonts w:ascii="Arial" w:eastAsia="Calibri" w:hAnsi="Arial" w:cs="Arial"/>
          <w:b/>
          <w:bCs/>
          <w:sz w:val="22"/>
          <w:szCs w:val="22"/>
          <w:lang w:val="en-US"/>
        </w:rPr>
        <w:t xml:space="preserve"> (Part II)</w:t>
      </w:r>
    </w:p>
    <w:p w14:paraId="20D867F1" w14:textId="0946B724" w:rsidR="0015772D" w:rsidRPr="00F45B84" w:rsidRDefault="0015772D" w:rsidP="003F37A1">
      <w:pPr>
        <w:spacing w:after="1200"/>
        <w:jc w:val="center"/>
        <w:rPr>
          <w:rFonts w:ascii="Arial" w:eastAsia="Calibri" w:hAnsi="Arial" w:cs="Arial"/>
          <w:b/>
          <w:bCs/>
          <w:sz w:val="22"/>
          <w:szCs w:val="22"/>
          <w:lang w:val="en-US" w:eastAsia="en-US"/>
        </w:rPr>
      </w:pPr>
      <w:r w:rsidRPr="003F37A1">
        <w:rPr>
          <w:rFonts w:ascii="Arial" w:hAnsi="Arial" w:cs="Arial"/>
          <w:b/>
          <w:sz w:val="22"/>
          <w:szCs w:val="22"/>
          <w:lang w:val="en-GB"/>
        </w:rPr>
        <w:t>Online</w:t>
      </w:r>
    </w:p>
    <w:p w14:paraId="59920478" w14:textId="5DBC4899" w:rsidR="004A2875" w:rsidRPr="003F37A1" w:rsidRDefault="000E06A3" w:rsidP="0015772D">
      <w:pPr>
        <w:pStyle w:val="Sansinterligne2"/>
        <w:spacing w:before="600" w:after="1200"/>
        <w:jc w:val="center"/>
        <w:rPr>
          <w:rFonts w:ascii="Arial" w:hAnsi="Arial" w:cs="Arial"/>
          <w:b/>
          <w:sz w:val="22"/>
          <w:szCs w:val="22"/>
          <w:lang w:val="en-GB"/>
        </w:rPr>
      </w:pPr>
      <w:r>
        <w:rPr>
          <w:rFonts w:ascii="Arial" w:hAnsi="Arial" w:cs="Arial"/>
          <w:b/>
          <w:sz w:val="22"/>
          <w:szCs w:val="22"/>
          <w:lang w:val="en-GB"/>
        </w:rPr>
        <w:t>Background</w:t>
      </w:r>
    </w:p>
    <w:p w14:paraId="713D819F" w14:textId="77777777" w:rsidR="004A2875" w:rsidRPr="009B4638" w:rsidRDefault="00655736" w:rsidP="00BB57EE">
      <w:pPr>
        <w:pStyle w:val="ListParagraph"/>
        <w:keepLines/>
        <w:numPr>
          <w:ilvl w:val="0"/>
          <w:numId w:val="5"/>
        </w:numPr>
        <w:spacing w:after="240"/>
        <w:ind w:left="567" w:hanging="567"/>
        <w:contextualSpacing w:val="0"/>
        <w:rPr>
          <w:rFonts w:ascii="Arial" w:hAnsi="Arial" w:cs="Arial"/>
          <w:b/>
          <w:snapToGrid w:val="0"/>
          <w:sz w:val="22"/>
          <w:szCs w:val="22"/>
          <w:lang w:val="en-GB" w:eastAsia="en-US"/>
        </w:rPr>
      </w:pPr>
      <w:r w:rsidRPr="00D7105A">
        <w:rPr>
          <w:lang w:val="en-US"/>
        </w:rPr>
        <w:br w:type="page"/>
      </w:r>
    </w:p>
    <w:p w14:paraId="62651E15" w14:textId="34C9B5D3" w:rsidR="001543CA" w:rsidRPr="001543CA" w:rsidRDefault="001543CA" w:rsidP="00BB57EE">
      <w:pPr>
        <w:pStyle w:val="COMPara"/>
        <w:numPr>
          <w:ilvl w:val="0"/>
          <w:numId w:val="6"/>
        </w:numPr>
        <w:ind w:left="360"/>
        <w:jc w:val="both"/>
        <w:rPr>
          <w:b/>
          <w:bCs/>
        </w:rPr>
      </w:pPr>
      <w:r w:rsidRPr="001543CA">
        <w:rPr>
          <w:b/>
          <w:bCs/>
        </w:rPr>
        <w:lastRenderedPageBreak/>
        <w:t>Introduction</w:t>
      </w:r>
    </w:p>
    <w:p w14:paraId="3816F771" w14:textId="397D132B" w:rsidR="007123A6" w:rsidRPr="007123A6" w:rsidRDefault="000E06A3" w:rsidP="00720463">
      <w:pPr>
        <w:pStyle w:val="COMPara"/>
        <w:ind w:left="360"/>
        <w:jc w:val="both"/>
      </w:pPr>
      <w:r w:rsidRPr="000E06A3">
        <w:rPr>
          <w:lang w:val="en-US"/>
        </w:rPr>
        <w:t xml:space="preserve">The </w:t>
      </w:r>
      <w:r w:rsidR="00932E06">
        <w:rPr>
          <w:lang w:val="en-US"/>
        </w:rPr>
        <w:t>world’s</w:t>
      </w:r>
      <w:r w:rsidR="00932E06" w:rsidRPr="000E06A3">
        <w:rPr>
          <w:lang w:val="en-US"/>
        </w:rPr>
        <w:t xml:space="preserve"> </w:t>
      </w:r>
      <w:r w:rsidRPr="000E06A3">
        <w:rPr>
          <w:lang w:val="en-US"/>
        </w:rPr>
        <w:t>urban population is increasing</w:t>
      </w:r>
      <w:r w:rsidR="00932E06">
        <w:rPr>
          <w:lang w:val="en-US"/>
        </w:rPr>
        <w:t xml:space="preserve"> at an exponential rate</w:t>
      </w:r>
      <w:r w:rsidRPr="000E06A3">
        <w:rPr>
          <w:lang w:val="en-US"/>
        </w:rPr>
        <w:t xml:space="preserve">, making urbanization one of the most transformative </w:t>
      </w:r>
      <w:r w:rsidR="00932E06">
        <w:rPr>
          <w:lang w:val="en-US"/>
        </w:rPr>
        <w:t xml:space="preserve">global </w:t>
      </w:r>
      <w:r w:rsidRPr="000E06A3">
        <w:rPr>
          <w:lang w:val="en-US"/>
        </w:rPr>
        <w:t xml:space="preserve">trends. </w:t>
      </w:r>
      <w:r w:rsidR="007D12C9">
        <w:rPr>
          <w:lang w:val="en-US"/>
        </w:rPr>
        <w:t>It is rapidly</w:t>
      </w:r>
      <w:r w:rsidRPr="000E06A3">
        <w:rPr>
          <w:lang w:val="en-US"/>
        </w:rPr>
        <w:t xml:space="preserve"> shaping the way humans live and interact, </w:t>
      </w:r>
      <w:r w:rsidR="007D12C9">
        <w:rPr>
          <w:lang w:val="en-US"/>
        </w:rPr>
        <w:t xml:space="preserve">presenting </w:t>
      </w:r>
      <w:r>
        <w:rPr>
          <w:lang w:val="en-US"/>
        </w:rPr>
        <w:t xml:space="preserve">urban </w:t>
      </w:r>
      <w:r w:rsidRPr="000E06A3">
        <w:rPr>
          <w:lang w:val="en-US"/>
        </w:rPr>
        <w:t>planners with many human, environmental and spatial challenges, as well as opportunities. This is the case not only in cities, but in the</w:t>
      </w:r>
      <w:r w:rsidR="00932E06">
        <w:rPr>
          <w:lang w:val="en-US"/>
        </w:rPr>
        <w:t>ir</w:t>
      </w:r>
      <w:r w:rsidRPr="000E06A3">
        <w:rPr>
          <w:lang w:val="en-US"/>
        </w:rPr>
        <w:t xml:space="preserve"> surrounding areas such </w:t>
      </w:r>
      <w:r w:rsidR="00AD785B">
        <w:rPr>
          <w:lang w:val="en-US"/>
        </w:rPr>
        <w:t xml:space="preserve">as </w:t>
      </w:r>
      <w:r w:rsidRPr="000E06A3">
        <w:rPr>
          <w:lang w:val="en-US"/>
        </w:rPr>
        <w:t xml:space="preserve">semi-rural or peri-urban, smaller, and evolving urban clusters. In many </w:t>
      </w:r>
      <w:r w:rsidR="00932E06">
        <w:rPr>
          <w:lang w:val="en-US"/>
        </w:rPr>
        <w:t>of these environments</w:t>
      </w:r>
      <w:r w:rsidRPr="000E06A3">
        <w:rPr>
          <w:lang w:val="en-US"/>
        </w:rPr>
        <w:t>, multiple communities converge with different cultures and backgrounds</w:t>
      </w:r>
      <w:r w:rsidR="0025640D">
        <w:rPr>
          <w:lang w:val="en-US"/>
        </w:rPr>
        <w:t>, enacting</w:t>
      </w:r>
      <w:r w:rsidR="00DB0DA1">
        <w:rPr>
          <w:lang w:val="en-US"/>
        </w:rPr>
        <w:t xml:space="preserve"> a diverse range of cultural expressions and practices</w:t>
      </w:r>
      <w:r w:rsidR="0025640D">
        <w:rPr>
          <w:lang w:val="en-US"/>
        </w:rPr>
        <w:t xml:space="preserve"> that co-exist</w:t>
      </w:r>
      <w:r w:rsidR="00DB0DA1">
        <w:rPr>
          <w:lang w:val="en-US"/>
        </w:rPr>
        <w:t>.</w:t>
      </w:r>
      <w:r w:rsidR="0025640D">
        <w:rPr>
          <w:lang w:val="en-US"/>
        </w:rPr>
        <w:t xml:space="preserve"> In other words, urban heritage needs to be considered not only in terms of its built or material forms, but through the living uses and practices in cities and how they are situated in urban spaces.</w:t>
      </w:r>
    </w:p>
    <w:p w14:paraId="1180F856" w14:textId="6C6B52DA" w:rsidR="004A754A" w:rsidRPr="005561B8" w:rsidRDefault="004A754A" w:rsidP="00720463">
      <w:pPr>
        <w:pStyle w:val="COMPara"/>
        <w:ind w:left="360"/>
        <w:jc w:val="both"/>
        <w:rPr>
          <w:snapToGrid/>
          <w:lang w:val="en-US"/>
        </w:rPr>
      </w:pPr>
      <w:r w:rsidRPr="00DB0DA1">
        <w:rPr>
          <w:snapToGrid/>
          <w:lang w:val="en-US"/>
        </w:rPr>
        <w:t xml:space="preserve">At the same time, </w:t>
      </w:r>
      <w:r>
        <w:rPr>
          <w:snapToGrid/>
          <w:lang w:val="en-US"/>
        </w:rPr>
        <w:t xml:space="preserve">a </w:t>
      </w:r>
      <w:r w:rsidR="00BB57EE">
        <w:rPr>
          <w:snapToGrid/>
          <w:lang w:val="en-US"/>
        </w:rPr>
        <w:t xml:space="preserve">common challenge </w:t>
      </w:r>
      <w:r>
        <w:rPr>
          <w:snapToGrid/>
          <w:lang w:val="en-US"/>
        </w:rPr>
        <w:t>across borders is the lack of dedicated strategies that recognize and safeguard intangible cultural heritage in urban context</w:t>
      </w:r>
      <w:r w:rsidR="00932E06">
        <w:rPr>
          <w:snapToGrid/>
          <w:lang w:val="en-US"/>
        </w:rPr>
        <w:t>s</w:t>
      </w:r>
      <w:r>
        <w:rPr>
          <w:snapToGrid/>
          <w:lang w:val="en-US"/>
        </w:rPr>
        <w:t xml:space="preserve">. In response to this need, the governing bodies of the 2003 Convention for the Safeguarding of the Intangible Cultural Heritage has </w:t>
      </w:r>
      <w:r w:rsidR="007D12C9">
        <w:rPr>
          <w:snapToGrid/>
          <w:lang w:val="en-US"/>
        </w:rPr>
        <w:t xml:space="preserve">launched </w:t>
      </w:r>
      <w:r>
        <w:rPr>
          <w:snapToGrid/>
          <w:lang w:val="en-US"/>
        </w:rPr>
        <w:t xml:space="preserve">a thematic initiative </w:t>
      </w:r>
      <w:r w:rsidR="00932E06">
        <w:rPr>
          <w:snapToGrid/>
          <w:lang w:val="en-US"/>
        </w:rPr>
        <w:t>(</w:t>
      </w:r>
      <w:r>
        <w:rPr>
          <w:snapToGrid/>
          <w:lang w:val="en-US"/>
        </w:rPr>
        <w:t>along with two other themes</w:t>
      </w:r>
      <w:r w:rsidR="00932E06">
        <w:rPr>
          <w:snapToGrid/>
          <w:lang w:val="en-US"/>
        </w:rPr>
        <w:t>)</w:t>
      </w:r>
      <w:r>
        <w:rPr>
          <w:snapToGrid/>
          <w:lang w:val="en-US"/>
        </w:rPr>
        <w:t xml:space="preserve"> on the topic of safeguarding intangible cultural heritage in urban contexts (</w:t>
      </w:r>
      <w:r w:rsidRPr="005650E6">
        <w:rPr>
          <w:lang w:val="en-AU"/>
        </w:rPr>
        <w:t xml:space="preserve">Resolution </w:t>
      </w:r>
      <w:hyperlink r:id="rId8" w:history="1">
        <w:r w:rsidRPr="005650E6">
          <w:rPr>
            <w:rStyle w:val="Hyperlink"/>
            <w:lang w:val="en-AU"/>
          </w:rPr>
          <w:t>9.GA 6</w:t>
        </w:r>
      </w:hyperlink>
      <w:r w:rsidRPr="005650E6">
        <w:rPr>
          <w:lang w:val="en-AU"/>
        </w:rPr>
        <w:t xml:space="preserve"> as well as Decisions </w:t>
      </w:r>
      <w:hyperlink r:id="rId9" w:history="1">
        <w:r w:rsidRPr="005650E6">
          <w:rPr>
            <w:rStyle w:val="Hyperlink"/>
            <w:lang w:val="en-AU"/>
          </w:rPr>
          <w:t>16.COM</w:t>
        </w:r>
        <w:r>
          <w:rPr>
            <w:rStyle w:val="Hyperlink"/>
            <w:lang w:val="en-AU"/>
          </w:rPr>
          <w:t> </w:t>
        </w:r>
        <w:r w:rsidRPr="005650E6">
          <w:rPr>
            <w:rStyle w:val="Hyperlink"/>
            <w:lang w:val="en-AU"/>
          </w:rPr>
          <w:t>5.b</w:t>
        </w:r>
      </w:hyperlink>
      <w:r w:rsidRPr="00B84F00">
        <w:rPr>
          <w:lang w:val="en-US"/>
        </w:rPr>
        <w:t xml:space="preserve">, </w:t>
      </w:r>
      <w:hyperlink r:id="rId10" w:history="1">
        <w:r w:rsidRPr="005650E6">
          <w:rPr>
            <w:rStyle w:val="Hyperlink"/>
            <w:lang w:val="en-AU"/>
          </w:rPr>
          <w:t>17.COM 13</w:t>
        </w:r>
      </w:hyperlink>
      <w:r w:rsidRPr="00B84F00">
        <w:rPr>
          <w:lang w:val="en-US"/>
        </w:rPr>
        <w:t xml:space="preserve"> </w:t>
      </w:r>
      <w:r>
        <w:rPr>
          <w:lang w:val="en-US"/>
        </w:rPr>
        <w:t xml:space="preserve">and </w:t>
      </w:r>
      <w:hyperlink r:id="rId11" w:history="1">
        <w:r w:rsidRPr="00A93402">
          <w:rPr>
            <w:rStyle w:val="Hyperlink"/>
            <w:lang w:val="en-US"/>
          </w:rPr>
          <w:t>18.COM 12</w:t>
        </w:r>
      </w:hyperlink>
      <w:r>
        <w:rPr>
          <w:snapToGrid/>
          <w:lang w:val="en-US"/>
        </w:rPr>
        <w:t xml:space="preserve">). Most recently, the Intergovernmental Committee for the Safeguarding of the Intangible Cultural Heritage </w:t>
      </w:r>
      <w:r w:rsidRPr="005650E6">
        <w:rPr>
          <w:lang w:val="en-AU"/>
        </w:rPr>
        <w:t>(</w:t>
      </w:r>
      <w:r w:rsidRPr="005650E6">
        <w:rPr>
          <w:lang w:val="en-US"/>
        </w:rPr>
        <w:t xml:space="preserve">Decision </w:t>
      </w:r>
      <w:hyperlink r:id="rId12" w:history="1">
        <w:r>
          <w:rPr>
            <w:rStyle w:val="Hyperlink"/>
            <w:lang w:val="en-US"/>
          </w:rPr>
          <w:t>19.COM 11</w:t>
        </w:r>
      </w:hyperlink>
      <w:r w:rsidRPr="005650E6">
        <w:rPr>
          <w:lang w:val="en-AU"/>
        </w:rPr>
        <w:t>)</w:t>
      </w:r>
      <w:r>
        <w:rPr>
          <w:lang w:val="en-AU"/>
        </w:rPr>
        <w:t xml:space="preserve"> has invited the Secretariat of the 2003 Convention to organize an expert meeting with a view to develop a guidance </w:t>
      </w:r>
      <w:r w:rsidR="00BB57EE">
        <w:rPr>
          <w:lang w:val="en-AU"/>
        </w:rPr>
        <w:t xml:space="preserve">note </w:t>
      </w:r>
      <w:r>
        <w:rPr>
          <w:lang w:val="en-AU"/>
        </w:rPr>
        <w:t>to support the efforts of States Parties and other stakeholders in this field.</w:t>
      </w:r>
    </w:p>
    <w:p w14:paraId="2C28CD5B" w14:textId="4B1C44CD" w:rsidR="00772BAF" w:rsidRPr="00E4406F" w:rsidRDefault="00772BAF" w:rsidP="00720463">
      <w:pPr>
        <w:pStyle w:val="COMPara"/>
        <w:ind w:left="360"/>
        <w:jc w:val="both"/>
        <w:rPr>
          <w:lang w:val="en-US"/>
        </w:rPr>
      </w:pPr>
      <w:r w:rsidRPr="00E4406F">
        <w:rPr>
          <w:lang w:val="en-US"/>
        </w:rPr>
        <w:t xml:space="preserve">These thematic initiatives align with global efforts advocating for culture’s role in fostering peace, innovation, </w:t>
      </w:r>
      <w:r w:rsidRPr="00772BAF">
        <w:rPr>
          <w:snapToGrid/>
          <w:lang w:val="en-US"/>
        </w:rPr>
        <w:t>development</w:t>
      </w:r>
      <w:r w:rsidRPr="00E4406F">
        <w:rPr>
          <w:lang w:val="en-US"/>
        </w:rPr>
        <w:t xml:space="preserve"> and well</w:t>
      </w:r>
      <w:r w:rsidR="00BB57EE">
        <w:rPr>
          <w:lang w:val="en-US"/>
        </w:rPr>
        <w:t>-</w:t>
      </w:r>
      <w:r w:rsidRPr="00E4406F">
        <w:rPr>
          <w:lang w:val="en-US"/>
        </w:rPr>
        <w:t xml:space="preserve">being, notably at the UNESCO World Conference on Cultural Policies and Sustainable Development – </w:t>
      </w:r>
      <w:hyperlink r:id="rId13" w:history="1">
        <w:r w:rsidRPr="00E4406F">
          <w:rPr>
            <w:rStyle w:val="Hyperlink"/>
            <w:lang w:val="en-US"/>
          </w:rPr>
          <w:t>MONDIACULT 2022</w:t>
        </w:r>
      </w:hyperlink>
      <w:r w:rsidRPr="00E4406F">
        <w:rPr>
          <w:lang w:val="en-US"/>
        </w:rPr>
        <w:t xml:space="preserve">, </w:t>
      </w:r>
      <w:r w:rsidR="00200DA8">
        <w:rPr>
          <w:lang w:val="en-US"/>
        </w:rPr>
        <w:t xml:space="preserve">and </w:t>
      </w:r>
      <w:r w:rsidRPr="00E4406F">
        <w:rPr>
          <w:lang w:val="en-US"/>
        </w:rPr>
        <w:t>the</w:t>
      </w:r>
      <w:r w:rsidR="00200DA8">
        <w:rPr>
          <w:lang w:val="en-US"/>
        </w:rPr>
        <w:t xml:space="preserve"> meetings of the</w:t>
      </w:r>
      <w:r w:rsidRPr="00E4406F">
        <w:rPr>
          <w:lang w:val="en-US"/>
        </w:rPr>
        <w:t xml:space="preserve"> Group of Twenty (</w:t>
      </w:r>
      <w:hyperlink r:id="rId14" w:history="1">
        <w:r w:rsidRPr="00E4406F">
          <w:rPr>
            <w:rStyle w:val="Hyperlink"/>
            <w:lang w:val="en-US"/>
          </w:rPr>
          <w:t>G20</w:t>
        </w:r>
      </w:hyperlink>
      <w:r w:rsidRPr="0010139C">
        <w:t>)</w:t>
      </w:r>
      <w:r w:rsidRPr="00E4406F">
        <w:rPr>
          <w:lang w:val="en-US"/>
        </w:rPr>
        <w:t xml:space="preserve"> and the Group of Seven (</w:t>
      </w:r>
      <w:hyperlink r:id="rId15" w:history="1">
        <w:r w:rsidRPr="00E4406F">
          <w:rPr>
            <w:rStyle w:val="Hyperlink"/>
            <w:lang w:val="en-US"/>
          </w:rPr>
          <w:t>G7</w:t>
        </w:r>
      </w:hyperlink>
      <w:r w:rsidRPr="0010139C">
        <w:t>).</w:t>
      </w:r>
      <w:r w:rsidRPr="00E4406F">
        <w:rPr>
          <w:lang w:val="en-US"/>
        </w:rPr>
        <w:t xml:space="preserve"> Recently,</w:t>
      </w:r>
      <w:r w:rsidRPr="00E4406F">
        <w:t xml:space="preserve"> the General Assembly of the United Nations adopted the ‘</w:t>
      </w:r>
      <w:hyperlink r:id="rId16" w:history="1">
        <w:r w:rsidRPr="00E4406F">
          <w:rPr>
            <w:rStyle w:val="Hyperlink"/>
          </w:rPr>
          <w:t>Pact for the Future</w:t>
        </w:r>
      </w:hyperlink>
      <w:r w:rsidRPr="00684EE5">
        <w:t>’</w:t>
      </w:r>
      <w:r w:rsidRPr="00E4406F">
        <w:t xml:space="preserve">, </w:t>
      </w:r>
      <w:r>
        <w:t>which</w:t>
      </w:r>
      <w:r w:rsidRPr="001B1466">
        <w:t xml:space="preserve"> calls</w:t>
      </w:r>
      <w:r w:rsidR="00200DA8">
        <w:t xml:space="preserve"> on States</w:t>
      </w:r>
      <w:r w:rsidRPr="001B1466">
        <w:t xml:space="preserve"> to, inter alia, ensure that culture can contribute to more effective, inclusive</w:t>
      </w:r>
      <w:r>
        <w:t>,</w:t>
      </w:r>
      <w:r w:rsidRPr="001B1466">
        <w:t xml:space="preserve"> equitable </w:t>
      </w:r>
      <w:r>
        <w:t xml:space="preserve">and </w:t>
      </w:r>
      <w:r w:rsidRPr="001B1466">
        <w:t>sustainable development, as well as integrate culture into their economic, social and environmental policies</w:t>
      </w:r>
      <w:r w:rsidRPr="00E4406F">
        <w:t xml:space="preserve">. Building on this momentum, the thematic initiatives </w:t>
      </w:r>
      <w:r>
        <w:t xml:space="preserve">of the 2003 Convention </w:t>
      </w:r>
      <w:r w:rsidRPr="00E4406F">
        <w:t>seek to provide guidance for stakeholders of the Convention on integrating living heritage in social, environmental and economic policies for a more inclusive and sustainable future.</w:t>
      </w:r>
    </w:p>
    <w:p w14:paraId="6F315413" w14:textId="611E2F8E" w:rsidR="005561B8" w:rsidRPr="00D77624" w:rsidRDefault="00772BAF" w:rsidP="00720463">
      <w:pPr>
        <w:pStyle w:val="COMPara"/>
        <w:ind w:left="360"/>
        <w:jc w:val="both"/>
        <w:rPr>
          <w:snapToGrid/>
          <w:lang w:val="en-US"/>
        </w:rPr>
      </w:pPr>
      <w:r>
        <w:rPr>
          <w:lang w:val="en-US"/>
        </w:rPr>
        <w:t>The present document</w:t>
      </w:r>
      <w:r w:rsidR="00CD5579">
        <w:rPr>
          <w:rStyle w:val="FootnoteReference"/>
          <w:lang w:val="en-US"/>
        </w:rPr>
        <w:footnoteReference w:id="1"/>
      </w:r>
      <w:r>
        <w:rPr>
          <w:lang w:val="en-US"/>
        </w:rPr>
        <w:t xml:space="preserve"> seeks to outline main issues succinctly to support the expert consultation on the topic of safeguarding intangible </w:t>
      </w:r>
      <w:r w:rsidRPr="00D77624">
        <w:rPr>
          <w:lang w:val="en-US"/>
        </w:rPr>
        <w:t xml:space="preserve">cultural heritage in urban contexts. As part of the preparation, </w:t>
      </w:r>
      <w:r w:rsidR="00AF14D9" w:rsidRPr="00D77624">
        <w:rPr>
          <w:lang w:val="en-US"/>
        </w:rPr>
        <w:t xml:space="preserve">an online survey was </w:t>
      </w:r>
      <w:r w:rsidR="00081888" w:rsidRPr="00D77624">
        <w:rPr>
          <w:lang w:val="en-US"/>
        </w:rPr>
        <w:t xml:space="preserve">also </w:t>
      </w:r>
      <w:r w:rsidR="00AF14D9" w:rsidRPr="00D77624">
        <w:rPr>
          <w:lang w:val="en-US"/>
        </w:rPr>
        <w:t xml:space="preserve">undertaken </w:t>
      </w:r>
      <w:r w:rsidR="005561B8" w:rsidRPr="00D77624">
        <w:rPr>
          <w:lang w:val="en-US"/>
        </w:rPr>
        <w:t xml:space="preserve">(see also document </w:t>
      </w:r>
      <w:hyperlink r:id="rId17" w:history="1">
        <w:r w:rsidR="005561B8" w:rsidRPr="00D77624">
          <w:rPr>
            <w:rStyle w:val="Hyperlink"/>
            <w:lang w:val="en-US"/>
          </w:rPr>
          <w:t>LHE/25/EXP THEMA-URBAN/INF.3</w:t>
        </w:r>
      </w:hyperlink>
      <w:r w:rsidR="005561B8" w:rsidRPr="00D77624">
        <w:rPr>
          <w:lang w:val="en-US"/>
        </w:rPr>
        <w:t xml:space="preserve"> for survey results)</w:t>
      </w:r>
      <w:r w:rsidR="00AF14D9" w:rsidRPr="00D77624">
        <w:rPr>
          <w:lang w:val="en-US"/>
        </w:rPr>
        <w:t>.</w:t>
      </w:r>
    </w:p>
    <w:p w14:paraId="086E7B68" w14:textId="18D3E3F7" w:rsidR="004A754A" w:rsidRPr="004A754A" w:rsidRDefault="00B23CDE" w:rsidP="00BB57EE">
      <w:pPr>
        <w:pStyle w:val="COMPara"/>
        <w:numPr>
          <w:ilvl w:val="0"/>
          <w:numId w:val="6"/>
        </w:numPr>
        <w:ind w:left="360"/>
        <w:jc w:val="both"/>
        <w:rPr>
          <w:b/>
          <w:bCs/>
        </w:rPr>
      </w:pPr>
      <w:r>
        <w:rPr>
          <w:b/>
          <w:bCs/>
        </w:rPr>
        <w:t>Intangible cultural heritage for s</w:t>
      </w:r>
      <w:r w:rsidR="00AD785B">
        <w:rPr>
          <w:b/>
          <w:bCs/>
        </w:rPr>
        <w:t xml:space="preserve">ustainable </w:t>
      </w:r>
      <w:r w:rsidR="008E33B2">
        <w:rPr>
          <w:b/>
          <w:bCs/>
        </w:rPr>
        <w:t>u</w:t>
      </w:r>
      <w:r w:rsidR="00AD785B">
        <w:rPr>
          <w:b/>
          <w:bCs/>
        </w:rPr>
        <w:t xml:space="preserve">rban </w:t>
      </w:r>
      <w:r w:rsidR="008E33B2">
        <w:rPr>
          <w:b/>
          <w:bCs/>
        </w:rPr>
        <w:t>d</w:t>
      </w:r>
      <w:r w:rsidR="00AD785B">
        <w:rPr>
          <w:b/>
          <w:bCs/>
        </w:rPr>
        <w:t>evelopment</w:t>
      </w:r>
    </w:p>
    <w:p w14:paraId="4F0BC23A" w14:textId="4675D8BD" w:rsidR="0003578A" w:rsidRDefault="0003578A" w:rsidP="00720463">
      <w:pPr>
        <w:pStyle w:val="COMPara"/>
        <w:ind w:left="360"/>
        <w:jc w:val="both"/>
        <w:rPr>
          <w:snapToGrid/>
          <w:lang w:val="en-US"/>
        </w:rPr>
      </w:pPr>
      <w:r w:rsidRPr="00D51E66">
        <w:rPr>
          <w:b/>
          <w:bCs/>
          <w:snapToGrid/>
          <w:lang w:val="en-US"/>
        </w:rPr>
        <w:t>Sustainable urban development</w:t>
      </w:r>
      <w:r>
        <w:rPr>
          <w:snapToGrid/>
          <w:lang w:val="en-US"/>
        </w:rPr>
        <w:t xml:space="preserve"> </w:t>
      </w:r>
      <w:r w:rsidR="0015219D">
        <w:rPr>
          <w:snapToGrid/>
          <w:lang w:val="en-US"/>
        </w:rPr>
        <w:t>can be</w:t>
      </w:r>
      <w:r>
        <w:rPr>
          <w:snapToGrid/>
          <w:lang w:val="en-US"/>
        </w:rPr>
        <w:t xml:space="preserve"> defined as ‘the spatial manifestation of urban development processes that creates a built environment with norms, institutions and governance systems enabling, individuals, household and communities to maximize their potential and optimize a vast range of services’</w:t>
      </w:r>
      <w:r w:rsidR="0015219D">
        <w:rPr>
          <w:snapToGrid/>
          <w:lang w:val="en-US"/>
        </w:rPr>
        <w:t xml:space="preserve"> (</w:t>
      </w:r>
      <w:hyperlink r:id="rId18" w:history="1">
        <w:r w:rsidR="0015219D" w:rsidRPr="0015219D">
          <w:rPr>
            <w:rStyle w:val="Hyperlink"/>
            <w:snapToGrid/>
            <w:lang w:val="en-US"/>
          </w:rPr>
          <w:t>UN Habitat</w:t>
        </w:r>
      </w:hyperlink>
      <w:r w:rsidR="0015219D">
        <w:rPr>
          <w:snapToGrid/>
          <w:lang w:val="en-US"/>
        </w:rPr>
        <w:t>)</w:t>
      </w:r>
      <w:r>
        <w:rPr>
          <w:snapToGrid/>
          <w:lang w:val="en-US"/>
        </w:rPr>
        <w:t>. In other words, sustainable cities are planned, built, and managed to maintain environmental quality, support socioeconomic development, and safeguard the quality of life, needs and livelihood</w:t>
      </w:r>
      <w:r w:rsidR="00200DA8">
        <w:rPr>
          <w:snapToGrid/>
          <w:lang w:val="en-US"/>
        </w:rPr>
        <w:t>s</w:t>
      </w:r>
      <w:r>
        <w:rPr>
          <w:snapToGrid/>
          <w:lang w:val="en-US"/>
        </w:rPr>
        <w:t xml:space="preserve"> of </w:t>
      </w:r>
      <w:r w:rsidR="00200DA8">
        <w:rPr>
          <w:snapToGrid/>
          <w:lang w:val="en-US"/>
        </w:rPr>
        <w:t xml:space="preserve">their </w:t>
      </w:r>
      <w:r>
        <w:rPr>
          <w:snapToGrid/>
          <w:lang w:val="en-US"/>
        </w:rPr>
        <w:t xml:space="preserve">present and future populations. </w:t>
      </w:r>
    </w:p>
    <w:p w14:paraId="2548F284" w14:textId="3C27EC69" w:rsidR="00D70BB7" w:rsidRPr="00D43AC8" w:rsidRDefault="0003578A" w:rsidP="00720463">
      <w:pPr>
        <w:pStyle w:val="COMPara"/>
        <w:ind w:left="360"/>
        <w:jc w:val="both"/>
        <w:rPr>
          <w:snapToGrid/>
          <w:lang w:val="en-US"/>
        </w:rPr>
      </w:pPr>
      <w:r w:rsidRPr="00D43AC8">
        <w:rPr>
          <w:snapToGrid/>
          <w:lang w:val="en-US"/>
        </w:rPr>
        <w:t xml:space="preserve">In terms of process, </w:t>
      </w:r>
      <w:r w:rsidRPr="00D51E66">
        <w:rPr>
          <w:b/>
          <w:bCs/>
          <w:snapToGrid/>
          <w:lang w:val="en-US"/>
        </w:rPr>
        <w:t>u</w:t>
      </w:r>
      <w:r w:rsidR="007123A6" w:rsidRPr="00D51E66">
        <w:rPr>
          <w:b/>
          <w:bCs/>
          <w:snapToGrid/>
          <w:lang w:val="en-US"/>
        </w:rPr>
        <w:t>rban planning</w:t>
      </w:r>
      <w:r w:rsidR="001A7CDA" w:rsidRPr="00D43AC8">
        <w:rPr>
          <w:snapToGrid/>
          <w:lang w:val="en-US"/>
        </w:rPr>
        <w:t xml:space="preserve"> includes</w:t>
      </w:r>
      <w:r w:rsidR="007123A6" w:rsidRPr="00D43AC8">
        <w:rPr>
          <w:snapToGrid/>
          <w:lang w:val="en-US"/>
        </w:rPr>
        <w:t xml:space="preserve"> the design and regulation of the uses of spaces and their physical forms (built and natural), encompassing proposed economic functions, resource and environmental conservation strategies and zoning areas (residential, industrial, commercial, cultural, leisure)</w:t>
      </w:r>
      <w:r w:rsidR="001A7CDA" w:rsidRPr="00D43AC8">
        <w:rPr>
          <w:snapToGrid/>
          <w:lang w:val="en-US"/>
        </w:rPr>
        <w:t xml:space="preserve">. </w:t>
      </w:r>
      <w:r w:rsidR="00AA5107">
        <w:rPr>
          <w:snapToGrid/>
          <w:lang w:val="en-US"/>
        </w:rPr>
        <w:t>M</w:t>
      </w:r>
      <w:r w:rsidR="00AD785B" w:rsidRPr="00D43AC8">
        <w:rPr>
          <w:snapToGrid/>
          <w:lang w:val="en-US"/>
        </w:rPr>
        <w:t>ost urban planning focuses on functional, socioeconomic and environmental structures</w:t>
      </w:r>
      <w:r w:rsidR="00200DA8">
        <w:rPr>
          <w:snapToGrid/>
          <w:lang w:val="en-US"/>
        </w:rPr>
        <w:t>,</w:t>
      </w:r>
      <w:r w:rsidR="00AD785B" w:rsidRPr="00D43AC8">
        <w:rPr>
          <w:snapToGrid/>
          <w:lang w:val="en-US"/>
        </w:rPr>
        <w:t xml:space="preserve"> without targeting in</w:t>
      </w:r>
      <w:r w:rsidR="00200DA8">
        <w:rPr>
          <w:snapToGrid/>
          <w:lang w:val="en-US"/>
        </w:rPr>
        <w:t>-</w:t>
      </w:r>
      <w:r w:rsidR="00AD785B" w:rsidRPr="00D43AC8">
        <w:rPr>
          <w:snapToGrid/>
          <w:lang w:val="en-US"/>
        </w:rPr>
        <w:t>depth questions of how spatial organization and management can impact communities’ intangible cultural heritage, and which ac</w:t>
      </w:r>
      <w:r w:rsidR="00287C51" w:rsidRPr="00D43AC8">
        <w:rPr>
          <w:snapToGrid/>
          <w:lang w:val="en-US"/>
        </w:rPr>
        <w:t>t</w:t>
      </w:r>
      <w:r w:rsidR="00AD785B" w:rsidRPr="00D43AC8">
        <w:rPr>
          <w:snapToGrid/>
          <w:lang w:val="en-US"/>
        </w:rPr>
        <w:t>ions are required to ensure that cities facilitate the ongoing transmission of intangible cultural heritage as a crucial component of social well-being.</w:t>
      </w:r>
    </w:p>
    <w:p w14:paraId="20296C66" w14:textId="149D3892" w:rsidR="00287C51" w:rsidRDefault="00287C51" w:rsidP="00BB57EE">
      <w:pPr>
        <w:pStyle w:val="COMPara"/>
        <w:numPr>
          <w:ilvl w:val="0"/>
          <w:numId w:val="7"/>
        </w:numPr>
        <w:jc w:val="both"/>
        <w:rPr>
          <w:snapToGrid/>
          <w:lang w:val="en-US"/>
        </w:rPr>
      </w:pPr>
      <w:r>
        <w:rPr>
          <w:snapToGrid/>
          <w:lang w:val="en-US"/>
        </w:rPr>
        <w:lastRenderedPageBreak/>
        <w:t xml:space="preserve">Traditional knowledge and cultural practices related to local flora and fauna and ecosystems, for instance, can contribute to the sustainability of the </w:t>
      </w:r>
      <w:r w:rsidRPr="0085720B">
        <w:rPr>
          <w:snapToGrid/>
          <w:u w:val="single"/>
          <w:lang w:val="en-US"/>
        </w:rPr>
        <w:t>ecological structure</w:t>
      </w:r>
      <w:r>
        <w:rPr>
          <w:snapToGrid/>
          <w:lang w:val="en-US"/>
        </w:rPr>
        <w:t xml:space="preserve"> of cities</w:t>
      </w:r>
      <w:r w:rsidR="002337F4">
        <w:rPr>
          <w:snapToGrid/>
          <w:lang w:val="en-US"/>
        </w:rPr>
        <w:t xml:space="preserve"> (which are related to the connectivity of natural areas and corridors, risk management, rural development and environmental sustainability)</w:t>
      </w:r>
      <w:r>
        <w:rPr>
          <w:snapToGrid/>
          <w:lang w:val="en-US"/>
        </w:rPr>
        <w:t>.</w:t>
      </w:r>
    </w:p>
    <w:p w14:paraId="2459A5A0" w14:textId="291DDAF9" w:rsidR="00287C51" w:rsidRDefault="006754BF" w:rsidP="00BB57EE">
      <w:pPr>
        <w:pStyle w:val="COMPara"/>
        <w:numPr>
          <w:ilvl w:val="0"/>
          <w:numId w:val="7"/>
        </w:numPr>
        <w:jc w:val="both"/>
        <w:rPr>
          <w:snapToGrid/>
          <w:lang w:val="en-US"/>
        </w:rPr>
      </w:pPr>
      <w:r>
        <w:rPr>
          <w:snapToGrid/>
          <w:lang w:val="en-US"/>
        </w:rPr>
        <w:t>T</w:t>
      </w:r>
      <w:r w:rsidR="00287C51">
        <w:rPr>
          <w:snapToGrid/>
          <w:lang w:val="en-US"/>
        </w:rPr>
        <w:t xml:space="preserve">he </w:t>
      </w:r>
      <w:r w:rsidR="00287C51" w:rsidRPr="0085720B">
        <w:rPr>
          <w:snapToGrid/>
          <w:u w:val="single"/>
          <w:lang w:val="en-US"/>
        </w:rPr>
        <w:t>functional structure</w:t>
      </w:r>
      <w:r>
        <w:rPr>
          <w:snapToGrid/>
          <w:u w:val="single"/>
          <w:lang w:val="en-US"/>
        </w:rPr>
        <w:t xml:space="preserve"> of cities is key for the transmission and viability of intangible cultural heritage.</w:t>
      </w:r>
      <w:r w:rsidR="00287C51">
        <w:rPr>
          <w:snapToGrid/>
          <w:lang w:val="en-US"/>
        </w:rPr>
        <w:t xml:space="preserve"> </w:t>
      </w:r>
      <w:r>
        <w:rPr>
          <w:snapToGrid/>
          <w:lang w:val="en-US"/>
        </w:rPr>
        <w:t>Examples of this include</w:t>
      </w:r>
      <w:r w:rsidR="00287C51">
        <w:rPr>
          <w:snapToGrid/>
          <w:lang w:val="en-US"/>
        </w:rPr>
        <w:t xml:space="preserve"> transportation and mobility systems</w:t>
      </w:r>
      <w:r w:rsidR="002337F4">
        <w:rPr>
          <w:snapToGrid/>
          <w:lang w:val="en-US"/>
        </w:rPr>
        <w:t xml:space="preserve"> (circulation in cities)</w:t>
      </w:r>
      <w:r w:rsidR="00287C51">
        <w:rPr>
          <w:snapToGrid/>
          <w:lang w:val="en-US"/>
        </w:rPr>
        <w:t xml:space="preserve">, public spaces, public services and utilities, as well as other urban facilities of the built environment </w:t>
      </w:r>
      <w:r w:rsidR="002337F4">
        <w:rPr>
          <w:snapToGrid/>
          <w:lang w:val="en-US"/>
        </w:rPr>
        <w:t>(roads, railway</w:t>
      </w:r>
      <w:r>
        <w:rPr>
          <w:snapToGrid/>
          <w:lang w:val="en-US"/>
        </w:rPr>
        <w:t>s</w:t>
      </w:r>
      <w:r w:rsidR="002337F4">
        <w:rPr>
          <w:snapToGrid/>
          <w:lang w:val="en-US"/>
        </w:rPr>
        <w:t xml:space="preserve"> and other transport hubs, waterways, pedestrian lanes and other spatial connectors)</w:t>
      </w:r>
      <w:r w:rsidR="00287C51">
        <w:rPr>
          <w:snapToGrid/>
          <w:lang w:val="en-US"/>
        </w:rPr>
        <w:t>.</w:t>
      </w:r>
    </w:p>
    <w:p w14:paraId="57223A49" w14:textId="69409F87" w:rsidR="00287C51" w:rsidRDefault="00287C51" w:rsidP="00BB57EE">
      <w:pPr>
        <w:pStyle w:val="COMPara"/>
        <w:numPr>
          <w:ilvl w:val="0"/>
          <w:numId w:val="7"/>
        </w:numPr>
        <w:jc w:val="both"/>
        <w:rPr>
          <w:snapToGrid/>
          <w:lang w:val="en-US"/>
        </w:rPr>
      </w:pPr>
      <w:r>
        <w:rPr>
          <w:snapToGrid/>
          <w:lang w:val="en-US"/>
        </w:rPr>
        <w:t xml:space="preserve">Similarly, the </w:t>
      </w:r>
      <w:r w:rsidRPr="0085720B">
        <w:rPr>
          <w:snapToGrid/>
          <w:u w:val="single"/>
          <w:lang w:val="en-US"/>
        </w:rPr>
        <w:t>socioeconomic structure</w:t>
      </w:r>
      <w:r>
        <w:rPr>
          <w:snapToGrid/>
          <w:lang w:val="en-US"/>
        </w:rPr>
        <w:t xml:space="preserve"> of cities </w:t>
      </w:r>
      <w:r w:rsidR="002337F4">
        <w:rPr>
          <w:snapToGrid/>
          <w:lang w:val="en-US"/>
        </w:rPr>
        <w:t xml:space="preserve">(which relates to planning for greater economic efficiency in terms of productivity, employment, housing, </w:t>
      </w:r>
      <w:r w:rsidR="006754BF">
        <w:rPr>
          <w:snapToGrid/>
          <w:lang w:val="en-US"/>
        </w:rPr>
        <w:t xml:space="preserve">attractiveness </w:t>
      </w:r>
      <w:r w:rsidR="002337F4">
        <w:rPr>
          <w:snapToGrid/>
          <w:lang w:val="en-US"/>
        </w:rPr>
        <w:t xml:space="preserve">of the city as a destination for investment, amongst others) </w:t>
      </w:r>
      <w:r>
        <w:rPr>
          <w:snapToGrid/>
          <w:lang w:val="en-US"/>
        </w:rPr>
        <w:t>can contribute to ensuring social inclusion and reduced inequality</w:t>
      </w:r>
      <w:r w:rsidR="006754BF">
        <w:rPr>
          <w:snapToGrid/>
          <w:lang w:val="en-US"/>
        </w:rPr>
        <w:t>;</w:t>
      </w:r>
      <w:r>
        <w:rPr>
          <w:snapToGrid/>
          <w:lang w:val="en-US"/>
        </w:rPr>
        <w:t xml:space="preserve"> for example</w:t>
      </w:r>
      <w:r w:rsidR="006754BF">
        <w:rPr>
          <w:snapToGrid/>
          <w:lang w:val="en-US"/>
        </w:rPr>
        <w:t>,</w:t>
      </w:r>
      <w:r>
        <w:rPr>
          <w:snapToGrid/>
          <w:lang w:val="en-US"/>
        </w:rPr>
        <w:t xml:space="preserve"> through equal access to health and education and fair income irrespective of age, </w:t>
      </w:r>
      <w:r w:rsidR="006754BF">
        <w:rPr>
          <w:snapToGrid/>
          <w:lang w:val="en-US"/>
        </w:rPr>
        <w:t>gender</w:t>
      </w:r>
      <w:r>
        <w:rPr>
          <w:snapToGrid/>
          <w:lang w:val="en-US"/>
        </w:rPr>
        <w:t>, disability, race, ethnicity, origin, religion or economic or other status</w:t>
      </w:r>
      <w:r w:rsidR="006754BF">
        <w:rPr>
          <w:snapToGrid/>
          <w:lang w:val="en-US"/>
        </w:rPr>
        <w:t>es</w:t>
      </w:r>
      <w:r>
        <w:rPr>
          <w:snapToGrid/>
          <w:lang w:val="en-US"/>
        </w:rPr>
        <w:t>, which are key drivers of well-being and quality o</w:t>
      </w:r>
      <w:r w:rsidR="00515CBE">
        <w:rPr>
          <w:snapToGrid/>
          <w:lang w:val="en-US"/>
        </w:rPr>
        <w:t>f</w:t>
      </w:r>
      <w:r>
        <w:rPr>
          <w:snapToGrid/>
          <w:lang w:val="en-US"/>
        </w:rPr>
        <w:t xml:space="preserve"> life in cities.</w:t>
      </w:r>
    </w:p>
    <w:p w14:paraId="27A5F6F7" w14:textId="6F34FBEC" w:rsidR="00CB2896" w:rsidRDefault="006754BF" w:rsidP="00BB57EE">
      <w:pPr>
        <w:pStyle w:val="COMPara"/>
        <w:numPr>
          <w:ilvl w:val="0"/>
          <w:numId w:val="7"/>
        </w:numPr>
        <w:jc w:val="both"/>
        <w:rPr>
          <w:snapToGrid/>
          <w:lang w:val="en-US"/>
        </w:rPr>
      </w:pPr>
      <w:r>
        <w:rPr>
          <w:snapToGrid/>
          <w:u w:val="single"/>
          <w:lang w:val="en-US"/>
        </w:rPr>
        <w:t>The h</w:t>
      </w:r>
      <w:r w:rsidR="00CB2896" w:rsidRPr="00515CBE">
        <w:rPr>
          <w:snapToGrid/>
          <w:u w:val="single"/>
          <w:lang w:val="en-US"/>
        </w:rPr>
        <w:t>istorical and built heritage structure</w:t>
      </w:r>
      <w:r w:rsidR="00CB2896">
        <w:rPr>
          <w:snapToGrid/>
          <w:lang w:val="en-US"/>
        </w:rPr>
        <w:t xml:space="preserve"> </w:t>
      </w:r>
      <w:r w:rsidR="009211BD">
        <w:rPr>
          <w:snapToGrid/>
          <w:lang w:val="en-US"/>
        </w:rPr>
        <w:t>may be</w:t>
      </w:r>
      <w:r w:rsidR="00CB2896">
        <w:rPr>
          <w:snapToGrid/>
          <w:lang w:val="en-US"/>
        </w:rPr>
        <w:t xml:space="preserve"> treated as an imperative element in the structuring of an urban plan, notably </w:t>
      </w:r>
      <w:proofErr w:type="gramStart"/>
      <w:r w:rsidR="00CB2896">
        <w:rPr>
          <w:snapToGrid/>
          <w:lang w:val="en-US"/>
        </w:rPr>
        <w:t>with regard to</w:t>
      </w:r>
      <w:proofErr w:type="gramEnd"/>
      <w:r w:rsidR="00CB2896">
        <w:rPr>
          <w:snapToGrid/>
          <w:lang w:val="en-US"/>
        </w:rPr>
        <w:t xml:space="preserve"> </w:t>
      </w:r>
      <w:proofErr w:type="spellStart"/>
      <w:r w:rsidR="00CB2896">
        <w:rPr>
          <w:snapToGrid/>
          <w:lang w:val="en-US"/>
        </w:rPr>
        <w:t>gazetted</w:t>
      </w:r>
      <w:proofErr w:type="spellEnd"/>
      <w:r w:rsidR="00CB2896">
        <w:rPr>
          <w:snapToGrid/>
          <w:lang w:val="en-US"/>
        </w:rPr>
        <w:t xml:space="preserve"> historical monuments or districts which bring significant social and economic value to cities.</w:t>
      </w:r>
    </w:p>
    <w:p w14:paraId="757E44E7" w14:textId="0489946B" w:rsidR="00650359" w:rsidRPr="00913942" w:rsidRDefault="00650359" w:rsidP="00720463">
      <w:pPr>
        <w:pStyle w:val="COMPara"/>
        <w:ind w:left="360"/>
        <w:jc w:val="both"/>
        <w:rPr>
          <w:snapToGrid/>
          <w:lang w:val="en-US"/>
        </w:rPr>
      </w:pPr>
      <w:r>
        <w:rPr>
          <w:snapToGrid/>
          <w:lang w:val="en-US"/>
        </w:rPr>
        <w:t xml:space="preserve">Urban </w:t>
      </w:r>
      <w:r w:rsidR="009D3C07">
        <w:rPr>
          <w:snapToGrid/>
          <w:lang w:val="en-US"/>
        </w:rPr>
        <w:t>p</w:t>
      </w:r>
      <w:r>
        <w:rPr>
          <w:snapToGrid/>
          <w:lang w:val="en-US"/>
        </w:rPr>
        <w:t>lanning</w:t>
      </w:r>
      <w:r w:rsidRPr="007123A6">
        <w:rPr>
          <w:snapToGrid/>
          <w:lang w:val="en-US"/>
        </w:rPr>
        <w:t xml:space="preserve"> affects all dimensions and characteristics of cities</w:t>
      </w:r>
      <w:r w:rsidR="009D3C07">
        <w:rPr>
          <w:snapToGrid/>
          <w:lang w:val="en-US"/>
        </w:rPr>
        <w:t>. It</w:t>
      </w:r>
      <w:r w:rsidRPr="007123A6">
        <w:rPr>
          <w:snapToGrid/>
          <w:lang w:val="en-US"/>
        </w:rPr>
        <w:t xml:space="preserve"> shap</w:t>
      </w:r>
      <w:r w:rsidR="009D3C07">
        <w:rPr>
          <w:snapToGrid/>
          <w:lang w:val="en-US"/>
        </w:rPr>
        <w:t>es</w:t>
      </w:r>
      <w:r w:rsidRPr="007123A6">
        <w:rPr>
          <w:snapToGrid/>
          <w:lang w:val="en-US"/>
        </w:rPr>
        <w:t>, to various degrees, how people live and use the space around them.</w:t>
      </w:r>
      <w:r>
        <w:rPr>
          <w:snapToGrid/>
          <w:lang w:val="en-US"/>
        </w:rPr>
        <w:t xml:space="preserve"> </w:t>
      </w:r>
      <w:r w:rsidRPr="007123A6">
        <w:rPr>
          <w:snapToGrid/>
          <w:lang w:val="en-US"/>
        </w:rPr>
        <w:t xml:space="preserve">As such, </w:t>
      </w:r>
      <w:r>
        <w:rPr>
          <w:snapToGrid/>
          <w:lang w:val="en-US"/>
        </w:rPr>
        <w:t>urban planning</w:t>
      </w:r>
      <w:r w:rsidRPr="007123A6">
        <w:rPr>
          <w:snapToGrid/>
          <w:lang w:val="en-US"/>
        </w:rPr>
        <w:t xml:space="preserve"> can have a direct impact on</w:t>
      </w:r>
      <w:r>
        <w:rPr>
          <w:snapToGrid/>
          <w:lang w:val="en-US"/>
        </w:rPr>
        <w:t xml:space="preserve"> </w:t>
      </w:r>
      <w:r w:rsidRPr="007123A6">
        <w:rPr>
          <w:snapToGrid/>
          <w:lang w:val="en-US"/>
        </w:rPr>
        <w:t>sustainable development,</w:t>
      </w:r>
      <w:r>
        <w:rPr>
          <w:snapToGrid/>
          <w:lang w:val="en-US"/>
        </w:rPr>
        <w:t xml:space="preserve"> </w:t>
      </w:r>
      <w:r w:rsidRPr="007123A6">
        <w:rPr>
          <w:snapToGrid/>
          <w:lang w:val="en-US"/>
        </w:rPr>
        <w:t xml:space="preserve">if uses of space and resources are proposed in ways that lead to more equitable socio-economic impacts, and the durable use of resources. </w:t>
      </w:r>
    </w:p>
    <w:p w14:paraId="08264F6D" w14:textId="48DDCF6F" w:rsidR="00650359" w:rsidRDefault="00650359" w:rsidP="00BB57EE">
      <w:pPr>
        <w:pStyle w:val="COMPara"/>
        <w:numPr>
          <w:ilvl w:val="0"/>
          <w:numId w:val="7"/>
        </w:numPr>
        <w:jc w:val="both"/>
        <w:rPr>
          <w:snapToGrid/>
          <w:lang w:val="en-US"/>
        </w:rPr>
      </w:pPr>
      <w:r w:rsidRPr="00FB0CA8">
        <w:rPr>
          <w:snapToGrid/>
          <w:lang w:val="en-US"/>
        </w:rPr>
        <w:t xml:space="preserve">It is </w:t>
      </w:r>
      <w:r w:rsidR="000A2C61">
        <w:rPr>
          <w:snapToGrid/>
          <w:lang w:val="en-US"/>
        </w:rPr>
        <w:t>important</w:t>
      </w:r>
      <w:r w:rsidRPr="00FB0CA8">
        <w:rPr>
          <w:snapToGrid/>
          <w:lang w:val="en-US"/>
        </w:rPr>
        <w:t xml:space="preserve"> to understand </w:t>
      </w:r>
      <w:r>
        <w:rPr>
          <w:snapToGrid/>
          <w:lang w:val="en-US"/>
        </w:rPr>
        <w:t>that while</w:t>
      </w:r>
      <w:r w:rsidRPr="00FB0CA8">
        <w:rPr>
          <w:snapToGrid/>
          <w:lang w:val="en-US"/>
        </w:rPr>
        <w:t xml:space="preserve"> </w:t>
      </w:r>
      <w:r>
        <w:rPr>
          <w:snapToGrid/>
          <w:lang w:val="en-US"/>
        </w:rPr>
        <w:t>intangible cultural heritage</w:t>
      </w:r>
      <w:r w:rsidRPr="00FB0CA8">
        <w:rPr>
          <w:snapToGrid/>
          <w:lang w:val="en-US"/>
        </w:rPr>
        <w:t xml:space="preserve"> </w:t>
      </w:r>
      <w:r>
        <w:rPr>
          <w:snapToGrid/>
          <w:lang w:val="en-US"/>
        </w:rPr>
        <w:t xml:space="preserve">is fragile </w:t>
      </w:r>
      <w:r w:rsidRPr="00FB0CA8">
        <w:rPr>
          <w:snapToGrid/>
          <w:lang w:val="en-US"/>
        </w:rPr>
        <w:t xml:space="preserve">in the face of </w:t>
      </w:r>
      <w:r w:rsidR="00CB3740">
        <w:rPr>
          <w:snapToGrid/>
          <w:lang w:val="en-US"/>
        </w:rPr>
        <w:t xml:space="preserve">inadequate or </w:t>
      </w:r>
      <w:r w:rsidRPr="00FB0CA8">
        <w:rPr>
          <w:snapToGrid/>
          <w:lang w:val="en-US"/>
        </w:rPr>
        <w:t>unsuitable urban planning provisions</w:t>
      </w:r>
      <w:r w:rsidR="009D3C07">
        <w:rPr>
          <w:snapToGrid/>
          <w:lang w:val="en-US"/>
        </w:rPr>
        <w:t>,</w:t>
      </w:r>
      <w:r w:rsidRPr="00FB0CA8">
        <w:rPr>
          <w:snapToGrid/>
          <w:lang w:val="en-US"/>
        </w:rPr>
        <w:t xml:space="preserve"> </w:t>
      </w:r>
      <w:r>
        <w:rPr>
          <w:snapToGrid/>
          <w:lang w:val="en-US"/>
        </w:rPr>
        <w:t xml:space="preserve">it has </w:t>
      </w:r>
      <w:r w:rsidR="00CB3740">
        <w:rPr>
          <w:snapToGrid/>
          <w:lang w:val="en-US"/>
        </w:rPr>
        <w:t xml:space="preserve">the </w:t>
      </w:r>
      <w:r>
        <w:rPr>
          <w:snapToGrid/>
          <w:lang w:val="en-US"/>
        </w:rPr>
        <w:t xml:space="preserve">potential </w:t>
      </w:r>
      <w:r w:rsidR="00CB3740">
        <w:rPr>
          <w:snapToGrid/>
          <w:lang w:val="en-US"/>
        </w:rPr>
        <w:t xml:space="preserve">to </w:t>
      </w:r>
      <w:r>
        <w:rPr>
          <w:snapToGrid/>
          <w:lang w:val="en-US"/>
        </w:rPr>
        <w:t>contribut</w:t>
      </w:r>
      <w:r w:rsidR="00CB3740">
        <w:rPr>
          <w:snapToGrid/>
          <w:lang w:val="en-US"/>
        </w:rPr>
        <w:t>e</w:t>
      </w:r>
      <w:r>
        <w:rPr>
          <w:snapToGrid/>
          <w:lang w:val="en-US"/>
        </w:rPr>
        <w:t xml:space="preserve"> positively to t</w:t>
      </w:r>
      <w:r w:rsidRPr="00FB0CA8">
        <w:rPr>
          <w:snapToGrid/>
          <w:lang w:val="en-US"/>
        </w:rPr>
        <w:t>he function of the city</w:t>
      </w:r>
      <w:r>
        <w:rPr>
          <w:snapToGrid/>
          <w:lang w:val="en-US"/>
        </w:rPr>
        <w:t>.</w:t>
      </w:r>
    </w:p>
    <w:p w14:paraId="40C1C5AA" w14:textId="77777777" w:rsidR="00650359" w:rsidRDefault="00650359" w:rsidP="00BB57EE">
      <w:pPr>
        <w:pStyle w:val="COMPara"/>
        <w:numPr>
          <w:ilvl w:val="0"/>
          <w:numId w:val="7"/>
        </w:numPr>
        <w:jc w:val="both"/>
        <w:rPr>
          <w:snapToGrid/>
          <w:lang w:val="en-US"/>
        </w:rPr>
      </w:pPr>
      <w:r>
        <w:rPr>
          <w:snapToGrid/>
          <w:lang w:val="en-US"/>
        </w:rPr>
        <w:t>U</w:t>
      </w:r>
      <w:r w:rsidRPr="007123A6">
        <w:rPr>
          <w:snapToGrid/>
          <w:lang w:val="en-US"/>
        </w:rPr>
        <w:t>rban planning can facilitate the</w:t>
      </w:r>
      <w:r>
        <w:rPr>
          <w:snapToGrid/>
          <w:lang w:val="en-US"/>
        </w:rPr>
        <w:t xml:space="preserve"> </w:t>
      </w:r>
      <w:r w:rsidRPr="007123A6">
        <w:rPr>
          <w:snapToGrid/>
          <w:lang w:val="en-US"/>
        </w:rPr>
        <w:t>safeguarding of living heritage</w:t>
      </w:r>
      <w:r>
        <w:rPr>
          <w:snapToGrid/>
          <w:lang w:val="en-US"/>
        </w:rPr>
        <w:t xml:space="preserve"> </w:t>
      </w:r>
      <w:r w:rsidRPr="007123A6">
        <w:rPr>
          <w:snapToGrid/>
          <w:lang w:val="en-US"/>
        </w:rPr>
        <w:t>by considering communities’ and practitioner needs in terms of spatial organization.</w:t>
      </w:r>
    </w:p>
    <w:p w14:paraId="64C8E605" w14:textId="77777777" w:rsidR="00650359" w:rsidRPr="00DB0DA1" w:rsidRDefault="00650359" w:rsidP="00BB57EE">
      <w:pPr>
        <w:pStyle w:val="COMPara"/>
        <w:numPr>
          <w:ilvl w:val="0"/>
          <w:numId w:val="7"/>
        </w:numPr>
        <w:jc w:val="both"/>
        <w:rPr>
          <w:snapToGrid/>
          <w:lang w:val="en-US"/>
        </w:rPr>
      </w:pPr>
      <w:r w:rsidRPr="007123A6">
        <w:rPr>
          <w:snapToGrid/>
          <w:lang w:val="en-US"/>
        </w:rPr>
        <w:t xml:space="preserve">Given how </w:t>
      </w:r>
      <w:r>
        <w:rPr>
          <w:snapToGrid/>
          <w:lang w:val="en-US"/>
        </w:rPr>
        <w:t>intangible cultural heritage</w:t>
      </w:r>
      <w:r w:rsidRPr="007123A6">
        <w:rPr>
          <w:snapToGrid/>
          <w:lang w:val="en-US"/>
        </w:rPr>
        <w:t xml:space="preserve"> can contribute to greater</w:t>
      </w:r>
      <w:r>
        <w:rPr>
          <w:snapToGrid/>
          <w:lang w:val="en-US"/>
        </w:rPr>
        <w:t xml:space="preserve"> </w:t>
      </w:r>
      <w:r w:rsidRPr="007123A6">
        <w:rPr>
          <w:snapToGrid/>
          <w:lang w:val="en-US"/>
        </w:rPr>
        <w:t>social cohesion</w:t>
      </w:r>
      <w:r>
        <w:rPr>
          <w:snapToGrid/>
          <w:lang w:val="en-US"/>
        </w:rPr>
        <w:t xml:space="preserve"> </w:t>
      </w:r>
      <w:r w:rsidRPr="007123A6">
        <w:rPr>
          <w:snapToGrid/>
          <w:lang w:val="en-US"/>
        </w:rPr>
        <w:t>and</w:t>
      </w:r>
      <w:r>
        <w:rPr>
          <w:snapToGrid/>
          <w:lang w:val="en-US"/>
        </w:rPr>
        <w:t xml:space="preserve"> </w:t>
      </w:r>
      <w:r w:rsidRPr="007123A6">
        <w:rPr>
          <w:snapToGrid/>
          <w:lang w:val="en-US"/>
        </w:rPr>
        <w:t>well-being</w:t>
      </w:r>
      <w:r>
        <w:rPr>
          <w:snapToGrid/>
          <w:lang w:val="en-US"/>
        </w:rPr>
        <w:t xml:space="preserve"> </w:t>
      </w:r>
      <w:r w:rsidRPr="007123A6">
        <w:rPr>
          <w:snapToGrid/>
          <w:lang w:val="en-US"/>
        </w:rPr>
        <w:t>as well as to livelihoods</w:t>
      </w:r>
      <w:r>
        <w:rPr>
          <w:snapToGrid/>
          <w:lang w:val="en-US"/>
        </w:rPr>
        <w:t>,</w:t>
      </w:r>
      <w:r w:rsidRPr="007123A6">
        <w:rPr>
          <w:snapToGrid/>
          <w:lang w:val="en-US"/>
        </w:rPr>
        <w:t xml:space="preserve"> it is </w:t>
      </w:r>
      <w:r>
        <w:rPr>
          <w:snapToGrid/>
          <w:lang w:val="en-US"/>
        </w:rPr>
        <w:t>essential</w:t>
      </w:r>
      <w:r w:rsidRPr="007123A6">
        <w:rPr>
          <w:snapToGrid/>
          <w:lang w:val="en-US"/>
        </w:rPr>
        <w:t xml:space="preserve"> that</w:t>
      </w:r>
      <w:r>
        <w:rPr>
          <w:snapToGrid/>
          <w:lang w:val="en-US"/>
        </w:rPr>
        <w:t xml:space="preserve"> </w:t>
      </w:r>
      <w:r w:rsidRPr="007123A6">
        <w:rPr>
          <w:snapToGrid/>
          <w:lang w:val="en-US"/>
        </w:rPr>
        <w:t>communities’ views and participation</w:t>
      </w:r>
      <w:r>
        <w:rPr>
          <w:snapToGrid/>
          <w:lang w:val="en-US"/>
        </w:rPr>
        <w:t xml:space="preserve"> </w:t>
      </w:r>
      <w:r w:rsidRPr="007123A6">
        <w:rPr>
          <w:snapToGrid/>
          <w:lang w:val="en-US"/>
        </w:rPr>
        <w:t>is sought in urban planning processes.</w:t>
      </w:r>
    </w:p>
    <w:p w14:paraId="5E6F3163" w14:textId="0846C6AD" w:rsidR="007C3F01" w:rsidRPr="003D64E3" w:rsidRDefault="007C3F01" w:rsidP="00BB57EE">
      <w:pPr>
        <w:pStyle w:val="COMPara"/>
        <w:numPr>
          <w:ilvl w:val="0"/>
          <w:numId w:val="6"/>
        </w:numPr>
        <w:ind w:left="360"/>
        <w:jc w:val="both"/>
        <w:rPr>
          <w:b/>
          <w:bCs/>
          <w:snapToGrid/>
          <w:lang w:val="en-US"/>
        </w:rPr>
      </w:pPr>
      <w:r w:rsidRPr="003D64E3">
        <w:rPr>
          <w:b/>
          <w:bCs/>
          <w:snapToGrid/>
          <w:lang w:val="en-US"/>
        </w:rPr>
        <w:t>Frameworks related to sustainable urban development</w:t>
      </w:r>
    </w:p>
    <w:p w14:paraId="2D02BEF0" w14:textId="44B9DEE2" w:rsidR="007C3F01" w:rsidRPr="007C3F01" w:rsidRDefault="007C3F01" w:rsidP="00720463">
      <w:pPr>
        <w:pStyle w:val="COMPara"/>
        <w:numPr>
          <w:ilvl w:val="0"/>
          <w:numId w:val="0"/>
        </w:numPr>
        <w:ind w:left="720" w:hanging="360"/>
        <w:jc w:val="both"/>
        <w:rPr>
          <w:snapToGrid/>
          <w:lang w:val="en-US"/>
        </w:rPr>
      </w:pPr>
      <w:r w:rsidRPr="007C3F01">
        <w:rPr>
          <w:snapToGrid/>
          <w:u w:val="single"/>
          <w:lang w:val="en-US"/>
        </w:rPr>
        <w:t xml:space="preserve">2003 Convention for the Safeguarding of the Intangible </w:t>
      </w:r>
      <w:r w:rsidRPr="006754BF">
        <w:rPr>
          <w:snapToGrid/>
          <w:u w:val="single"/>
          <w:lang w:val="en-US"/>
        </w:rPr>
        <w:t>Cultural Heritage</w:t>
      </w:r>
    </w:p>
    <w:p w14:paraId="52A8B2C7" w14:textId="006B9EFC" w:rsidR="00E06C70" w:rsidRDefault="00E06C70" w:rsidP="00720463">
      <w:pPr>
        <w:pStyle w:val="COMPara"/>
        <w:ind w:left="360"/>
        <w:jc w:val="both"/>
        <w:rPr>
          <w:snapToGrid/>
          <w:lang w:val="en-US"/>
        </w:rPr>
      </w:pPr>
      <w:r>
        <w:t>For the purpose</w:t>
      </w:r>
      <w:r w:rsidR="00CB3740">
        <w:t>s</w:t>
      </w:r>
      <w:r>
        <w:t xml:space="preserve"> of the 2003 Convention, </w:t>
      </w:r>
      <w:r w:rsidRPr="00D51E66">
        <w:rPr>
          <w:b/>
          <w:bCs/>
        </w:rPr>
        <w:t>intangible cultural heritage</w:t>
      </w:r>
      <w:r w:rsidRPr="00E4406F">
        <w:t xml:space="preserve"> (or living heritage) covers a range of domains, </w:t>
      </w:r>
      <w:bookmarkStart w:id="1" w:name="_Hlk177382402"/>
      <w:r w:rsidRPr="00E4406F">
        <w:t xml:space="preserve">including oral expressions such as poetry and song, performing arts such as dance and theatre, social practices, including rituals and festive events, and </w:t>
      </w:r>
      <w:r w:rsidRPr="00E4406F">
        <w:rPr>
          <w:snapToGrid/>
          <w:lang w:eastAsia="es-MX"/>
        </w:rPr>
        <w:t xml:space="preserve">crafts and </w:t>
      </w:r>
      <w:r w:rsidRPr="00E4406F">
        <w:t>knowledge related to nature and the universe, encompassing agricultural practices and fisheries</w:t>
      </w:r>
      <w:bookmarkEnd w:id="1"/>
      <w:r w:rsidRPr="00E4406F">
        <w:t>. These forms of knowledge and practice are typically enacted and transmitted by communities, groups or individuals (hereafter “communities”)</w:t>
      </w:r>
      <w:r w:rsidR="005C1AFC">
        <w:t>,</w:t>
      </w:r>
      <w:r w:rsidRPr="00E4406F">
        <w:t xml:space="preserve"> which they consider as part of their living heritage.</w:t>
      </w:r>
    </w:p>
    <w:p w14:paraId="78BA9DFE" w14:textId="3FE57631" w:rsidR="00F855F2" w:rsidRDefault="005C1AFC" w:rsidP="00720463">
      <w:pPr>
        <w:pStyle w:val="COMPara"/>
        <w:ind w:left="360"/>
        <w:jc w:val="both"/>
      </w:pPr>
      <w:r>
        <w:t xml:space="preserve">Chapter VI of </w:t>
      </w:r>
      <w:r w:rsidR="00F855F2">
        <w:t xml:space="preserve">the </w:t>
      </w:r>
      <w:r>
        <w:t xml:space="preserve">2003 Convention’s </w:t>
      </w:r>
      <w:r w:rsidR="00F855F2">
        <w:t xml:space="preserve">Operational Directives </w:t>
      </w:r>
      <w:r>
        <w:t>(</w:t>
      </w:r>
      <w:r w:rsidR="00F855F2">
        <w:t>Safeguarding intangible cultural heritage and sustainable development at the national level</w:t>
      </w:r>
      <w:r>
        <w:t>)</w:t>
      </w:r>
      <w:r w:rsidR="00FB12F7">
        <w:t xml:space="preserve"> requires States Parties to acknowledge the dynamic nature of intangible cultural heritage </w:t>
      </w:r>
      <w:r w:rsidR="00FB12F7" w:rsidRPr="00FB12F7">
        <w:rPr>
          <w:u w:val="single"/>
        </w:rPr>
        <w:t>in both urban and rural contexts</w:t>
      </w:r>
      <w:r w:rsidR="00FB12F7">
        <w:t>, while endeavouring to recognize the importance and strengthen the role of intangible cultural heritage as a driver an</w:t>
      </w:r>
      <w:r w:rsidR="00E06C70">
        <w:t>d</w:t>
      </w:r>
      <w:r w:rsidR="00FB12F7">
        <w:t xml:space="preserve"> guarantee of sustainable development (paragraph 170).</w:t>
      </w:r>
      <w:r w:rsidR="00D51E66">
        <w:t xml:space="preserve"> </w:t>
      </w:r>
      <w:r>
        <w:t>This also includes t</w:t>
      </w:r>
      <w:r w:rsidR="00D51E66">
        <w:t xml:space="preserve">he key role of intangible cultural heritage </w:t>
      </w:r>
      <w:r>
        <w:t xml:space="preserve">in </w:t>
      </w:r>
      <w:r w:rsidR="00D51E66">
        <w:t>other aspects of sustainable development in urban contexts, such as food security, water management systems, inclusive economic development, environmental sustainability amongst others.</w:t>
      </w:r>
    </w:p>
    <w:p w14:paraId="7A6752F7" w14:textId="4CD56DFE" w:rsidR="001002C3" w:rsidRPr="001002C3" w:rsidRDefault="001002C3" w:rsidP="00EF31E0">
      <w:pPr>
        <w:pStyle w:val="COMPara"/>
        <w:keepNext/>
        <w:numPr>
          <w:ilvl w:val="0"/>
          <w:numId w:val="0"/>
        </w:numPr>
        <w:ind w:left="720" w:hanging="360"/>
        <w:jc w:val="both"/>
        <w:rPr>
          <w:u w:val="single"/>
        </w:rPr>
      </w:pPr>
      <w:r w:rsidRPr="001002C3">
        <w:rPr>
          <w:u w:val="single"/>
        </w:rPr>
        <w:lastRenderedPageBreak/>
        <w:t>Other UNESCO frameworks</w:t>
      </w:r>
      <w:r w:rsidR="00530777">
        <w:rPr>
          <w:u w:val="single"/>
        </w:rPr>
        <w:t xml:space="preserve"> and programmes</w:t>
      </w:r>
    </w:p>
    <w:p w14:paraId="19591A9E" w14:textId="0829EAFF" w:rsidR="00325583" w:rsidRPr="001002C3" w:rsidRDefault="00650359" w:rsidP="00720463">
      <w:pPr>
        <w:pStyle w:val="COMPara"/>
        <w:ind w:left="360"/>
        <w:jc w:val="both"/>
      </w:pPr>
      <w:r>
        <w:rPr>
          <w:snapToGrid/>
          <w:lang w:val="en-US"/>
        </w:rPr>
        <w:t xml:space="preserve">The Recommendation on the </w:t>
      </w:r>
      <w:hyperlink r:id="rId19" w:history="1">
        <w:r w:rsidRPr="00C33081">
          <w:rPr>
            <w:rStyle w:val="Hyperlink"/>
            <w:snapToGrid/>
            <w:lang w:val="en-US"/>
          </w:rPr>
          <w:t>Historic Urban Landscape</w:t>
        </w:r>
      </w:hyperlink>
      <w:r>
        <w:rPr>
          <w:snapToGrid/>
          <w:lang w:val="en-US"/>
        </w:rPr>
        <w:t xml:space="preserve"> (UNESCO</w:t>
      </w:r>
      <w:r w:rsidR="005C1AFC">
        <w:rPr>
          <w:snapToGrid/>
          <w:lang w:val="en-US"/>
        </w:rPr>
        <w:t>,</w:t>
      </w:r>
      <w:r>
        <w:rPr>
          <w:snapToGrid/>
          <w:lang w:val="en-US"/>
        </w:rPr>
        <w:t xml:space="preserve"> 2011</w:t>
      </w:r>
      <w:r w:rsidR="002A4D71">
        <w:rPr>
          <w:snapToGrid/>
          <w:lang w:val="en-US"/>
        </w:rPr>
        <w:t>;</w:t>
      </w:r>
      <w:r w:rsidR="00CB196F">
        <w:rPr>
          <w:snapToGrid/>
          <w:lang w:val="en-US"/>
        </w:rPr>
        <w:t xml:space="preserve"> </w:t>
      </w:r>
      <w:r w:rsidR="002A4D71">
        <w:rPr>
          <w:snapToGrid/>
          <w:lang w:val="en-US"/>
        </w:rPr>
        <w:t>hereafter ‘</w:t>
      </w:r>
      <w:r w:rsidR="00CB196F">
        <w:rPr>
          <w:snapToGrid/>
          <w:lang w:val="en-US"/>
        </w:rPr>
        <w:t xml:space="preserve">HUL </w:t>
      </w:r>
      <w:r w:rsidR="002A4D71">
        <w:rPr>
          <w:snapToGrid/>
          <w:lang w:val="en-US"/>
        </w:rPr>
        <w:t>R</w:t>
      </w:r>
      <w:r w:rsidR="00CB196F">
        <w:rPr>
          <w:snapToGrid/>
          <w:lang w:val="en-US"/>
        </w:rPr>
        <w:t>ecommendation</w:t>
      </w:r>
      <w:r w:rsidR="002A4D71">
        <w:rPr>
          <w:snapToGrid/>
          <w:lang w:val="en-US"/>
        </w:rPr>
        <w:t>’)</w:t>
      </w:r>
      <w:r w:rsidR="00CB196F">
        <w:rPr>
          <w:snapToGrid/>
          <w:lang w:val="en-US"/>
        </w:rPr>
        <w:t xml:space="preserve"> under the 1972 World Heritage Convention proposes a vision in which urban development and heritage conservation complement each other. With a focus on the protection of historic areas, the </w:t>
      </w:r>
      <w:r w:rsidR="002A4D71">
        <w:rPr>
          <w:snapToGrid/>
          <w:lang w:val="en-US"/>
        </w:rPr>
        <w:t>R</w:t>
      </w:r>
      <w:r w:rsidR="00CB196F">
        <w:rPr>
          <w:snapToGrid/>
          <w:lang w:val="en-US"/>
        </w:rPr>
        <w:t xml:space="preserve">ecommendation recalls the need to safeguard urban heritage, including both tangible and intangible aspects, to achieve a balance between urban growth and quality of life, improve the productive and sustainable use of urban spaces and promote social and economic development. As a point of clear synergy with the 2003 Convention, the HUL </w:t>
      </w:r>
      <w:r w:rsidR="002A4D71">
        <w:rPr>
          <w:snapToGrid/>
          <w:lang w:val="en-US"/>
        </w:rPr>
        <w:t>R</w:t>
      </w:r>
      <w:r w:rsidR="00CB196F">
        <w:rPr>
          <w:snapToGrid/>
          <w:lang w:val="en-US"/>
        </w:rPr>
        <w:t xml:space="preserve">ecommendation highlights the need to promote community participation in decision-making, yet it does not mention the contribution of the intangible cultural heritage </w:t>
      </w:r>
      <w:r w:rsidR="00660226">
        <w:rPr>
          <w:snapToGrid/>
          <w:lang w:val="en-US"/>
        </w:rPr>
        <w:t>int</w:t>
      </w:r>
      <w:r w:rsidR="00CB196F">
        <w:rPr>
          <w:snapToGrid/>
          <w:lang w:val="en-US"/>
        </w:rPr>
        <w:t>o urban planning or the need to integrate it</w:t>
      </w:r>
      <w:r w:rsidR="00660226">
        <w:rPr>
          <w:snapToGrid/>
          <w:lang w:val="en-US"/>
        </w:rPr>
        <w:t xml:space="preserve"> in</w:t>
      </w:r>
      <w:r w:rsidR="00CB196F">
        <w:rPr>
          <w:snapToGrid/>
          <w:lang w:val="en-US"/>
        </w:rPr>
        <w:t xml:space="preserve"> the urban planning processes.</w:t>
      </w:r>
    </w:p>
    <w:p w14:paraId="56BF19EB" w14:textId="53405841" w:rsidR="001002C3" w:rsidRDefault="00530777" w:rsidP="00720463">
      <w:pPr>
        <w:pStyle w:val="COMPara"/>
        <w:ind w:left="360"/>
        <w:jc w:val="both"/>
      </w:pPr>
      <w:r>
        <w:t xml:space="preserve">The </w:t>
      </w:r>
      <w:hyperlink r:id="rId20" w:history="1">
        <w:r w:rsidRPr="003F7D51">
          <w:rPr>
            <w:rStyle w:val="Hyperlink"/>
          </w:rPr>
          <w:t>UNESCO Creative Cities Network</w:t>
        </w:r>
      </w:hyperlink>
      <w:r>
        <w:t xml:space="preserve"> was created in 2004 to promote cooperation with and among cities that have identified creativity as a strategic factor for sustainable urban development. The 350 cities around the world which currently make up this network work together towards a common objective placing creativity and cultural industries at the heart of their development plans at the local level and cooperation actively at the international level. The network represents eight creative fields: architecture, crafts and folk art, design, film, gastronomy, literature, media arts and music.</w:t>
      </w:r>
      <w:r w:rsidR="00CF3AE9">
        <w:t xml:space="preserve"> </w:t>
      </w:r>
      <w:r w:rsidR="00AA5107">
        <w:t xml:space="preserve">It should be noted that, in many cases, </w:t>
      </w:r>
      <w:r w:rsidR="004A079A">
        <w:t xml:space="preserve">these </w:t>
      </w:r>
      <w:r w:rsidR="00AA5107">
        <w:t>cities have living heritage at the centre of their creative and cultural industries.</w:t>
      </w:r>
    </w:p>
    <w:p w14:paraId="0F32FFE6" w14:textId="1398397E" w:rsidR="00C4185F" w:rsidRPr="00CC20FA" w:rsidRDefault="00CC20FA" w:rsidP="00720463">
      <w:pPr>
        <w:pStyle w:val="COMPara"/>
        <w:numPr>
          <w:ilvl w:val="0"/>
          <w:numId w:val="0"/>
        </w:numPr>
        <w:ind w:left="720" w:hanging="360"/>
        <w:jc w:val="both"/>
        <w:rPr>
          <w:u w:val="single"/>
        </w:rPr>
      </w:pPr>
      <w:r w:rsidRPr="00CC20FA">
        <w:rPr>
          <w:u w:val="single"/>
        </w:rPr>
        <w:t xml:space="preserve">Other </w:t>
      </w:r>
      <w:r w:rsidR="00C4185F" w:rsidRPr="00CC20FA">
        <w:rPr>
          <w:u w:val="single"/>
        </w:rPr>
        <w:t>UN frameworks</w:t>
      </w:r>
    </w:p>
    <w:p w14:paraId="03705713" w14:textId="62A54266" w:rsidR="00C4185F" w:rsidRPr="00650359" w:rsidRDefault="00BC65D7" w:rsidP="00720463">
      <w:pPr>
        <w:pStyle w:val="COMPara"/>
        <w:ind w:left="360"/>
        <w:jc w:val="both"/>
      </w:pPr>
      <w:r>
        <w:t>The 2030 Sustainable Development Goal (</w:t>
      </w:r>
      <w:r w:rsidR="00C855EF">
        <w:t>SDG</w:t>
      </w:r>
      <w:r>
        <w:t xml:space="preserve">) </w:t>
      </w:r>
      <w:r w:rsidR="00C855EF">
        <w:t xml:space="preserve">11 on Sustainable Cities and Communities recalls the importance of safeguarding cultural heritage for sustainable development. In this regard, countries have committed to ‘making cities and human settlements inclusive, safe, resilient and sustainable’ and, specifically, within this goal, </w:t>
      </w:r>
      <w:r w:rsidR="002A4D71">
        <w:t>T</w:t>
      </w:r>
      <w:r w:rsidR="00C855EF">
        <w:t>arget 11.4 aims to ‘strengthen efforts to protect and safeguard the world’s cultural and natural herit</w:t>
      </w:r>
      <w:r>
        <w:t>a</w:t>
      </w:r>
      <w:r w:rsidR="00C855EF">
        <w:t>ge’.</w:t>
      </w:r>
      <w:r w:rsidR="00EF2950">
        <w:t xml:space="preserve"> Under this overall international framework, the New Urban Agenda (2016) aims to make cities more inclusive, safe, resilient and sustainable </w:t>
      </w:r>
      <w:r w:rsidR="00FA57E5">
        <w:t xml:space="preserve">and </w:t>
      </w:r>
      <w:r w:rsidR="002A4D71">
        <w:t xml:space="preserve">notably </w:t>
      </w:r>
      <w:r w:rsidR="00FA57E5">
        <w:t xml:space="preserve">calls </w:t>
      </w:r>
      <w:r w:rsidR="002A4D71">
        <w:t xml:space="preserve">for the inclusion of </w:t>
      </w:r>
      <w:r w:rsidR="00FA57E5">
        <w:t>‘culture as a priority component of urban plans and strategic development policies that safeguard the tangible and intangible cultural heritage and landscape’ and to ‘protect them from the potential disruptive impacts of urban development’. Furthermore, this agenda shares a vision of ‘cities for all’, referring to the equal use and enjoyment of cities and human settlements</w:t>
      </w:r>
      <w:r w:rsidR="006152F5">
        <w:t xml:space="preserve">, echoing the principles previously </w:t>
      </w:r>
      <w:r w:rsidR="002A4D71">
        <w:t xml:space="preserve">laid </w:t>
      </w:r>
      <w:r w:rsidR="006152F5">
        <w:t>out in the World Cha</w:t>
      </w:r>
      <w:r w:rsidR="002A4D71">
        <w:t>r</w:t>
      </w:r>
      <w:r w:rsidR="006152F5">
        <w:t xml:space="preserve">ter for the Right to the City, a civil society initiative </w:t>
      </w:r>
      <w:r w:rsidR="0055661F">
        <w:t>that emphasizes the</w:t>
      </w:r>
      <w:r w:rsidR="006152F5">
        <w:t xml:space="preserve"> promoti</w:t>
      </w:r>
      <w:r w:rsidR="0055661F">
        <w:t>on of</w:t>
      </w:r>
      <w:r w:rsidR="006152F5">
        <w:t xml:space="preserve"> human rights, equity and the participation of all stakeholders </w:t>
      </w:r>
      <w:r w:rsidR="006E627E">
        <w:t>in</w:t>
      </w:r>
      <w:r w:rsidR="006152F5">
        <w:t xml:space="preserve"> shaping urban spaces.</w:t>
      </w:r>
      <w:r w:rsidR="00AA5107">
        <w:t xml:space="preserve"> In addition, </w:t>
      </w:r>
      <w:r w:rsidR="00AA5107">
        <w:rPr>
          <w:lang w:val="en-US"/>
        </w:rPr>
        <w:t>several</w:t>
      </w:r>
      <w:r w:rsidR="00AA5107" w:rsidRPr="00AA5107">
        <w:rPr>
          <w:lang w:val="en-US"/>
        </w:rPr>
        <w:t xml:space="preserve"> </w:t>
      </w:r>
      <w:r w:rsidR="00AA5107">
        <w:rPr>
          <w:lang w:val="en-US"/>
        </w:rPr>
        <w:t xml:space="preserve">UN </w:t>
      </w:r>
      <w:r w:rsidR="00AA5107" w:rsidRPr="00AA5107">
        <w:rPr>
          <w:lang w:val="en-US"/>
        </w:rPr>
        <w:t>frameworks and guidelines</w:t>
      </w:r>
      <w:r w:rsidR="00AA5107">
        <w:rPr>
          <w:lang w:val="en-US"/>
        </w:rPr>
        <w:t xml:space="preserve"> </w:t>
      </w:r>
      <w:r w:rsidR="00AA5107" w:rsidRPr="00AA5107">
        <w:rPr>
          <w:lang w:val="en-US"/>
        </w:rPr>
        <w:t>make reference to the importance of culture and cultural heritage and their spatial dimensions</w:t>
      </w:r>
      <w:r w:rsidR="00AA5107">
        <w:rPr>
          <w:lang w:val="en-US"/>
        </w:rPr>
        <w:t xml:space="preserve"> </w:t>
      </w:r>
      <w:r w:rsidR="00AA5107" w:rsidRPr="00AA5107">
        <w:rPr>
          <w:lang w:val="en-US"/>
        </w:rPr>
        <w:t>– such as ‘</w:t>
      </w:r>
      <w:hyperlink r:id="rId21" w:history="1">
        <w:r w:rsidR="00AA5107" w:rsidRPr="00AA5107">
          <w:rPr>
            <w:rStyle w:val="Hyperlink"/>
            <w:lang w:val="en-US"/>
          </w:rPr>
          <w:t>Urban Planning for City Leaders</w:t>
        </w:r>
      </w:hyperlink>
      <w:r w:rsidR="00AA5107" w:rsidRPr="00AA5107">
        <w:rPr>
          <w:lang w:val="en-US"/>
        </w:rPr>
        <w:t xml:space="preserve">’ (UN Habitat, 2014); the </w:t>
      </w:r>
      <w:hyperlink r:id="rId22" w:history="1">
        <w:r w:rsidR="00AA5107" w:rsidRPr="00AA5107">
          <w:rPr>
            <w:rStyle w:val="Hyperlink"/>
            <w:lang w:val="en-US"/>
          </w:rPr>
          <w:t>International Guidelines on Urban and Territorial Planning</w:t>
        </w:r>
      </w:hyperlink>
      <w:r w:rsidR="00AA5107" w:rsidRPr="00AA5107">
        <w:rPr>
          <w:lang w:val="en-US"/>
        </w:rPr>
        <w:t xml:space="preserve"> (UN Habitat, 2015) and ‘</w:t>
      </w:r>
      <w:hyperlink r:id="rId23" w:history="1">
        <w:r w:rsidR="00AA5107" w:rsidRPr="00AA5107">
          <w:rPr>
            <w:rStyle w:val="Hyperlink"/>
            <w:lang w:val="en-US"/>
          </w:rPr>
          <w:t>Our City Plans</w:t>
        </w:r>
      </w:hyperlink>
      <w:r w:rsidR="00AA5107" w:rsidRPr="00AA5107">
        <w:rPr>
          <w:lang w:val="en-US"/>
        </w:rPr>
        <w:t>’ (UN Habitat, 2024)</w:t>
      </w:r>
      <w:r w:rsidR="00AA5107">
        <w:rPr>
          <w:lang w:val="en-US"/>
        </w:rPr>
        <w:t>.</w:t>
      </w:r>
    </w:p>
    <w:p w14:paraId="5B847C07" w14:textId="5D35CADC" w:rsidR="00325583" w:rsidRDefault="008441AF" w:rsidP="00BB57EE">
      <w:pPr>
        <w:pStyle w:val="COMPara"/>
        <w:numPr>
          <w:ilvl w:val="0"/>
          <w:numId w:val="6"/>
        </w:numPr>
        <w:ind w:left="360"/>
        <w:jc w:val="both"/>
        <w:rPr>
          <w:b/>
          <w:bCs/>
        </w:rPr>
      </w:pPr>
      <w:r>
        <w:rPr>
          <w:b/>
          <w:bCs/>
        </w:rPr>
        <w:t>Considerations</w:t>
      </w:r>
      <w:r w:rsidR="003D64E3">
        <w:rPr>
          <w:b/>
          <w:bCs/>
        </w:rPr>
        <w:t xml:space="preserve"> </w:t>
      </w:r>
      <w:r w:rsidR="008D21E5">
        <w:rPr>
          <w:b/>
          <w:bCs/>
        </w:rPr>
        <w:t>for incorporating intangible cultural heritage in urban planning</w:t>
      </w:r>
    </w:p>
    <w:p w14:paraId="20797EE0" w14:textId="1B047892" w:rsidR="0084403C" w:rsidRDefault="0084403C" w:rsidP="00720463">
      <w:pPr>
        <w:pStyle w:val="COMPara"/>
        <w:ind w:left="360"/>
        <w:jc w:val="both"/>
        <w:rPr>
          <w:lang w:val="en-US"/>
        </w:rPr>
      </w:pPr>
      <w:r>
        <w:rPr>
          <w:lang w:val="en-US"/>
        </w:rPr>
        <w:t xml:space="preserve">Some </w:t>
      </w:r>
      <w:r w:rsidRPr="008D0A18">
        <w:rPr>
          <w:b/>
          <w:bCs/>
          <w:lang w:val="en-US"/>
        </w:rPr>
        <w:t>benefits</w:t>
      </w:r>
      <w:r>
        <w:rPr>
          <w:lang w:val="en-US"/>
        </w:rPr>
        <w:t xml:space="preserve"> for incorporating intangible cultural heritage into urban planning include a strengthened sense of identity and belonging to a community or place; a means of sustainable livelihood, the protection of local economies; and strengthened inter-generational communication through the practice of intangible cultural heritage. </w:t>
      </w:r>
      <w:r w:rsidR="00386178">
        <w:rPr>
          <w:lang w:val="en-US"/>
        </w:rPr>
        <w:t>Other benefits may include enhanced intra and inter-community tolerance, including increased respect for cultural diversity and mutual understanding, and in some cases environmental protection</w:t>
      </w:r>
      <w:r w:rsidR="000B4280">
        <w:rPr>
          <w:lang w:val="en-US"/>
        </w:rPr>
        <w:t>, climate change adaptation</w:t>
      </w:r>
      <w:r w:rsidR="00386178">
        <w:rPr>
          <w:lang w:val="en-US"/>
        </w:rPr>
        <w:t xml:space="preserve"> and risk preparedness</w:t>
      </w:r>
      <w:r w:rsidR="000B4280">
        <w:rPr>
          <w:lang w:val="en-US"/>
        </w:rPr>
        <w:t xml:space="preserve"> against disasters,</w:t>
      </w:r>
      <w:r w:rsidR="00386178">
        <w:rPr>
          <w:lang w:val="en-US"/>
        </w:rPr>
        <w:t xml:space="preserve"> as it relates to specific knowledge, traditions and practices of communities with ecological or environmental understanding or coping mechanisms.</w:t>
      </w:r>
    </w:p>
    <w:p w14:paraId="3EDC9B9B" w14:textId="40D6F012" w:rsidR="00CE7A40" w:rsidRPr="00706DC1" w:rsidRDefault="007D3BB2" w:rsidP="00720463">
      <w:pPr>
        <w:pStyle w:val="COMPara"/>
        <w:ind w:left="360"/>
        <w:jc w:val="both"/>
        <w:rPr>
          <w:lang w:val="en-US"/>
        </w:rPr>
      </w:pPr>
      <w:r w:rsidRPr="00706DC1">
        <w:rPr>
          <w:lang w:val="en-US"/>
        </w:rPr>
        <w:t>Inversely,</w:t>
      </w:r>
      <w:r w:rsidR="003E6148">
        <w:rPr>
          <w:lang w:val="en-US"/>
        </w:rPr>
        <w:t xml:space="preserve"> the</w:t>
      </w:r>
      <w:r w:rsidRPr="00706DC1">
        <w:rPr>
          <w:lang w:val="en-US"/>
        </w:rPr>
        <w:t xml:space="preserve"> </w:t>
      </w:r>
      <w:r w:rsidR="00CE7A40" w:rsidRPr="00706DC1">
        <w:rPr>
          <w:b/>
          <w:bCs/>
          <w:lang w:val="en-US"/>
        </w:rPr>
        <w:t>threats</w:t>
      </w:r>
      <w:r w:rsidR="00CE7A40" w:rsidRPr="00706DC1">
        <w:rPr>
          <w:lang w:val="en-US"/>
        </w:rPr>
        <w:t xml:space="preserve"> to </w:t>
      </w:r>
      <w:r w:rsidR="0055661F">
        <w:rPr>
          <w:lang w:val="en-US"/>
        </w:rPr>
        <w:t xml:space="preserve">the </w:t>
      </w:r>
      <w:r w:rsidR="00CE7A40" w:rsidRPr="00706DC1">
        <w:rPr>
          <w:lang w:val="en-US"/>
        </w:rPr>
        <w:t>living heritage</w:t>
      </w:r>
      <w:r w:rsidR="00706DC1">
        <w:rPr>
          <w:lang w:val="en-US"/>
        </w:rPr>
        <w:t xml:space="preserve"> of communities living</w:t>
      </w:r>
      <w:r w:rsidR="00CE7A40" w:rsidRPr="00706DC1">
        <w:rPr>
          <w:lang w:val="en-US"/>
        </w:rPr>
        <w:t xml:space="preserve"> in </w:t>
      </w:r>
      <w:r w:rsidR="00706DC1">
        <w:rPr>
          <w:lang w:val="en-US"/>
        </w:rPr>
        <w:t xml:space="preserve">fast-evolving </w:t>
      </w:r>
      <w:r w:rsidR="00CE7A40" w:rsidRPr="00706DC1">
        <w:rPr>
          <w:lang w:val="en-US"/>
        </w:rPr>
        <w:t xml:space="preserve">urban contexts are </w:t>
      </w:r>
      <w:r w:rsidR="003E6148">
        <w:rPr>
          <w:lang w:val="en-US"/>
        </w:rPr>
        <w:t>numerous and varied</w:t>
      </w:r>
      <w:r w:rsidR="0055661F">
        <w:rPr>
          <w:lang w:val="en-US"/>
        </w:rPr>
        <w:t>.</w:t>
      </w:r>
      <w:r w:rsidR="00276943" w:rsidRPr="00706DC1">
        <w:rPr>
          <w:lang w:val="en-US"/>
        </w:rPr>
        <w:t xml:space="preserve"> </w:t>
      </w:r>
      <w:r w:rsidR="0055661F">
        <w:rPr>
          <w:lang w:val="en-US"/>
        </w:rPr>
        <w:t>The most significant of these is the</w:t>
      </w:r>
      <w:r w:rsidR="00276943" w:rsidRPr="00706DC1">
        <w:rPr>
          <w:lang w:val="en-US"/>
        </w:rPr>
        <w:t xml:space="preserve"> intervention or physical modification of public spaces in which intangible cultural heritage practices are traditionally expressed (such as markets, bazaars for local trade and craftsmanship)</w:t>
      </w:r>
      <w:r w:rsidR="00745EB7">
        <w:rPr>
          <w:lang w:val="en-US"/>
        </w:rPr>
        <w:t>, which</w:t>
      </w:r>
      <w:r w:rsidR="00CE7A40" w:rsidRPr="00706DC1">
        <w:rPr>
          <w:lang w:val="en-US"/>
        </w:rPr>
        <w:t xml:space="preserve"> </w:t>
      </w:r>
      <w:r w:rsidR="00276943" w:rsidRPr="00706DC1">
        <w:rPr>
          <w:lang w:val="en-US"/>
        </w:rPr>
        <w:t>can have direct and visible consequences.</w:t>
      </w:r>
      <w:r w:rsidR="00706DC1">
        <w:rPr>
          <w:lang w:val="en-US"/>
        </w:rPr>
        <w:t xml:space="preserve"> </w:t>
      </w:r>
      <w:r w:rsidR="000B4280">
        <w:rPr>
          <w:lang w:val="en-US"/>
        </w:rPr>
        <w:t>Economic engagement of communities in urban contexts bring</w:t>
      </w:r>
      <w:r w:rsidR="00745EB7">
        <w:rPr>
          <w:lang w:val="en-US"/>
        </w:rPr>
        <w:t>s</w:t>
      </w:r>
      <w:r w:rsidR="000B4280">
        <w:rPr>
          <w:lang w:val="en-US"/>
        </w:rPr>
        <w:t xml:space="preserve"> out specific threats to the practice of intangible cultural heritage</w:t>
      </w:r>
      <w:r w:rsidR="00745EB7">
        <w:rPr>
          <w:lang w:val="en-US"/>
        </w:rPr>
        <w:t>,</w:t>
      </w:r>
      <w:r w:rsidR="000B4280">
        <w:rPr>
          <w:lang w:val="en-US"/>
        </w:rPr>
        <w:t xml:space="preserve"> such as over-commercialization and </w:t>
      </w:r>
      <w:proofErr w:type="spellStart"/>
      <w:r w:rsidR="000B4280">
        <w:rPr>
          <w:lang w:val="en-US"/>
        </w:rPr>
        <w:t>decontexualization</w:t>
      </w:r>
      <w:proofErr w:type="spellEnd"/>
      <w:r w:rsidR="000B4280">
        <w:rPr>
          <w:lang w:val="en-US"/>
        </w:rPr>
        <w:t xml:space="preserve">. </w:t>
      </w:r>
      <w:r w:rsidR="00276943" w:rsidRPr="00706DC1">
        <w:rPr>
          <w:lang w:val="en-US"/>
        </w:rPr>
        <w:t xml:space="preserve">Other </w:t>
      </w:r>
      <w:r w:rsidR="00745EB7">
        <w:rPr>
          <w:lang w:val="en-US"/>
        </w:rPr>
        <w:t>overarching</w:t>
      </w:r>
      <w:r w:rsidR="00745EB7" w:rsidRPr="00706DC1">
        <w:rPr>
          <w:lang w:val="en-US"/>
        </w:rPr>
        <w:t xml:space="preserve"> </w:t>
      </w:r>
      <w:r w:rsidR="00276943" w:rsidRPr="00706DC1">
        <w:rPr>
          <w:lang w:val="en-US"/>
        </w:rPr>
        <w:t>threats</w:t>
      </w:r>
      <w:r w:rsidR="00CE7A40" w:rsidRPr="00706DC1">
        <w:rPr>
          <w:lang w:val="en-US"/>
        </w:rPr>
        <w:t xml:space="preserve"> can include population mobility, fragmented social </w:t>
      </w:r>
      <w:r w:rsidR="00CE7A40" w:rsidRPr="00706DC1">
        <w:rPr>
          <w:lang w:val="en-US"/>
        </w:rPr>
        <w:lastRenderedPageBreak/>
        <w:t xml:space="preserve">structures, rapidly changing lifestyles </w:t>
      </w:r>
      <w:r w:rsidR="003373CB">
        <w:rPr>
          <w:lang w:val="en-US"/>
        </w:rPr>
        <w:t xml:space="preserve">and </w:t>
      </w:r>
      <w:r w:rsidR="00CE7A40" w:rsidRPr="00706DC1">
        <w:rPr>
          <w:lang w:val="en-US"/>
        </w:rPr>
        <w:t xml:space="preserve">waning interest in living heritage among youth, </w:t>
      </w:r>
      <w:r w:rsidR="00745EB7">
        <w:rPr>
          <w:lang w:val="en-US"/>
        </w:rPr>
        <w:t xml:space="preserve">and the displacement of </w:t>
      </w:r>
      <w:r w:rsidR="00CE7A40" w:rsidRPr="00706DC1">
        <w:rPr>
          <w:lang w:val="en-US"/>
        </w:rPr>
        <w:t>communities due to gentrification and rising costs, among other factors.</w:t>
      </w:r>
    </w:p>
    <w:p w14:paraId="2B1E13D9" w14:textId="4CE73320" w:rsidR="00D44A25" w:rsidRDefault="00167EE7" w:rsidP="00720463">
      <w:pPr>
        <w:pStyle w:val="COMPara"/>
        <w:ind w:left="360"/>
        <w:jc w:val="both"/>
      </w:pPr>
      <w:r w:rsidRPr="00720463">
        <w:rPr>
          <w:lang w:val="en-US"/>
        </w:rPr>
        <w:t>In</w:t>
      </w:r>
      <w:r>
        <w:t xml:space="preserve"> terms of </w:t>
      </w:r>
      <w:r w:rsidRPr="000E025A">
        <w:rPr>
          <w:b/>
          <w:bCs/>
        </w:rPr>
        <w:t>challenges</w:t>
      </w:r>
      <w:r>
        <w:t>, w</w:t>
      </w:r>
      <w:r w:rsidR="00D44A25">
        <w:t xml:space="preserve">hile </w:t>
      </w:r>
      <w:r w:rsidR="00745EB7">
        <w:t xml:space="preserve">there is growing </w:t>
      </w:r>
      <w:r w:rsidR="00D44A25">
        <w:t xml:space="preserve">understanding and recognition of intangible cultural heritage amongst urban </w:t>
      </w:r>
      <w:r w:rsidR="00745EB7">
        <w:t>planners</w:t>
      </w:r>
      <w:r w:rsidR="00D44A25">
        <w:t>, t</w:t>
      </w:r>
      <w:r w:rsidR="002F7A8B" w:rsidRPr="00D44A25">
        <w:t xml:space="preserve">he lack of </w:t>
      </w:r>
      <w:r w:rsidR="00D44A25" w:rsidRPr="00D44A25">
        <w:t xml:space="preserve">awareness among decision-makers as to how to identify the needs and benefits of </w:t>
      </w:r>
      <w:r w:rsidR="00D44A25">
        <w:t xml:space="preserve">intangible cultural heritage </w:t>
      </w:r>
      <w:r w:rsidR="00745EB7">
        <w:t>remains</w:t>
      </w:r>
      <w:r w:rsidR="00745EB7" w:rsidRPr="00D44A25">
        <w:t xml:space="preserve"> </w:t>
      </w:r>
      <w:r w:rsidR="00D44A25" w:rsidRPr="00D44A25">
        <w:t xml:space="preserve">a critical issue. </w:t>
      </w:r>
      <w:r w:rsidR="00D44A25">
        <w:t xml:space="preserve">In general, intangible cultural heritage is </w:t>
      </w:r>
      <w:r w:rsidR="00D41AA1">
        <w:t xml:space="preserve">not </w:t>
      </w:r>
      <w:r w:rsidR="00D44A25">
        <w:t>given prominent consideration in urban planning</w:t>
      </w:r>
      <w:r w:rsidR="00745EB7">
        <w:t>,</w:t>
      </w:r>
      <w:r w:rsidR="00D44A25">
        <w:t xml:space="preserve"> </w:t>
      </w:r>
      <w:r w:rsidR="00745EB7">
        <w:t xml:space="preserve">except </w:t>
      </w:r>
      <w:r w:rsidR="000F7A45">
        <w:t>in contexts where it has the</w:t>
      </w:r>
      <w:r w:rsidR="00D44A25">
        <w:t xml:space="preserve"> potential for income generation, such as tourism.</w:t>
      </w:r>
      <w:r w:rsidR="000E025A">
        <w:t xml:space="preserve"> </w:t>
      </w:r>
      <w:r w:rsidR="00D44A25" w:rsidRPr="00D44A25">
        <w:t xml:space="preserve">Other challenges include fostering effective coordination between the cultural and urban planning sectors, as well as balancing the need for new infrastructure/amenities with the protection of existing cultural precincts, public spaces and buildings </w:t>
      </w:r>
      <w:r w:rsidR="00260F30">
        <w:t xml:space="preserve">that are </w:t>
      </w:r>
      <w:r w:rsidR="00D44A25" w:rsidRPr="00D44A25">
        <w:t xml:space="preserve">conducive to </w:t>
      </w:r>
      <w:r w:rsidR="00260F30">
        <w:t xml:space="preserve">the </w:t>
      </w:r>
      <w:r w:rsidR="00D44A25" w:rsidRPr="00D44A25">
        <w:t>practic</w:t>
      </w:r>
      <w:r w:rsidR="00260F30">
        <w:t>e</w:t>
      </w:r>
      <w:r w:rsidR="00D44A25" w:rsidRPr="00D44A25">
        <w:t xml:space="preserve"> and </w:t>
      </w:r>
      <w:r w:rsidR="00260F30">
        <w:t>transmission of</w:t>
      </w:r>
      <w:r w:rsidR="00260F30" w:rsidRPr="00D44A25">
        <w:t xml:space="preserve"> </w:t>
      </w:r>
      <w:r w:rsidR="00E31D68">
        <w:t>traditions, knowledge and practices of communities</w:t>
      </w:r>
      <w:r w:rsidR="00D44A25" w:rsidRPr="00D44A25">
        <w:t xml:space="preserve">, </w:t>
      </w:r>
      <w:r w:rsidR="00260F30">
        <w:t>alongside</w:t>
      </w:r>
      <w:r w:rsidR="00D44A25" w:rsidRPr="00D44A25">
        <w:t xml:space="preserve"> the demands of profit-driven investment.</w:t>
      </w:r>
    </w:p>
    <w:p w14:paraId="2A23FE7F" w14:textId="78F11D1E" w:rsidR="00AA5107" w:rsidRDefault="00AA5107" w:rsidP="00720463">
      <w:pPr>
        <w:pStyle w:val="COMPara"/>
        <w:ind w:left="360"/>
        <w:jc w:val="both"/>
      </w:pPr>
      <w:r w:rsidRPr="00EF31E0">
        <w:rPr>
          <w:lang w:val="en-US"/>
        </w:rPr>
        <w:t xml:space="preserve">In terms of </w:t>
      </w:r>
      <w:r w:rsidRPr="00EF31E0">
        <w:rPr>
          <w:b/>
          <w:bCs/>
          <w:lang w:val="en-US"/>
        </w:rPr>
        <w:t xml:space="preserve">key planning areas or domains </w:t>
      </w:r>
      <w:r w:rsidRPr="00EF31E0">
        <w:rPr>
          <w:lang w:val="en-US"/>
        </w:rPr>
        <w:t xml:space="preserve">where the integration of </w:t>
      </w:r>
      <w:r w:rsidR="000F5430">
        <w:rPr>
          <w:lang w:val="en-US"/>
        </w:rPr>
        <w:t>intangible cultural heritage</w:t>
      </w:r>
      <w:r w:rsidRPr="00EF31E0">
        <w:rPr>
          <w:lang w:val="en-US"/>
        </w:rPr>
        <w:t xml:space="preserve"> into urban plans would be relevant, the following can be </w:t>
      </w:r>
      <w:r w:rsidR="006340FF">
        <w:rPr>
          <w:lang w:val="en-US"/>
        </w:rPr>
        <w:t>noted</w:t>
      </w:r>
      <w:r w:rsidRPr="00EF31E0">
        <w:rPr>
          <w:lang w:val="en-US"/>
        </w:rPr>
        <w:t>: historical and built heritage areas, public spaces, public facilities, and ecological and transport corridors.</w:t>
      </w:r>
    </w:p>
    <w:p w14:paraId="1C5E4C79" w14:textId="5D4C41F1" w:rsidR="006E627E" w:rsidRPr="00FE4DD5" w:rsidRDefault="00FE4DD5" w:rsidP="00BB57EE">
      <w:pPr>
        <w:pStyle w:val="COMPara"/>
        <w:numPr>
          <w:ilvl w:val="0"/>
          <w:numId w:val="6"/>
        </w:numPr>
        <w:ind w:left="360"/>
        <w:jc w:val="both"/>
        <w:rPr>
          <w:b/>
          <w:bCs/>
        </w:rPr>
      </w:pPr>
      <w:r w:rsidRPr="00FE4DD5">
        <w:rPr>
          <w:b/>
          <w:bCs/>
        </w:rPr>
        <w:t>Key actors and stakeholders</w:t>
      </w:r>
    </w:p>
    <w:p w14:paraId="43E112FC" w14:textId="088F7110" w:rsidR="00FE4DD5" w:rsidRDefault="003550C3" w:rsidP="00720463">
      <w:pPr>
        <w:pStyle w:val="COMPara"/>
        <w:ind w:left="360"/>
        <w:jc w:val="both"/>
      </w:pPr>
      <w:r>
        <w:t xml:space="preserve">Urban planning approaches, strategies and regulations vary significantly </w:t>
      </w:r>
      <w:r w:rsidR="00260F30">
        <w:t>between cities, regions, and countries</w:t>
      </w:r>
      <w:r>
        <w:t xml:space="preserve">. Depending on the scale of an urban plan, national authorities at </w:t>
      </w:r>
      <w:r w:rsidR="00260F30">
        <w:t xml:space="preserve">different </w:t>
      </w:r>
      <w:r>
        <w:t xml:space="preserve">levels </w:t>
      </w:r>
      <w:r w:rsidR="00260F30">
        <w:t xml:space="preserve">may be </w:t>
      </w:r>
      <w:r>
        <w:t>involved</w:t>
      </w:r>
      <w:r w:rsidR="002D1986">
        <w:t xml:space="preserve"> (with mandate</w:t>
      </w:r>
      <w:r w:rsidR="00260F30">
        <w:t>s</w:t>
      </w:r>
      <w:r w:rsidR="002D1986">
        <w:t xml:space="preserve"> </w:t>
      </w:r>
      <w:r w:rsidR="00260F30">
        <w:t xml:space="preserve">that span </w:t>
      </w:r>
      <w:r w:rsidR="002D1986">
        <w:t xml:space="preserve">housing, </w:t>
      </w:r>
      <w:r w:rsidR="00260F30">
        <w:t xml:space="preserve">the </w:t>
      </w:r>
      <w:r w:rsidR="002D1986">
        <w:t>environment, infrastructure, transport and urban development</w:t>
      </w:r>
      <w:r w:rsidR="00260F30">
        <w:t>, among others</w:t>
      </w:r>
      <w:r w:rsidR="002D1986">
        <w:t>)</w:t>
      </w:r>
      <w:r>
        <w:t xml:space="preserve">. Smaller plans for urban areas </w:t>
      </w:r>
      <w:r w:rsidR="00260F30">
        <w:t xml:space="preserve">- </w:t>
      </w:r>
      <w:r>
        <w:t xml:space="preserve">often referred to as </w:t>
      </w:r>
      <w:r w:rsidR="00260F30">
        <w:t>‘</w:t>
      </w:r>
      <w:r>
        <w:t>master plans</w:t>
      </w:r>
      <w:r w:rsidR="00260F30">
        <w:t>’</w:t>
      </w:r>
      <w:r>
        <w:t xml:space="preserve"> within </w:t>
      </w:r>
      <w:r w:rsidR="00260F30">
        <w:t xml:space="preserve">broader </w:t>
      </w:r>
      <w:r>
        <w:t>urban planning strategies</w:t>
      </w:r>
      <w:r w:rsidR="00260F30">
        <w:t xml:space="preserve"> -</w:t>
      </w:r>
      <w:r>
        <w:t xml:space="preserve"> usually involve more localised agencies and leaders and may also involve private investment associated with specific urban development or regeneration processes.</w:t>
      </w:r>
    </w:p>
    <w:p w14:paraId="1DEABE81" w14:textId="5B0DDF86" w:rsidR="002D1986" w:rsidRPr="002F7A8B" w:rsidRDefault="00260F30" w:rsidP="00720463">
      <w:pPr>
        <w:pStyle w:val="COMPara"/>
        <w:ind w:left="360"/>
        <w:jc w:val="both"/>
      </w:pPr>
      <w:r>
        <w:t>With regards to</w:t>
      </w:r>
      <w:r w:rsidR="002D1986">
        <w:t xml:space="preserve"> urban planning that risks altering residential areas or public spaces, communities tend to </w:t>
      </w:r>
      <w:r w:rsidR="00C33081">
        <w:t xml:space="preserve">form </w:t>
      </w:r>
      <w:r w:rsidR="002D1986">
        <w:t xml:space="preserve">organised groups to advocate </w:t>
      </w:r>
      <w:r>
        <w:t xml:space="preserve">for </w:t>
      </w:r>
      <w:r w:rsidR="002D1986">
        <w:t>their interests. In some cases, non-governmental organizations, associations or specialised agencies may represent less</w:t>
      </w:r>
      <w:r w:rsidR="00C33081">
        <w:t>-</w:t>
      </w:r>
      <w:r w:rsidR="002D1986">
        <w:t xml:space="preserve">established groups </w:t>
      </w:r>
      <w:r w:rsidR="00C33081">
        <w:t>(</w:t>
      </w:r>
      <w:r w:rsidR="002D1986">
        <w:t>such as migrant communities</w:t>
      </w:r>
      <w:r w:rsidR="00C33081">
        <w:t>)</w:t>
      </w:r>
      <w:r w:rsidR="002D1986">
        <w:t xml:space="preserve"> </w:t>
      </w:r>
      <w:r w:rsidR="00C33081">
        <w:t xml:space="preserve">or </w:t>
      </w:r>
      <w:r w:rsidR="002D1986">
        <w:t>voice their concern</w:t>
      </w:r>
      <w:r w:rsidR="00C33081">
        <w:t>s</w:t>
      </w:r>
      <w:r w:rsidR="002D1986">
        <w:t xml:space="preserve"> </w:t>
      </w:r>
      <w:r w:rsidR="00C33081">
        <w:t xml:space="preserve">about </w:t>
      </w:r>
      <w:r w:rsidR="002D1986">
        <w:t xml:space="preserve">planning </w:t>
      </w:r>
      <w:r w:rsidR="00C33081">
        <w:t xml:space="preserve">decisions </w:t>
      </w:r>
      <w:r w:rsidR="002D1986">
        <w:t xml:space="preserve">that may </w:t>
      </w:r>
      <w:r w:rsidR="00C33081">
        <w:t xml:space="preserve">impact </w:t>
      </w:r>
      <w:r w:rsidR="002D1986">
        <w:t>specific practices, places of worship or activities.</w:t>
      </w:r>
      <w:r w:rsidR="00CD5579">
        <w:t xml:space="preserve"> In addition, academic institutions and technical specialists </w:t>
      </w:r>
      <w:r w:rsidR="00C33081">
        <w:t xml:space="preserve">- </w:t>
      </w:r>
      <w:r w:rsidR="00CD5579">
        <w:t>such as urban planners, engineers, architects, economists, sociologists, anthropologists and geographers and intangible cultural heritage experts</w:t>
      </w:r>
      <w:r w:rsidR="00C33081">
        <w:t xml:space="preserve"> - </w:t>
      </w:r>
      <w:r w:rsidR="00CD5579">
        <w:t>provide multidisciplinary advice and support on matters concerning urban planning and development processes</w:t>
      </w:r>
      <w:r w:rsidR="00C33081">
        <w:t>.</w:t>
      </w:r>
      <w:r w:rsidR="00CD5579">
        <w:t xml:space="preserve"> </w:t>
      </w:r>
      <w:r w:rsidR="00C33081">
        <w:t>T</w:t>
      </w:r>
      <w:r w:rsidR="00CD5579">
        <w:t>hey often conduct technical studies to inform planning, policy and decision-making, handle planning applications for regulatory requirements</w:t>
      </w:r>
      <w:r w:rsidR="00C33081">
        <w:t>,</w:t>
      </w:r>
      <w:r w:rsidR="00CD5579">
        <w:t xml:space="preserve"> prepare design briefs</w:t>
      </w:r>
      <w:r w:rsidR="00C33081">
        <w:t>,</w:t>
      </w:r>
      <w:r w:rsidR="00CD5579">
        <w:t xml:space="preserve"> and evaluate the socioeconomic impacts of urban plans.</w:t>
      </w:r>
    </w:p>
    <w:p w14:paraId="5DBBF406" w14:textId="2631A021" w:rsidR="009A1E8E" w:rsidRPr="00E559A5" w:rsidRDefault="00660226" w:rsidP="00BB57EE">
      <w:pPr>
        <w:pStyle w:val="COMPara"/>
        <w:numPr>
          <w:ilvl w:val="0"/>
          <w:numId w:val="6"/>
        </w:numPr>
        <w:ind w:left="360"/>
        <w:jc w:val="both"/>
        <w:rPr>
          <w:b/>
          <w:bCs/>
        </w:rPr>
      </w:pPr>
      <w:r>
        <w:rPr>
          <w:b/>
          <w:bCs/>
        </w:rPr>
        <w:t>Examples of m</w:t>
      </w:r>
      <w:r w:rsidR="009A1E8E" w:rsidRPr="00E559A5">
        <w:rPr>
          <w:b/>
          <w:bCs/>
        </w:rPr>
        <w:t xml:space="preserve">ethodologies, tools and </w:t>
      </w:r>
      <w:r w:rsidR="00DF23DD">
        <w:rPr>
          <w:b/>
          <w:bCs/>
        </w:rPr>
        <w:t>case studies</w:t>
      </w:r>
    </w:p>
    <w:p w14:paraId="143E58ED" w14:textId="3E44F32B" w:rsidR="00AF14D9" w:rsidRDefault="00AF14D9" w:rsidP="00720463">
      <w:pPr>
        <w:pStyle w:val="COMPara"/>
        <w:ind w:left="360"/>
        <w:jc w:val="both"/>
        <w:rPr>
          <w:lang w:val="en-AU"/>
        </w:rPr>
      </w:pPr>
      <w:r w:rsidRPr="00E4406F">
        <w:rPr>
          <w:lang w:val="en-AU"/>
        </w:rPr>
        <w:t>In parallel</w:t>
      </w:r>
      <w:r w:rsidR="00CD5579">
        <w:rPr>
          <w:lang w:val="en-AU"/>
        </w:rPr>
        <w:t xml:space="preserve"> with the thematic initiative at hand</w:t>
      </w:r>
      <w:r w:rsidRPr="00E4406F">
        <w:rPr>
          <w:lang w:val="en-AU"/>
        </w:rPr>
        <w:t xml:space="preserve">, a notable </w:t>
      </w:r>
      <w:r>
        <w:rPr>
          <w:lang w:val="en-AU"/>
        </w:rPr>
        <w:t>recent development</w:t>
      </w:r>
      <w:r w:rsidRPr="00E4406F">
        <w:rPr>
          <w:lang w:val="en-AU"/>
        </w:rPr>
        <w:t xml:space="preserve"> has been the </w:t>
      </w:r>
      <w:r>
        <w:rPr>
          <w:lang w:val="en-AU"/>
        </w:rPr>
        <w:t>deve</w:t>
      </w:r>
      <w:r w:rsidRPr="00E4406F">
        <w:rPr>
          <w:lang w:val="en-AU"/>
        </w:rPr>
        <w:t xml:space="preserve">lopment of a capacity-building approach, collaboratively created by an expert in intangible cultural heritage and an urban planning specialist. This training programme </w:t>
      </w:r>
      <w:r w:rsidR="00C33081">
        <w:rPr>
          <w:lang w:val="en-AU"/>
        </w:rPr>
        <w:t>focuses on</w:t>
      </w:r>
      <w:r w:rsidR="00C33081" w:rsidRPr="00E4406F">
        <w:rPr>
          <w:lang w:val="en-AU"/>
        </w:rPr>
        <w:t xml:space="preserve"> </w:t>
      </w:r>
      <w:r w:rsidRPr="00E4406F">
        <w:rPr>
          <w:lang w:val="en-AU"/>
        </w:rPr>
        <w:t>the relationship between safeguarding intangible cultural heritage and sustainable urban development, explores synergies with key policy frameworks in the areas of heritage and urban development, and provides a selection of practical tools for the effective integration of living heritage within urban contexts.</w:t>
      </w:r>
    </w:p>
    <w:p w14:paraId="5204BF22" w14:textId="3903631E" w:rsidR="00AF14D9" w:rsidRDefault="00AF14D9" w:rsidP="00720463">
      <w:pPr>
        <w:pStyle w:val="COMPara"/>
        <w:ind w:left="360"/>
        <w:jc w:val="both"/>
        <w:rPr>
          <w:lang w:val="en-AU"/>
        </w:rPr>
      </w:pPr>
      <w:r w:rsidRPr="00E4406F">
        <w:rPr>
          <w:lang w:val="en-AU"/>
        </w:rPr>
        <w:t>This approach was developed in the context of a regional project</w:t>
      </w:r>
      <w:r w:rsidR="00C33081">
        <w:rPr>
          <w:lang w:val="en-AU"/>
        </w:rPr>
        <w:t xml:space="preserve"> entitled</w:t>
      </w:r>
      <w:r w:rsidRPr="00E4406F">
        <w:rPr>
          <w:lang w:val="en-AU"/>
        </w:rPr>
        <w:t xml:space="preserve"> </w:t>
      </w:r>
      <w:r w:rsidR="00C33081">
        <w:rPr>
          <w:lang w:val="en-AU"/>
        </w:rPr>
        <w:t>‘</w:t>
      </w:r>
      <w:r w:rsidRPr="00D77624">
        <w:rPr>
          <w:b/>
          <w:bCs/>
          <w:lang w:val="en-AU"/>
        </w:rPr>
        <w:t>Latin America and the Caribbean: Strengthening Capacities for Resilient Communities through Sustainable Tourism and Heritage Safeguarding</w:t>
      </w:r>
      <w:r w:rsidR="00C33081" w:rsidRPr="00C33081">
        <w:rPr>
          <w:lang w:val="en-AU"/>
        </w:rPr>
        <w:t>’</w:t>
      </w:r>
      <w:r w:rsidRPr="00E4406F">
        <w:rPr>
          <w:lang w:val="en-AU"/>
        </w:rPr>
        <w:t xml:space="preserve">, which involves ten countries from the region. The capacity-building approach, relying on intersectoral collaboration, is </w:t>
      </w:r>
      <w:r>
        <w:rPr>
          <w:lang w:val="en-AU"/>
        </w:rPr>
        <w:t>being</w:t>
      </w:r>
      <w:r w:rsidRPr="00E4406F">
        <w:rPr>
          <w:lang w:val="en-AU"/>
        </w:rPr>
        <w:t xml:space="preserve"> reviewed by country expert teams through an online training course</w:t>
      </w:r>
      <w:r w:rsidR="00C33081">
        <w:rPr>
          <w:lang w:val="en-AU"/>
        </w:rPr>
        <w:t xml:space="preserve"> that was</w:t>
      </w:r>
      <w:r w:rsidRPr="00E4406F">
        <w:rPr>
          <w:lang w:val="en-AU"/>
        </w:rPr>
        <w:t xml:space="preserve"> </w:t>
      </w:r>
      <w:r w:rsidR="00C33081">
        <w:rPr>
          <w:lang w:val="en-AU"/>
        </w:rPr>
        <w:t>organized</w:t>
      </w:r>
      <w:r w:rsidR="00C33081" w:rsidRPr="00E4406F">
        <w:rPr>
          <w:lang w:val="en-AU"/>
        </w:rPr>
        <w:t xml:space="preserve"> </w:t>
      </w:r>
      <w:r w:rsidRPr="00E4406F">
        <w:rPr>
          <w:lang w:val="en-AU"/>
        </w:rPr>
        <w:t>in the first half of 2025. This process draws on the teams’ dual expertise, which combines intangible cultural heritage and urban development at the national level. Based on the</w:t>
      </w:r>
      <w:r w:rsidR="00C33081">
        <w:rPr>
          <w:lang w:val="en-AU"/>
        </w:rPr>
        <w:t>ir</w:t>
      </w:r>
      <w:r w:rsidRPr="00E4406F">
        <w:rPr>
          <w:lang w:val="en-AU"/>
        </w:rPr>
        <w:t xml:space="preserve"> input, the training materials are </w:t>
      </w:r>
      <w:r w:rsidR="00C33081">
        <w:rPr>
          <w:lang w:val="en-AU"/>
        </w:rPr>
        <w:t xml:space="preserve">currently </w:t>
      </w:r>
      <w:r w:rsidRPr="00E4406F">
        <w:rPr>
          <w:lang w:val="en-AU"/>
        </w:rPr>
        <w:t xml:space="preserve">being finalized </w:t>
      </w:r>
      <w:r w:rsidR="009711C3">
        <w:rPr>
          <w:lang w:val="en-AU"/>
        </w:rPr>
        <w:t xml:space="preserve">(accessible through the </w:t>
      </w:r>
      <w:hyperlink r:id="rId24" w:history="1">
        <w:r w:rsidR="009711C3" w:rsidRPr="00CD5579">
          <w:rPr>
            <w:rStyle w:val="Hyperlink"/>
            <w:lang w:val="en-AU"/>
          </w:rPr>
          <w:t>dedicated webpage</w:t>
        </w:r>
      </w:hyperlink>
      <w:r w:rsidR="009711C3">
        <w:rPr>
          <w:lang w:val="en-AU"/>
        </w:rPr>
        <w:t xml:space="preserve">) </w:t>
      </w:r>
      <w:r w:rsidRPr="00E4406F">
        <w:rPr>
          <w:lang w:val="en-AU"/>
        </w:rPr>
        <w:t xml:space="preserve">and the approach </w:t>
      </w:r>
      <w:r w:rsidR="00C33081">
        <w:rPr>
          <w:lang w:val="en-AU"/>
        </w:rPr>
        <w:t xml:space="preserve">is being </w:t>
      </w:r>
      <w:r w:rsidRPr="00E4406F">
        <w:rPr>
          <w:lang w:val="en-AU"/>
        </w:rPr>
        <w:t>rolled out across the participating countries in close collaboration with the Central American Educational and Cultural Coordination and the Central American Integration System (CECC/SICA).</w:t>
      </w:r>
    </w:p>
    <w:p w14:paraId="699C7987" w14:textId="4C516336" w:rsidR="00325583" w:rsidRDefault="00CD5579" w:rsidP="00CD5579">
      <w:pPr>
        <w:pStyle w:val="COMPara"/>
        <w:ind w:left="360"/>
        <w:jc w:val="both"/>
        <w:rPr>
          <w:lang w:val="en-AU"/>
        </w:rPr>
      </w:pPr>
      <w:r>
        <w:rPr>
          <w:lang w:val="en-AU"/>
        </w:rPr>
        <w:lastRenderedPageBreak/>
        <w:t>The training materials include the following set of case studies (available in English and Spanish for the time being) which may provide insights when preparing the guidance note on intangible cultural heritage safeguarding in urban contexts:</w:t>
      </w:r>
    </w:p>
    <w:tbl>
      <w:tblPr>
        <w:tblStyle w:val="TableGrid"/>
        <w:tblW w:w="0" w:type="auto"/>
        <w:tblInd w:w="360" w:type="dxa"/>
        <w:tblLook w:val="04A0" w:firstRow="1" w:lastRow="0" w:firstColumn="1" w:lastColumn="0" w:noHBand="0" w:noVBand="1"/>
      </w:tblPr>
      <w:tblGrid>
        <w:gridCol w:w="1762"/>
        <w:gridCol w:w="5386"/>
        <w:gridCol w:w="2120"/>
      </w:tblGrid>
      <w:tr w:rsidR="00CD5579" w14:paraId="282E28F4" w14:textId="77777777" w:rsidTr="00CA0DCF">
        <w:tc>
          <w:tcPr>
            <w:tcW w:w="1762" w:type="dxa"/>
          </w:tcPr>
          <w:p w14:paraId="512DB4CF" w14:textId="77777777" w:rsidR="00CD5579" w:rsidRPr="00D77624" w:rsidRDefault="00CD5579" w:rsidP="00CA0DCF">
            <w:pPr>
              <w:pStyle w:val="COMPara"/>
              <w:numPr>
                <w:ilvl w:val="0"/>
                <w:numId w:val="0"/>
              </w:numPr>
              <w:jc w:val="both"/>
              <w:rPr>
                <w:b/>
                <w:bCs/>
                <w:lang w:val="en-AU"/>
              </w:rPr>
            </w:pPr>
            <w:r w:rsidRPr="00D77624">
              <w:rPr>
                <w:b/>
                <w:bCs/>
                <w:lang w:val="en-AU"/>
              </w:rPr>
              <w:t>Case study 1</w:t>
            </w:r>
          </w:p>
        </w:tc>
        <w:tc>
          <w:tcPr>
            <w:tcW w:w="5386" w:type="dxa"/>
          </w:tcPr>
          <w:p w14:paraId="617E5146" w14:textId="77777777" w:rsidR="00CD5579" w:rsidRDefault="00CD5579" w:rsidP="00CA0DCF">
            <w:pPr>
              <w:pStyle w:val="COMPara"/>
              <w:numPr>
                <w:ilvl w:val="0"/>
                <w:numId w:val="0"/>
              </w:numPr>
              <w:jc w:val="both"/>
              <w:rPr>
                <w:lang w:val="en-AU"/>
              </w:rPr>
            </w:pPr>
            <w:r>
              <w:rPr>
                <w:lang w:val="en-AU"/>
              </w:rPr>
              <w:t>Singapore master plan (Singapore)</w:t>
            </w:r>
          </w:p>
        </w:tc>
        <w:tc>
          <w:tcPr>
            <w:tcW w:w="2120" w:type="dxa"/>
          </w:tcPr>
          <w:p w14:paraId="4600CFBC" w14:textId="635A4D8A" w:rsidR="00CD5579" w:rsidRPr="00CD5579" w:rsidRDefault="00CD5579" w:rsidP="00CA0DCF">
            <w:pPr>
              <w:pStyle w:val="COMPara"/>
              <w:numPr>
                <w:ilvl w:val="0"/>
                <w:numId w:val="0"/>
              </w:numPr>
              <w:jc w:val="both"/>
              <w:rPr>
                <w:lang w:val="en-AU"/>
              </w:rPr>
            </w:pPr>
            <w:hyperlink r:id="rId25" w:tgtFrame="_blank" w:history="1">
              <w:r w:rsidRPr="00CD5579">
                <w:rPr>
                  <w:rStyle w:val="Hyperlink"/>
                  <w:lang w:val="fr-FR"/>
                </w:rPr>
                <w:t>English</w:t>
              </w:r>
            </w:hyperlink>
            <w:r>
              <w:rPr>
                <w:lang w:val="en-AU"/>
              </w:rPr>
              <w:t xml:space="preserve"> </w:t>
            </w:r>
            <w:r w:rsidRPr="00CD5579">
              <w:rPr>
                <w:lang w:val="fr-FR"/>
              </w:rPr>
              <w:t>|</w:t>
            </w:r>
            <w:r>
              <w:rPr>
                <w:lang w:val="fr-FR"/>
              </w:rPr>
              <w:t xml:space="preserve"> </w:t>
            </w:r>
            <w:hyperlink r:id="rId26" w:tgtFrame="_blank" w:history="1">
              <w:proofErr w:type="spellStart"/>
              <w:r w:rsidRPr="00CD5579">
                <w:rPr>
                  <w:rStyle w:val="Hyperlink"/>
                  <w:lang w:val="fr-FR"/>
                </w:rPr>
                <w:t>Spanish</w:t>
              </w:r>
              <w:proofErr w:type="spellEnd"/>
            </w:hyperlink>
          </w:p>
        </w:tc>
      </w:tr>
      <w:tr w:rsidR="00CD5579" w:rsidRPr="00C15E1F" w14:paraId="6D385191" w14:textId="77777777" w:rsidTr="00CA0DCF">
        <w:tc>
          <w:tcPr>
            <w:tcW w:w="1762" w:type="dxa"/>
          </w:tcPr>
          <w:p w14:paraId="0DE5E153" w14:textId="77777777" w:rsidR="00CD5579" w:rsidRPr="00D77624" w:rsidRDefault="00CD5579" w:rsidP="00CA0DCF">
            <w:pPr>
              <w:pStyle w:val="COMPara"/>
              <w:numPr>
                <w:ilvl w:val="0"/>
                <w:numId w:val="0"/>
              </w:numPr>
              <w:jc w:val="both"/>
              <w:rPr>
                <w:b/>
                <w:bCs/>
                <w:lang w:val="en-AU"/>
              </w:rPr>
            </w:pPr>
            <w:r w:rsidRPr="00D77624">
              <w:rPr>
                <w:b/>
                <w:bCs/>
                <w:lang w:val="en-AU"/>
              </w:rPr>
              <w:t>Case study 2</w:t>
            </w:r>
          </w:p>
        </w:tc>
        <w:tc>
          <w:tcPr>
            <w:tcW w:w="5386" w:type="dxa"/>
          </w:tcPr>
          <w:p w14:paraId="4701E7F9" w14:textId="77777777" w:rsidR="00CD5579" w:rsidRPr="00CA0DCF" w:rsidRDefault="00CD5579" w:rsidP="00CA0DCF">
            <w:pPr>
              <w:pStyle w:val="COMPara"/>
              <w:numPr>
                <w:ilvl w:val="0"/>
                <w:numId w:val="0"/>
              </w:numPr>
              <w:jc w:val="both"/>
              <w:rPr>
                <w:lang w:val="pt-PT"/>
              </w:rPr>
            </w:pPr>
            <w:r w:rsidRPr="00CA0DCF">
              <w:rPr>
                <w:lang w:val="pt-PT"/>
              </w:rPr>
              <w:t>Territorial plan 2022-2025 ‘Bogot</w:t>
            </w:r>
            <w:r>
              <w:rPr>
                <w:lang w:val="pt-PT"/>
              </w:rPr>
              <w:t>á</w:t>
            </w:r>
            <w:r w:rsidRPr="00CA0DCF">
              <w:rPr>
                <w:lang w:val="pt-PT"/>
              </w:rPr>
              <w:t xml:space="preserve"> Reverdece</w:t>
            </w:r>
            <w:r>
              <w:rPr>
                <w:lang w:val="pt-PT"/>
              </w:rPr>
              <w:t>’</w:t>
            </w:r>
            <w:r w:rsidRPr="00CA0DCF">
              <w:rPr>
                <w:lang w:val="pt-PT"/>
              </w:rPr>
              <w:t xml:space="preserve"> </w:t>
            </w:r>
            <w:r>
              <w:rPr>
                <w:lang w:val="pt-PT"/>
              </w:rPr>
              <w:t>(</w:t>
            </w:r>
            <w:r w:rsidRPr="0086519E">
              <w:rPr>
                <w:lang w:val="pt-PT"/>
              </w:rPr>
              <w:t>Bogot</w:t>
            </w:r>
            <w:r>
              <w:rPr>
                <w:lang w:val="pt-PT"/>
              </w:rPr>
              <w:t>á,</w:t>
            </w:r>
            <w:r w:rsidRPr="00C15E1F">
              <w:rPr>
                <w:lang w:val="pt-PT"/>
              </w:rPr>
              <w:t xml:space="preserve"> </w:t>
            </w:r>
            <w:r w:rsidRPr="00CA0DCF">
              <w:rPr>
                <w:lang w:val="pt-PT"/>
              </w:rPr>
              <w:t>Colo</w:t>
            </w:r>
            <w:r>
              <w:rPr>
                <w:lang w:val="pt-PT"/>
              </w:rPr>
              <w:t>mbia)</w:t>
            </w:r>
          </w:p>
        </w:tc>
        <w:tc>
          <w:tcPr>
            <w:tcW w:w="2120" w:type="dxa"/>
          </w:tcPr>
          <w:p w14:paraId="2F2D057D" w14:textId="78C28D79" w:rsidR="00CD5579" w:rsidRPr="00CD5579" w:rsidRDefault="00CD5579" w:rsidP="00CA0DCF">
            <w:pPr>
              <w:pStyle w:val="COMPara"/>
              <w:numPr>
                <w:ilvl w:val="0"/>
                <w:numId w:val="0"/>
              </w:numPr>
              <w:jc w:val="both"/>
              <w:rPr>
                <w:lang w:val="pt-PT"/>
              </w:rPr>
            </w:pPr>
            <w:hyperlink r:id="rId27" w:tgtFrame="_blank" w:history="1">
              <w:r w:rsidRPr="00CD5579">
                <w:rPr>
                  <w:rStyle w:val="Hyperlink"/>
                  <w:lang w:val="fr-FR"/>
                </w:rPr>
                <w:t>English</w:t>
              </w:r>
            </w:hyperlink>
            <w:r>
              <w:rPr>
                <w:lang w:val="pt-PT"/>
              </w:rPr>
              <w:t xml:space="preserve"> </w:t>
            </w:r>
            <w:r w:rsidRPr="00CD5579">
              <w:rPr>
                <w:lang w:val="fr-FR"/>
              </w:rPr>
              <w:t>|</w:t>
            </w:r>
            <w:r>
              <w:rPr>
                <w:lang w:val="fr-FR"/>
              </w:rPr>
              <w:t xml:space="preserve"> </w:t>
            </w:r>
            <w:hyperlink r:id="rId28" w:tgtFrame="_blank" w:history="1">
              <w:proofErr w:type="spellStart"/>
              <w:r w:rsidRPr="00CD5579">
                <w:rPr>
                  <w:rStyle w:val="Hyperlink"/>
                  <w:lang w:val="fr-FR"/>
                </w:rPr>
                <w:t>Spanish</w:t>
              </w:r>
              <w:proofErr w:type="spellEnd"/>
            </w:hyperlink>
          </w:p>
        </w:tc>
      </w:tr>
      <w:tr w:rsidR="00CD5579" w14:paraId="1BA82AE4" w14:textId="77777777" w:rsidTr="00CA0DCF">
        <w:tc>
          <w:tcPr>
            <w:tcW w:w="1762" w:type="dxa"/>
          </w:tcPr>
          <w:p w14:paraId="249E1A9E" w14:textId="77777777" w:rsidR="00CD5579" w:rsidRPr="00D77624" w:rsidRDefault="00CD5579" w:rsidP="00CA0DCF">
            <w:pPr>
              <w:pStyle w:val="COMPara"/>
              <w:numPr>
                <w:ilvl w:val="0"/>
                <w:numId w:val="0"/>
              </w:numPr>
              <w:jc w:val="both"/>
              <w:rPr>
                <w:b/>
                <w:bCs/>
                <w:lang w:val="en-AU"/>
              </w:rPr>
            </w:pPr>
            <w:r w:rsidRPr="00D77624">
              <w:rPr>
                <w:b/>
                <w:bCs/>
                <w:lang w:val="en-AU"/>
              </w:rPr>
              <w:t>Case study 3</w:t>
            </w:r>
          </w:p>
        </w:tc>
        <w:tc>
          <w:tcPr>
            <w:tcW w:w="5386" w:type="dxa"/>
          </w:tcPr>
          <w:p w14:paraId="606FEB73" w14:textId="10197B8F" w:rsidR="00CD5579" w:rsidRDefault="00CD5579" w:rsidP="00CA0DCF">
            <w:pPr>
              <w:pStyle w:val="COMPara"/>
              <w:numPr>
                <w:ilvl w:val="0"/>
                <w:numId w:val="0"/>
              </w:numPr>
              <w:jc w:val="both"/>
              <w:rPr>
                <w:lang w:val="en-AU"/>
              </w:rPr>
            </w:pPr>
            <w:r>
              <w:rPr>
                <w:lang w:val="en-AU"/>
              </w:rPr>
              <w:t>Bo-</w:t>
            </w:r>
            <w:proofErr w:type="spellStart"/>
            <w:r>
              <w:rPr>
                <w:lang w:val="en-AU"/>
              </w:rPr>
              <w:t>Kaap</w:t>
            </w:r>
            <w:proofErr w:type="spellEnd"/>
            <w:r>
              <w:rPr>
                <w:lang w:val="en-AU"/>
              </w:rPr>
              <w:t xml:space="preserve"> local spatial development framework (Cape Town, South Africa)</w:t>
            </w:r>
          </w:p>
        </w:tc>
        <w:tc>
          <w:tcPr>
            <w:tcW w:w="2120" w:type="dxa"/>
          </w:tcPr>
          <w:p w14:paraId="40A882A1" w14:textId="2B07A195" w:rsidR="00CD5579" w:rsidRPr="00CD5579" w:rsidRDefault="00CD5579" w:rsidP="00CA0DCF">
            <w:pPr>
              <w:pStyle w:val="COMPara"/>
              <w:numPr>
                <w:ilvl w:val="0"/>
                <w:numId w:val="0"/>
              </w:numPr>
              <w:jc w:val="both"/>
              <w:rPr>
                <w:lang w:val="en-AU"/>
              </w:rPr>
            </w:pPr>
            <w:hyperlink r:id="rId29" w:tgtFrame="_blank" w:history="1">
              <w:r w:rsidRPr="00CD5579">
                <w:rPr>
                  <w:rStyle w:val="Hyperlink"/>
                  <w:lang w:val="fr-FR"/>
                </w:rPr>
                <w:t>English</w:t>
              </w:r>
            </w:hyperlink>
            <w:r>
              <w:rPr>
                <w:lang w:val="en-AU"/>
              </w:rPr>
              <w:t xml:space="preserve"> </w:t>
            </w:r>
            <w:r w:rsidRPr="00CD5579">
              <w:rPr>
                <w:lang w:val="fr-FR"/>
              </w:rPr>
              <w:t>|</w:t>
            </w:r>
            <w:r>
              <w:rPr>
                <w:lang w:val="fr-FR"/>
              </w:rPr>
              <w:t xml:space="preserve"> </w:t>
            </w:r>
            <w:hyperlink r:id="rId30" w:tgtFrame="_blank" w:history="1">
              <w:proofErr w:type="spellStart"/>
              <w:r w:rsidRPr="00CD5579">
                <w:rPr>
                  <w:rStyle w:val="Hyperlink"/>
                  <w:lang w:val="fr-FR"/>
                </w:rPr>
                <w:t>Spanish</w:t>
              </w:r>
              <w:proofErr w:type="spellEnd"/>
            </w:hyperlink>
          </w:p>
        </w:tc>
      </w:tr>
      <w:tr w:rsidR="00CD5579" w14:paraId="330AD2C9" w14:textId="77777777" w:rsidTr="00CA0DCF">
        <w:tc>
          <w:tcPr>
            <w:tcW w:w="1762" w:type="dxa"/>
          </w:tcPr>
          <w:p w14:paraId="1D821C7C" w14:textId="77777777" w:rsidR="00CD5579" w:rsidRPr="00D77624" w:rsidRDefault="00CD5579" w:rsidP="00CA0DCF">
            <w:pPr>
              <w:pStyle w:val="COMPara"/>
              <w:numPr>
                <w:ilvl w:val="0"/>
                <w:numId w:val="0"/>
              </w:numPr>
              <w:jc w:val="both"/>
              <w:rPr>
                <w:b/>
                <w:bCs/>
                <w:lang w:val="en-AU"/>
              </w:rPr>
            </w:pPr>
            <w:r w:rsidRPr="00D77624">
              <w:rPr>
                <w:b/>
                <w:bCs/>
                <w:lang w:val="en-AU"/>
              </w:rPr>
              <w:t>Case study 4</w:t>
            </w:r>
          </w:p>
        </w:tc>
        <w:tc>
          <w:tcPr>
            <w:tcW w:w="5386" w:type="dxa"/>
          </w:tcPr>
          <w:p w14:paraId="238B889B" w14:textId="77777777" w:rsidR="00CD5579" w:rsidRDefault="00CD5579" w:rsidP="00CA0DCF">
            <w:pPr>
              <w:pStyle w:val="COMPara"/>
              <w:numPr>
                <w:ilvl w:val="0"/>
                <w:numId w:val="0"/>
              </w:numPr>
              <w:jc w:val="both"/>
              <w:rPr>
                <w:lang w:val="en-AU"/>
              </w:rPr>
            </w:pPr>
            <w:r>
              <w:rPr>
                <w:lang w:val="en-AU"/>
              </w:rPr>
              <w:t>Conservation management plan (As-Salt, Jordan)</w:t>
            </w:r>
          </w:p>
        </w:tc>
        <w:tc>
          <w:tcPr>
            <w:tcW w:w="2120" w:type="dxa"/>
          </w:tcPr>
          <w:p w14:paraId="3B0467B1" w14:textId="3ADAC242" w:rsidR="00CD5579" w:rsidRPr="00CD5579" w:rsidRDefault="00CD5579" w:rsidP="00CA0DCF">
            <w:pPr>
              <w:pStyle w:val="COMPara"/>
              <w:numPr>
                <w:ilvl w:val="0"/>
                <w:numId w:val="0"/>
              </w:numPr>
              <w:jc w:val="both"/>
              <w:rPr>
                <w:lang w:val="en-AU"/>
              </w:rPr>
            </w:pPr>
            <w:hyperlink r:id="rId31" w:tgtFrame="_blank" w:history="1">
              <w:r w:rsidRPr="00CD5579">
                <w:rPr>
                  <w:rStyle w:val="Hyperlink"/>
                  <w:lang w:val="fr-FR"/>
                </w:rPr>
                <w:t>English</w:t>
              </w:r>
            </w:hyperlink>
            <w:r>
              <w:rPr>
                <w:lang w:val="en-AU"/>
              </w:rPr>
              <w:t xml:space="preserve"> </w:t>
            </w:r>
            <w:r w:rsidRPr="00CD5579">
              <w:rPr>
                <w:lang w:val="fr-FR"/>
              </w:rPr>
              <w:t>|</w:t>
            </w:r>
            <w:r>
              <w:rPr>
                <w:lang w:val="fr-FR"/>
              </w:rPr>
              <w:t xml:space="preserve"> </w:t>
            </w:r>
            <w:hyperlink r:id="rId32" w:tgtFrame="_blank" w:history="1">
              <w:proofErr w:type="spellStart"/>
              <w:r w:rsidRPr="00CD5579">
                <w:rPr>
                  <w:rStyle w:val="Hyperlink"/>
                  <w:lang w:val="fr-FR"/>
                </w:rPr>
                <w:t>Spanish</w:t>
              </w:r>
              <w:proofErr w:type="spellEnd"/>
            </w:hyperlink>
          </w:p>
        </w:tc>
      </w:tr>
    </w:tbl>
    <w:p w14:paraId="5CB5E761" w14:textId="77777777" w:rsidR="00CD5579" w:rsidRPr="00CD5579" w:rsidRDefault="00CD5579" w:rsidP="00CD5579">
      <w:pPr>
        <w:pStyle w:val="COMPara"/>
        <w:numPr>
          <w:ilvl w:val="0"/>
          <w:numId w:val="0"/>
        </w:numPr>
        <w:ind w:left="360"/>
        <w:jc w:val="both"/>
        <w:rPr>
          <w:lang w:val="en-AU"/>
        </w:rPr>
      </w:pPr>
    </w:p>
    <w:sectPr w:rsidR="00CD5579" w:rsidRPr="00CD5579" w:rsidSect="00655736">
      <w:headerReference w:type="even" r:id="rId33"/>
      <w:headerReference w:type="default" r:id="rId34"/>
      <w:footerReference w:type="even" r:id="rId35"/>
      <w:footerReference w:type="default" r:id="rId36"/>
      <w:headerReference w:type="first" r:id="rId37"/>
      <w:footerReference w:type="first" r:id="rId38"/>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2D5F3" w14:textId="77777777" w:rsidR="00CC36FA" w:rsidRDefault="00CC36FA" w:rsidP="00655736">
      <w:r>
        <w:separator/>
      </w:r>
    </w:p>
  </w:endnote>
  <w:endnote w:type="continuationSeparator" w:id="0">
    <w:p w14:paraId="05F59475" w14:textId="77777777" w:rsidR="00CC36FA" w:rsidRDefault="00CC36FA"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90B2B" w14:textId="77777777" w:rsidR="004D2F9A" w:rsidRDefault="004D2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6AC1D" w14:textId="77777777" w:rsidR="004D2F9A" w:rsidRDefault="004D2F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3C7E6" w14:textId="77777777" w:rsidR="004D2F9A" w:rsidRDefault="004D2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35678" w14:textId="77777777" w:rsidR="00CC36FA" w:rsidRDefault="00CC36FA" w:rsidP="00655736">
      <w:r>
        <w:separator/>
      </w:r>
    </w:p>
  </w:footnote>
  <w:footnote w:type="continuationSeparator" w:id="0">
    <w:p w14:paraId="41BC0723" w14:textId="77777777" w:rsidR="00CC36FA" w:rsidRDefault="00CC36FA" w:rsidP="00655736">
      <w:r>
        <w:continuationSeparator/>
      </w:r>
    </w:p>
  </w:footnote>
  <w:footnote w:id="1">
    <w:p w14:paraId="4B66ABA6" w14:textId="4A8BD974" w:rsidR="00CD5579" w:rsidRPr="00D77624" w:rsidRDefault="00CD5579" w:rsidP="00D77624">
      <w:pPr>
        <w:pStyle w:val="FootnoteText"/>
        <w:jc w:val="both"/>
        <w:rPr>
          <w:rFonts w:ascii="Arial" w:hAnsi="Arial" w:cs="Arial"/>
          <w:sz w:val="16"/>
          <w:szCs w:val="16"/>
          <w:lang w:val="en-US"/>
        </w:rPr>
      </w:pPr>
      <w:r w:rsidRPr="00D77624">
        <w:rPr>
          <w:rStyle w:val="FootnoteReference"/>
          <w:rFonts w:ascii="Arial" w:hAnsi="Arial" w:cs="Arial"/>
          <w:sz w:val="16"/>
          <w:szCs w:val="16"/>
        </w:rPr>
        <w:footnoteRef/>
      </w:r>
      <w:r w:rsidRPr="00D77624">
        <w:rPr>
          <w:rFonts w:ascii="Arial" w:hAnsi="Arial" w:cs="Arial"/>
          <w:sz w:val="16"/>
          <w:szCs w:val="16"/>
          <w:lang w:val="en-US"/>
        </w:rPr>
        <w:t xml:space="preserve"> The background information that formed </w:t>
      </w:r>
      <w:r w:rsidR="009F557C">
        <w:rPr>
          <w:rFonts w:ascii="Arial" w:hAnsi="Arial" w:cs="Arial"/>
          <w:sz w:val="16"/>
          <w:szCs w:val="16"/>
          <w:lang w:val="en-US"/>
        </w:rPr>
        <w:t>the</w:t>
      </w:r>
      <w:r w:rsidRPr="00D77624">
        <w:rPr>
          <w:rFonts w:ascii="Arial" w:hAnsi="Arial" w:cs="Arial"/>
          <w:sz w:val="16"/>
          <w:szCs w:val="16"/>
          <w:lang w:val="en-US"/>
        </w:rPr>
        <w:t xml:space="preserve"> basis for this document was collated by Ms Maria Claudia Lopez (Colombia) and </w:t>
      </w:r>
      <w:r>
        <w:rPr>
          <w:rFonts w:ascii="Arial" w:hAnsi="Arial" w:cs="Arial"/>
          <w:sz w:val="16"/>
          <w:szCs w:val="16"/>
          <w:lang w:val="en-US"/>
        </w:rPr>
        <w:t xml:space="preserve">Mr Fernando Granados </w:t>
      </w:r>
      <w:r w:rsidRPr="00D77624">
        <w:rPr>
          <w:rFonts w:ascii="Arial" w:hAnsi="Arial" w:cs="Arial"/>
          <w:sz w:val="16"/>
          <w:szCs w:val="16"/>
          <w:lang w:val="en-US"/>
        </w:rPr>
        <w:t>(Mexico)</w:t>
      </w:r>
      <w:r>
        <w:rPr>
          <w:rFonts w:ascii="Arial" w:hAnsi="Arial" w:cs="Arial"/>
          <w:sz w:val="16"/>
          <w:szCs w:val="16"/>
          <w:lang w:val="en-US"/>
        </w:rPr>
        <w:t>,</w:t>
      </w:r>
      <w:r w:rsidRPr="00D77624">
        <w:rPr>
          <w:rFonts w:ascii="Arial" w:hAnsi="Arial" w:cs="Arial"/>
          <w:sz w:val="16"/>
          <w:szCs w:val="16"/>
          <w:lang w:val="en-US"/>
        </w:rPr>
        <w:t xml:space="preserve"> </w:t>
      </w:r>
      <w:r>
        <w:rPr>
          <w:rFonts w:ascii="Arial" w:hAnsi="Arial" w:cs="Arial"/>
          <w:sz w:val="16"/>
          <w:szCs w:val="16"/>
          <w:lang w:val="en-US"/>
        </w:rPr>
        <w:t>who</w:t>
      </w:r>
      <w:r w:rsidRPr="00D77624">
        <w:rPr>
          <w:rFonts w:ascii="Arial" w:hAnsi="Arial" w:cs="Arial"/>
          <w:sz w:val="16"/>
          <w:szCs w:val="16"/>
          <w:lang w:val="en-US"/>
        </w:rPr>
        <w:t xml:space="preserve"> benefitted from advice and comments from the following experts: Emily </w:t>
      </w:r>
      <w:r w:rsidR="00C65196">
        <w:rPr>
          <w:rFonts w:ascii="Arial" w:hAnsi="Arial" w:cs="Arial"/>
          <w:sz w:val="16"/>
          <w:szCs w:val="16"/>
          <w:lang w:val="en-US"/>
        </w:rPr>
        <w:t>D</w:t>
      </w:r>
      <w:r w:rsidRPr="00D77624">
        <w:rPr>
          <w:rFonts w:ascii="Arial" w:hAnsi="Arial" w:cs="Arial"/>
          <w:sz w:val="16"/>
          <w:szCs w:val="16"/>
          <w:lang w:val="en-US"/>
        </w:rPr>
        <w:t>rania Drani, Gabriela Lopez, Hani Hayajneh, Hanna Schreiber, Julia Rey Perez, Kelvin Kah Eng, Luc Maes, Lui Tam, Marlene Phillips and Ruth Wanjuku.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A055" w14:textId="74890E7F" w:rsidR="00D95C4C" w:rsidRPr="00455314" w:rsidRDefault="00C5776D" w:rsidP="00C5776D">
    <w:pPr>
      <w:pStyle w:val="Header"/>
      <w:rPr>
        <w:rFonts w:ascii="Arial" w:hAnsi="Arial" w:cs="Arial"/>
        <w:lang w:val="es-ES"/>
      </w:rPr>
    </w:pPr>
    <w:r w:rsidRPr="00455314">
      <w:rPr>
        <w:rFonts w:ascii="Arial" w:hAnsi="Arial" w:cs="Arial"/>
        <w:sz w:val="20"/>
        <w:szCs w:val="20"/>
        <w:lang w:val="es-ES"/>
      </w:rPr>
      <w:t>L</w:t>
    </w:r>
    <w:r w:rsidR="00CB0542" w:rsidRPr="00455314">
      <w:rPr>
        <w:rFonts w:ascii="Arial" w:hAnsi="Arial" w:cs="Arial"/>
        <w:sz w:val="20"/>
        <w:szCs w:val="20"/>
        <w:lang w:val="es-ES"/>
      </w:rPr>
      <w:t>H</w:t>
    </w:r>
    <w:r w:rsidRPr="00455314">
      <w:rPr>
        <w:rFonts w:ascii="Arial" w:hAnsi="Arial" w:cs="Arial"/>
        <w:sz w:val="20"/>
        <w:szCs w:val="20"/>
        <w:lang w:val="es-ES"/>
      </w:rPr>
      <w:t>E</w:t>
    </w:r>
    <w:r w:rsidR="00CB0542" w:rsidRPr="00455314">
      <w:rPr>
        <w:rFonts w:ascii="Arial" w:hAnsi="Arial" w:cs="Arial"/>
        <w:sz w:val="20"/>
        <w:szCs w:val="20"/>
        <w:lang w:val="es-ES"/>
      </w:rPr>
      <w:t>/</w:t>
    </w:r>
    <w:r w:rsidR="000557C9">
      <w:rPr>
        <w:rFonts w:ascii="Arial" w:hAnsi="Arial" w:cs="Arial"/>
        <w:sz w:val="20"/>
        <w:szCs w:val="20"/>
        <w:lang w:val="es-ES"/>
      </w:rPr>
      <w:t>25</w:t>
    </w:r>
    <w:r w:rsidR="00CB0542" w:rsidRPr="00455314">
      <w:rPr>
        <w:rFonts w:ascii="Arial" w:hAnsi="Arial" w:cs="Arial"/>
        <w:sz w:val="20"/>
        <w:szCs w:val="20"/>
        <w:lang w:val="es-ES"/>
      </w:rPr>
      <w:t>/</w:t>
    </w:r>
    <w:r w:rsidR="00B9146E" w:rsidRPr="00455314">
      <w:rPr>
        <w:rFonts w:ascii="Arial" w:hAnsi="Arial" w:cs="Arial"/>
        <w:sz w:val="20"/>
        <w:szCs w:val="20"/>
        <w:lang w:val="es-ES"/>
      </w:rPr>
      <w:t xml:space="preserve">EXP </w:t>
    </w:r>
    <w:r w:rsidR="00455314" w:rsidRPr="00455314">
      <w:rPr>
        <w:rFonts w:ascii="Arial" w:hAnsi="Arial" w:cs="Arial"/>
        <w:sz w:val="20"/>
        <w:szCs w:val="20"/>
        <w:lang w:val="es-ES"/>
      </w:rPr>
      <w:t>THEMA-</w:t>
    </w:r>
    <w:r w:rsidR="000557C9">
      <w:rPr>
        <w:rFonts w:ascii="Arial" w:hAnsi="Arial" w:cs="Arial"/>
        <w:sz w:val="20"/>
        <w:szCs w:val="20"/>
        <w:lang w:val="es-ES"/>
      </w:rPr>
      <w:t>URBAN</w:t>
    </w:r>
    <w:r w:rsidR="004E1760" w:rsidRPr="00455314">
      <w:rPr>
        <w:rFonts w:ascii="Arial" w:hAnsi="Arial" w:cs="Arial"/>
        <w:sz w:val="20"/>
        <w:szCs w:val="20"/>
        <w:lang w:val="es-ES"/>
      </w:rPr>
      <w:t>/</w:t>
    </w:r>
    <w:r w:rsidR="000E06A3">
      <w:rPr>
        <w:rFonts w:ascii="Arial" w:hAnsi="Arial" w:cs="Arial"/>
        <w:sz w:val="20"/>
        <w:szCs w:val="20"/>
        <w:lang w:val="es-ES"/>
      </w:rPr>
      <w:t>3</w:t>
    </w:r>
    <w:r w:rsidR="004E1760" w:rsidRPr="00455314">
      <w:rPr>
        <w:rFonts w:ascii="Arial" w:hAnsi="Arial" w:cs="Arial"/>
        <w:sz w:val="20"/>
        <w:szCs w:val="20"/>
        <w:lang w:val="es-ES"/>
      </w:rPr>
      <w:t xml:space="preserve"> </w:t>
    </w:r>
    <w:r w:rsidR="00D95C4C" w:rsidRPr="00455314">
      <w:rPr>
        <w:rFonts w:ascii="Arial" w:hAnsi="Arial" w:cs="Arial"/>
        <w:sz w:val="20"/>
        <w:szCs w:val="20"/>
        <w:lang w:val="es-ES"/>
      </w:rPr>
      <w:t xml:space="preserve">– page </w:t>
    </w:r>
    <w:r w:rsidR="00D95C4C" w:rsidRPr="00C23A97">
      <w:rPr>
        <w:rStyle w:val="PageNumber"/>
        <w:rFonts w:ascii="Arial" w:hAnsi="Arial" w:cs="Arial"/>
        <w:sz w:val="20"/>
        <w:szCs w:val="20"/>
        <w:lang w:val="en-GB"/>
      </w:rPr>
      <w:fldChar w:fldCharType="begin"/>
    </w:r>
    <w:r w:rsidR="00D95C4C" w:rsidRPr="00455314">
      <w:rPr>
        <w:rStyle w:val="PageNumber"/>
        <w:rFonts w:ascii="Arial" w:hAnsi="Arial" w:cs="Arial"/>
        <w:sz w:val="20"/>
        <w:szCs w:val="20"/>
        <w:lang w:val="es-ES"/>
      </w:rPr>
      <w:instrText xml:space="preserve"> PAGE </w:instrText>
    </w:r>
    <w:r w:rsidR="00D95C4C" w:rsidRPr="00C23A97">
      <w:rPr>
        <w:rStyle w:val="PageNumber"/>
        <w:rFonts w:ascii="Arial" w:hAnsi="Arial" w:cs="Arial"/>
        <w:sz w:val="20"/>
        <w:szCs w:val="20"/>
        <w:lang w:val="en-GB"/>
      </w:rPr>
      <w:fldChar w:fldCharType="separate"/>
    </w:r>
    <w:r w:rsidR="006E75EB" w:rsidRPr="00455314">
      <w:rPr>
        <w:rStyle w:val="PageNumber"/>
        <w:rFonts w:ascii="Arial" w:hAnsi="Arial" w:cs="Arial"/>
        <w:noProof/>
        <w:sz w:val="20"/>
        <w:szCs w:val="20"/>
        <w:lang w:val="es-ES"/>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F231B" w14:textId="7545A394" w:rsidR="00D95C4C" w:rsidRPr="00EE5D7D" w:rsidRDefault="00EE5D7D" w:rsidP="00EE5D7D">
    <w:pPr>
      <w:pStyle w:val="Header"/>
      <w:jc w:val="right"/>
      <w:rPr>
        <w:rFonts w:ascii="Arial" w:hAnsi="Arial" w:cs="Arial"/>
        <w:lang w:val="es-ES"/>
      </w:rPr>
    </w:pPr>
    <w:r w:rsidRPr="00455314">
      <w:rPr>
        <w:rFonts w:ascii="Arial" w:hAnsi="Arial" w:cs="Arial"/>
        <w:sz w:val="20"/>
        <w:szCs w:val="20"/>
        <w:lang w:val="es-ES"/>
      </w:rPr>
      <w:t>LHE/2</w:t>
    </w:r>
    <w:r w:rsidR="000557C9">
      <w:rPr>
        <w:rFonts w:ascii="Arial" w:hAnsi="Arial" w:cs="Arial"/>
        <w:sz w:val="20"/>
        <w:szCs w:val="20"/>
        <w:lang w:val="es-ES"/>
      </w:rPr>
      <w:t>5</w:t>
    </w:r>
    <w:r w:rsidRPr="00455314">
      <w:rPr>
        <w:rFonts w:ascii="Arial" w:hAnsi="Arial" w:cs="Arial"/>
        <w:sz w:val="20"/>
        <w:szCs w:val="20"/>
        <w:lang w:val="es-ES"/>
      </w:rPr>
      <w:t>/EXP THEMA-</w:t>
    </w:r>
    <w:r w:rsidR="000557C9">
      <w:rPr>
        <w:rFonts w:ascii="Arial" w:hAnsi="Arial" w:cs="Arial"/>
        <w:sz w:val="20"/>
        <w:szCs w:val="20"/>
        <w:lang w:val="es-ES"/>
      </w:rPr>
      <w:t>URBAN</w:t>
    </w:r>
    <w:r w:rsidRPr="00455314">
      <w:rPr>
        <w:rFonts w:ascii="Arial" w:hAnsi="Arial" w:cs="Arial"/>
        <w:sz w:val="20"/>
        <w:szCs w:val="20"/>
        <w:lang w:val="es-ES"/>
      </w:rPr>
      <w:t>/</w:t>
    </w:r>
    <w:r w:rsidR="00200DA8">
      <w:rPr>
        <w:rFonts w:ascii="Arial" w:hAnsi="Arial" w:cs="Arial"/>
        <w:sz w:val="20"/>
        <w:szCs w:val="20"/>
        <w:lang w:val="es-ES"/>
      </w:rPr>
      <w:t>3</w:t>
    </w:r>
    <w:r w:rsidR="00200DA8" w:rsidRPr="00455314">
      <w:rPr>
        <w:rFonts w:ascii="Arial" w:hAnsi="Arial" w:cs="Arial"/>
        <w:sz w:val="20"/>
        <w:szCs w:val="20"/>
        <w:lang w:val="es-ES"/>
      </w:rPr>
      <w:t xml:space="preserve"> </w:t>
    </w:r>
    <w:r w:rsidRPr="00455314">
      <w:rPr>
        <w:rFonts w:ascii="Arial" w:hAnsi="Arial" w:cs="Arial"/>
        <w:sz w:val="20"/>
        <w:szCs w:val="20"/>
        <w:lang w:val="es-ES"/>
      </w:rPr>
      <w:t xml:space="preserve">– page </w:t>
    </w:r>
    <w:r w:rsidRPr="00C23A97">
      <w:rPr>
        <w:rStyle w:val="PageNumber"/>
        <w:rFonts w:ascii="Arial" w:hAnsi="Arial" w:cs="Arial"/>
        <w:sz w:val="20"/>
        <w:szCs w:val="20"/>
        <w:lang w:val="en-GB"/>
      </w:rPr>
      <w:fldChar w:fldCharType="begin"/>
    </w:r>
    <w:r w:rsidRPr="00455314">
      <w:rPr>
        <w:rStyle w:val="PageNumber"/>
        <w:rFonts w:ascii="Arial" w:hAnsi="Arial" w:cs="Arial"/>
        <w:sz w:val="20"/>
        <w:szCs w:val="20"/>
        <w:lang w:val="es-ES"/>
      </w:rPr>
      <w:instrText xml:space="preserve"> PAGE </w:instrText>
    </w:r>
    <w:r w:rsidRPr="00C23A97">
      <w:rPr>
        <w:rStyle w:val="PageNumber"/>
        <w:rFonts w:ascii="Arial" w:hAnsi="Arial" w:cs="Arial"/>
        <w:sz w:val="20"/>
        <w:szCs w:val="20"/>
        <w:lang w:val="en-GB"/>
      </w:rPr>
      <w:fldChar w:fldCharType="separate"/>
    </w:r>
    <w:r w:rsidRPr="00EE5D7D">
      <w:rPr>
        <w:rStyle w:val="PageNumber"/>
        <w:rFonts w:ascii="Arial" w:hAnsi="Arial" w:cs="Arial"/>
        <w:sz w:val="20"/>
        <w:szCs w:val="20"/>
        <w:lang w:val="es-ES"/>
      </w:rPr>
      <w:t>2</w:t>
    </w:r>
    <w:r w:rsidRPr="00C23A97">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3699647D">
          <wp:simplePos x="0" y="0"/>
          <wp:positionH relativeFrom="column">
            <wp:posOffset>0</wp:posOffset>
          </wp:positionH>
          <wp:positionV relativeFrom="paragraph">
            <wp:posOffset>163830</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30EC5FA2" w:rsidR="004E1760" w:rsidRPr="00D7105A" w:rsidRDefault="00A53F11" w:rsidP="004E1760">
    <w:pPr>
      <w:pStyle w:val="Header"/>
      <w:spacing w:after="520"/>
      <w:jc w:val="right"/>
      <w:rPr>
        <w:rFonts w:ascii="Arial" w:hAnsi="Arial" w:cs="Arial"/>
        <w:b/>
        <w:sz w:val="44"/>
        <w:szCs w:val="44"/>
        <w:lang w:val="pt-PT"/>
      </w:rPr>
    </w:pPr>
    <w:r>
      <w:rPr>
        <w:rFonts w:ascii="Arial" w:hAnsi="Arial" w:cs="Arial"/>
        <w:b/>
        <w:sz w:val="44"/>
        <w:szCs w:val="44"/>
        <w:lang w:val="pt-PT"/>
      </w:rPr>
      <w:t>EXP</w:t>
    </w:r>
    <w:r w:rsidR="00091385">
      <w:rPr>
        <w:rFonts w:ascii="Arial" w:hAnsi="Arial" w:cs="Arial"/>
        <w:b/>
        <w:sz w:val="44"/>
        <w:szCs w:val="44"/>
        <w:lang w:val="pt-PT"/>
      </w:rPr>
      <w:t xml:space="preserve"> </w:t>
    </w:r>
    <w:r w:rsidR="00455314">
      <w:rPr>
        <w:rFonts w:ascii="Arial" w:hAnsi="Arial" w:cs="Arial"/>
        <w:b/>
        <w:sz w:val="44"/>
        <w:szCs w:val="44"/>
        <w:lang w:val="pt-PT"/>
      </w:rPr>
      <w:t>THEMA-</w:t>
    </w:r>
    <w:r w:rsidR="000557C9">
      <w:rPr>
        <w:rFonts w:ascii="Arial" w:hAnsi="Arial" w:cs="Arial"/>
        <w:b/>
        <w:sz w:val="44"/>
        <w:szCs w:val="44"/>
        <w:lang w:val="pt-PT"/>
      </w:rPr>
      <w:t>URBAN</w:t>
    </w:r>
  </w:p>
  <w:p w14:paraId="6D1B3489" w14:textId="70F85BD2" w:rsidR="004E1760" w:rsidRPr="00D7105A" w:rsidRDefault="004E1760" w:rsidP="004E1760">
    <w:pPr>
      <w:jc w:val="right"/>
      <w:rPr>
        <w:rFonts w:ascii="Arial" w:hAnsi="Arial" w:cs="Arial"/>
        <w:b/>
        <w:sz w:val="22"/>
        <w:szCs w:val="22"/>
        <w:lang w:val="pt-PT"/>
      </w:rPr>
    </w:pPr>
    <w:r w:rsidRPr="00D7105A">
      <w:rPr>
        <w:rFonts w:ascii="Arial" w:hAnsi="Arial" w:cs="Arial"/>
        <w:b/>
        <w:sz w:val="22"/>
        <w:szCs w:val="22"/>
        <w:lang w:val="pt-PT"/>
      </w:rPr>
      <w:t>LHE/</w:t>
    </w:r>
    <w:r>
      <w:rPr>
        <w:rFonts w:ascii="Arial" w:hAnsi="Arial" w:cs="Arial"/>
        <w:b/>
        <w:sz w:val="22"/>
        <w:szCs w:val="22"/>
        <w:lang w:val="pt-PT"/>
      </w:rPr>
      <w:t>2</w:t>
    </w:r>
    <w:r w:rsidR="000557C9">
      <w:rPr>
        <w:rFonts w:ascii="Arial" w:hAnsi="Arial" w:cs="Arial"/>
        <w:b/>
        <w:sz w:val="22"/>
        <w:szCs w:val="22"/>
        <w:lang w:val="pt-PT"/>
      </w:rPr>
      <w:t>5</w:t>
    </w:r>
    <w:r w:rsidRPr="00D7105A">
      <w:rPr>
        <w:rFonts w:ascii="Arial" w:hAnsi="Arial" w:cs="Arial"/>
        <w:b/>
        <w:sz w:val="22"/>
        <w:szCs w:val="22"/>
        <w:lang w:val="pt-PT"/>
      </w:rPr>
      <w:t>/</w:t>
    </w:r>
    <w:bookmarkStart w:id="2" w:name="_Hlk94624970"/>
    <w:r w:rsidR="00B9146E">
      <w:rPr>
        <w:rFonts w:ascii="Arial" w:hAnsi="Arial" w:cs="Arial"/>
        <w:b/>
        <w:sz w:val="22"/>
        <w:szCs w:val="22"/>
        <w:lang w:val="pt-PT"/>
      </w:rPr>
      <w:t xml:space="preserve">EXP </w:t>
    </w:r>
    <w:r w:rsidR="00455314">
      <w:rPr>
        <w:rFonts w:ascii="Arial" w:hAnsi="Arial" w:cs="Arial"/>
        <w:b/>
        <w:sz w:val="22"/>
        <w:szCs w:val="22"/>
        <w:lang w:val="pt-PT"/>
      </w:rPr>
      <w:t>THEMA-</w:t>
    </w:r>
    <w:r w:rsidR="000557C9">
      <w:rPr>
        <w:rFonts w:ascii="Arial" w:hAnsi="Arial" w:cs="Arial"/>
        <w:b/>
        <w:sz w:val="22"/>
        <w:szCs w:val="22"/>
        <w:lang w:val="pt-PT"/>
      </w:rPr>
      <w:t>URBAN</w:t>
    </w:r>
    <w:r w:rsidRPr="00D7105A">
      <w:rPr>
        <w:rFonts w:ascii="Arial" w:hAnsi="Arial" w:cs="Arial"/>
        <w:b/>
        <w:sz w:val="22"/>
        <w:szCs w:val="22"/>
        <w:lang w:val="pt-PT"/>
      </w:rPr>
      <w:t>/</w:t>
    </w:r>
    <w:r w:rsidR="000E06A3">
      <w:rPr>
        <w:rFonts w:ascii="Arial" w:hAnsi="Arial" w:cs="Arial"/>
        <w:b/>
        <w:sz w:val="22"/>
        <w:szCs w:val="22"/>
        <w:lang w:val="pt-PT"/>
      </w:rPr>
      <w:t>3</w:t>
    </w:r>
  </w:p>
  <w:bookmarkEnd w:id="2"/>
  <w:p w14:paraId="1B4446C3" w14:textId="20278B6C" w:rsidR="00D95C4C" w:rsidRPr="00D7105A" w:rsidRDefault="00D95C4C"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 xml:space="preserve">Paris, </w:t>
    </w:r>
    <w:r w:rsidR="004D2F9A" w:rsidRPr="00EF31E0">
      <w:rPr>
        <w:rFonts w:ascii="Arial" w:hAnsi="Arial" w:cs="Arial"/>
        <w:b/>
        <w:sz w:val="22"/>
        <w:szCs w:val="22"/>
        <w:lang w:val="pt-PT"/>
      </w:rPr>
      <w:t xml:space="preserve">12 </w:t>
    </w:r>
    <w:r w:rsidR="004C74DD">
      <w:rPr>
        <w:rFonts w:ascii="Arial" w:hAnsi="Arial" w:cs="Arial"/>
        <w:b/>
        <w:sz w:val="22"/>
        <w:szCs w:val="22"/>
        <w:lang w:val="pt-PT"/>
      </w:rPr>
      <w:t>June</w:t>
    </w:r>
    <w:r w:rsidRPr="00D7105A">
      <w:rPr>
        <w:rFonts w:ascii="Arial" w:hAnsi="Arial" w:cs="Arial"/>
        <w:b/>
        <w:sz w:val="22"/>
        <w:szCs w:val="22"/>
        <w:lang w:val="pt-PT"/>
      </w:rPr>
      <w:t xml:space="preserve"> </w:t>
    </w:r>
    <w:r w:rsidR="000557C9">
      <w:rPr>
        <w:rFonts w:ascii="Arial" w:hAnsi="Arial" w:cs="Arial"/>
        <w:b/>
        <w:sz w:val="22"/>
        <w:szCs w:val="22"/>
        <w:lang w:val="pt-PT"/>
      </w:rPr>
      <w:t>2025</w:t>
    </w:r>
  </w:p>
  <w:p w14:paraId="255B57FF" w14:textId="3B814BD3" w:rsidR="00D95C4C" w:rsidRPr="00151E44" w:rsidRDefault="00D95C4C" w:rsidP="00962034">
    <w:pPr>
      <w:spacing w:after="120"/>
      <w:jc w:val="right"/>
      <w:rPr>
        <w:rFonts w:ascii="Arial" w:hAnsi="Arial" w:cs="Arial"/>
        <w:b/>
        <w:sz w:val="22"/>
        <w:szCs w:val="22"/>
        <w:lang w:val="en-US"/>
      </w:rPr>
    </w:pPr>
    <w:r w:rsidRPr="00151E44">
      <w:rPr>
        <w:rFonts w:ascii="Arial" w:hAnsi="Arial" w:cs="Arial"/>
        <w:b/>
        <w:sz w:val="22"/>
        <w:szCs w:val="22"/>
        <w:lang w:val="en-US"/>
      </w:rPr>
      <w:t>Original</w:t>
    </w:r>
    <w:r w:rsidRPr="00C9225A">
      <w:rPr>
        <w:rFonts w:ascii="Arial" w:hAnsi="Arial" w:cs="Arial"/>
        <w:b/>
        <w:sz w:val="22"/>
        <w:szCs w:val="22"/>
        <w:lang w:val="en-US"/>
      </w:rPr>
      <w:t xml:space="preserve">: </w:t>
    </w:r>
    <w:r w:rsidR="00151E44" w:rsidRPr="00C9225A">
      <w:rPr>
        <w:rFonts w:ascii="Arial" w:hAnsi="Arial" w:cs="Arial"/>
        <w:b/>
        <w:sz w:val="22"/>
        <w:szCs w:val="22"/>
        <w:lang w:val="en-US"/>
      </w:rPr>
      <w:t>English</w:t>
    </w:r>
  </w:p>
  <w:p w14:paraId="3C4B8B1B" w14:textId="77777777" w:rsidR="00D95C4C" w:rsidRPr="00151E44" w:rsidRDefault="00D95C4C">
    <w:pPr>
      <w:pStyle w:val="Header"/>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F670404"/>
    <w:multiLevelType w:val="hybridMultilevel"/>
    <w:tmpl w:val="0FB29D7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5482EC0"/>
    <w:multiLevelType w:val="hybridMultilevel"/>
    <w:tmpl w:val="88F6D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577862344">
    <w:abstractNumId w:val="0"/>
  </w:num>
  <w:num w:numId="2" w16cid:durableId="217087148">
    <w:abstractNumId w:val="1"/>
  </w:num>
  <w:num w:numId="3" w16cid:durableId="347945616">
    <w:abstractNumId w:val="2"/>
  </w:num>
  <w:num w:numId="4" w16cid:durableId="1119109097">
    <w:abstractNumId w:val="3"/>
  </w:num>
  <w:num w:numId="5" w16cid:durableId="1445689247">
    <w:abstractNumId w:val="6"/>
  </w:num>
  <w:num w:numId="6" w16cid:durableId="1965043671">
    <w:abstractNumId w:val="4"/>
  </w:num>
  <w:num w:numId="7" w16cid:durableId="20079008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02DD"/>
    <w:rsid w:val="00001449"/>
    <w:rsid w:val="000048ED"/>
    <w:rsid w:val="00014915"/>
    <w:rsid w:val="0003578A"/>
    <w:rsid w:val="00041A66"/>
    <w:rsid w:val="00042D88"/>
    <w:rsid w:val="0005176E"/>
    <w:rsid w:val="00051B5D"/>
    <w:rsid w:val="000557C9"/>
    <w:rsid w:val="000765F7"/>
    <w:rsid w:val="00077AB7"/>
    <w:rsid w:val="00077E48"/>
    <w:rsid w:val="00081888"/>
    <w:rsid w:val="00081CD8"/>
    <w:rsid w:val="00091385"/>
    <w:rsid w:val="000A2C61"/>
    <w:rsid w:val="000A7F0E"/>
    <w:rsid w:val="000B1C8F"/>
    <w:rsid w:val="000B4280"/>
    <w:rsid w:val="000C0D61"/>
    <w:rsid w:val="000E025A"/>
    <w:rsid w:val="000E06A3"/>
    <w:rsid w:val="000F3A3F"/>
    <w:rsid w:val="000F5430"/>
    <w:rsid w:val="000F7A45"/>
    <w:rsid w:val="001002C3"/>
    <w:rsid w:val="00102557"/>
    <w:rsid w:val="00105E9B"/>
    <w:rsid w:val="0012066F"/>
    <w:rsid w:val="00151E44"/>
    <w:rsid w:val="0015219D"/>
    <w:rsid w:val="001543CA"/>
    <w:rsid w:val="0015772D"/>
    <w:rsid w:val="001577FF"/>
    <w:rsid w:val="00164D56"/>
    <w:rsid w:val="00167B10"/>
    <w:rsid w:val="00167EE7"/>
    <w:rsid w:val="0017402F"/>
    <w:rsid w:val="00190205"/>
    <w:rsid w:val="00196C1B"/>
    <w:rsid w:val="001A7CDA"/>
    <w:rsid w:val="001B0F73"/>
    <w:rsid w:val="001C2DB7"/>
    <w:rsid w:val="001D14FE"/>
    <w:rsid w:val="001D5C04"/>
    <w:rsid w:val="001F26CF"/>
    <w:rsid w:val="001F4E62"/>
    <w:rsid w:val="001F70DD"/>
    <w:rsid w:val="00200DA8"/>
    <w:rsid w:val="00222A2D"/>
    <w:rsid w:val="00223029"/>
    <w:rsid w:val="00223257"/>
    <w:rsid w:val="00224EA6"/>
    <w:rsid w:val="002337F4"/>
    <w:rsid w:val="00234745"/>
    <w:rsid w:val="002351A6"/>
    <w:rsid w:val="002407AF"/>
    <w:rsid w:val="0025640D"/>
    <w:rsid w:val="00260F30"/>
    <w:rsid w:val="0026221A"/>
    <w:rsid w:val="0027466B"/>
    <w:rsid w:val="00276943"/>
    <w:rsid w:val="002838A5"/>
    <w:rsid w:val="00285BB4"/>
    <w:rsid w:val="00287C51"/>
    <w:rsid w:val="002A4D71"/>
    <w:rsid w:val="002C09E3"/>
    <w:rsid w:val="002D1244"/>
    <w:rsid w:val="002D1986"/>
    <w:rsid w:val="002E715A"/>
    <w:rsid w:val="002F7A8B"/>
    <w:rsid w:val="0031456C"/>
    <w:rsid w:val="00325583"/>
    <w:rsid w:val="00332D1F"/>
    <w:rsid w:val="003340BD"/>
    <w:rsid w:val="003373CB"/>
    <w:rsid w:val="00337CEB"/>
    <w:rsid w:val="00344B58"/>
    <w:rsid w:val="0034539A"/>
    <w:rsid w:val="00345CB4"/>
    <w:rsid w:val="003550C3"/>
    <w:rsid w:val="00360422"/>
    <w:rsid w:val="00375D42"/>
    <w:rsid w:val="00386178"/>
    <w:rsid w:val="003B7522"/>
    <w:rsid w:val="003C3534"/>
    <w:rsid w:val="003C60C6"/>
    <w:rsid w:val="003D069C"/>
    <w:rsid w:val="003D64E3"/>
    <w:rsid w:val="003D7646"/>
    <w:rsid w:val="003E6148"/>
    <w:rsid w:val="003E7F4E"/>
    <w:rsid w:val="003F113A"/>
    <w:rsid w:val="003F37A1"/>
    <w:rsid w:val="003F3E63"/>
    <w:rsid w:val="003F5AF7"/>
    <w:rsid w:val="003F7D51"/>
    <w:rsid w:val="00407480"/>
    <w:rsid w:val="00414643"/>
    <w:rsid w:val="004328F5"/>
    <w:rsid w:val="004421E5"/>
    <w:rsid w:val="00452284"/>
    <w:rsid w:val="00455314"/>
    <w:rsid w:val="00457C8E"/>
    <w:rsid w:val="004856CA"/>
    <w:rsid w:val="00487E67"/>
    <w:rsid w:val="0049705E"/>
    <w:rsid w:val="004A079A"/>
    <w:rsid w:val="004A2875"/>
    <w:rsid w:val="004A34A0"/>
    <w:rsid w:val="004A754A"/>
    <w:rsid w:val="004C161E"/>
    <w:rsid w:val="004C74DD"/>
    <w:rsid w:val="004C7C82"/>
    <w:rsid w:val="004D2F9A"/>
    <w:rsid w:val="004E1760"/>
    <w:rsid w:val="005008A8"/>
    <w:rsid w:val="00505C6A"/>
    <w:rsid w:val="0050604F"/>
    <w:rsid w:val="00515CBE"/>
    <w:rsid w:val="00517FD8"/>
    <w:rsid w:val="00526B7B"/>
    <w:rsid w:val="00530777"/>
    <w:rsid w:val="005308CE"/>
    <w:rsid w:val="0053318C"/>
    <w:rsid w:val="0054619E"/>
    <w:rsid w:val="005561B8"/>
    <w:rsid w:val="0055661F"/>
    <w:rsid w:val="00560BB8"/>
    <w:rsid w:val="0056538E"/>
    <w:rsid w:val="00565419"/>
    <w:rsid w:val="0057439C"/>
    <w:rsid w:val="00575971"/>
    <w:rsid w:val="00595881"/>
    <w:rsid w:val="005B0127"/>
    <w:rsid w:val="005B7A35"/>
    <w:rsid w:val="005C1AFC"/>
    <w:rsid w:val="005C4B73"/>
    <w:rsid w:val="005E1D2B"/>
    <w:rsid w:val="005E7074"/>
    <w:rsid w:val="005F2BAF"/>
    <w:rsid w:val="00600D93"/>
    <w:rsid w:val="00604152"/>
    <w:rsid w:val="006152F5"/>
    <w:rsid w:val="00626BEA"/>
    <w:rsid w:val="0063300C"/>
    <w:rsid w:val="006340FF"/>
    <w:rsid w:val="00650359"/>
    <w:rsid w:val="00651A5B"/>
    <w:rsid w:val="00655736"/>
    <w:rsid w:val="00656A6B"/>
    <w:rsid w:val="00660226"/>
    <w:rsid w:val="00663B8D"/>
    <w:rsid w:val="006754BF"/>
    <w:rsid w:val="00696C8D"/>
    <w:rsid w:val="006A2AC2"/>
    <w:rsid w:val="006A3617"/>
    <w:rsid w:val="006B4452"/>
    <w:rsid w:val="006C3266"/>
    <w:rsid w:val="006E12F0"/>
    <w:rsid w:val="006E142D"/>
    <w:rsid w:val="006E46E4"/>
    <w:rsid w:val="006E627E"/>
    <w:rsid w:val="006E75EB"/>
    <w:rsid w:val="00706DC1"/>
    <w:rsid w:val="007123A6"/>
    <w:rsid w:val="00717DA5"/>
    <w:rsid w:val="00720463"/>
    <w:rsid w:val="00724967"/>
    <w:rsid w:val="00744484"/>
    <w:rsid w:val="00745EB7"/>
    <w:rsid w:val="00747566"/>
    <w:rsid w:val="00772BAF"/>
    <w:rsid w:val="00773188"/>
    <w:rsid w:val="00783782"/>
    <w:rsid w:val="00784B8C"/>
    <w:rsid w:val="00784D93"/>
    <w:rsid w:val="007879E1"/>
    <w:rsid w:val="007C3F01"/>
    <w:rsid w:val="007D12C9"/>
    <w:rsid w:val="007D3BB2"/>
    <w:rsid w:val="007E5B95"/>
    <w:rsid w:val="007E611B"/>
    <w:rsid w:val="00814461"/>
    <w:rsid w:val="00823A11"/>
    <w:rsid w:val="008348F4"/>
    <w:rsid w:val="0084403C"/>
    <w:rsid w:val="008441AF"/>
    <w:rsid w:val="008464DA"/>
    <w:rsid w:val="0085188D"/>
    <w:rsid w:val="0085339D"/>
    <w:rsid w:val="0085405E"/>
    <w:rsid w:val="0085414A"/>
    <w:rsid w:val="0085720B"/>
    <w:rsid w:val="00857EB9"/>
    <w:rsid w:val="0086269D"/>
    <w:rsid w:val="0086543A"/>
    <w:rsid w:val="008724E5"/>
    <w:rsid w:val="00877DC0"/>
    <w:rsid w:val="00884A9D"/>
    <w:rsid w:val="0088512B"/>
    <w:rsid w:val="00893047"/>
    <w:rsid w:val="008A2B2D"/>
    <w:rsid w:val="008A4E1E"/>
    <w:rsid w:val="008B5624"/>
    <w:rsid w:val="008C296C"/>
    <w:rsid w:val="008D0A18"/>
    <w:rsid w:val="008D21E5"/>
    <w:rsid w:val="008D2832"/>
    <w:rsid w:val="008D32C9"/>
    <w:rsid w:val="008D4305"/>
    <w:rsid w:val="008D640C"/>
    <w:rsid w:val="008E1A85"/>
    <w:rsid w:val="008E33B2"/>
    <w:rsid w:val="008F22BA"/>
    <w:rsid w:val="008F741A"/>
    <w:rsid w:val="00913942"/>
    <w:rsid w:val="009163A7"/>
    <w:rsid w:val="009211BD"/>
    <w:rsid w:val="00932E06"/>
    <w:rsid w:val="00946D0B"/>
    <w:rsid w:val="00955877"/>
    <w:rsid w:val="00962034"/>
    <w:rsid w:val="009711C3"/>
    <w:rsid w:val="00980B41"/>
    <w:rsid w:val="00984299"/>
    <w:rsid w:val="009A18CD"/>
    <w:rsid w:val="009A1E8E"/>
    <w:rsid w:val="009D3C07"/>
    <w:rsid w:val="009D5428"/>
    <w:rsid w:val="009F557C"/>
    <w:rsid w:val="00A12558"/>
    <w:rsid w:val="00A13903"/>
    <w:rsid w:val="00A34ED5"/>
    <w:rsid w:val="00A45734"/>
    <w:rsid w:val="00A45DBF"/>
    <w:rsid w:val="00A46414"/>
    <w:rsid w:val="00A50FFA"/>
    <w:rsid w:val="00A53F11"/>
    <w:rsid w:val="00A725CF"/>
    <w:rsid w:val="00A755A2"/>
    <w:rsid w:val="00AA5107"/>
    <w:rsid w:val="00AA6660"/>
    <w:rsid w:val="00AB2C36"/>
    <w:rsid w:val="00AB6DDE"/>
    <w:rsid w:val="00AB70B6"/>
    <w:rsid w:val="00AD1A86"/>
    <w:rsid w:val="00AD785B"/>
    <w:rsid w:val="00AE103E"/>
    <w:rsid w:val="00AE33FA"/>
    <w:rsid w:val="00AE3AC5"/>
    <w:rsid w:val="00AF0A07"/>
    <w:rsid w:val="00AF1041"/>
    <w:rsid w:val="00AF14D9"/>
    <w:rsid w:val="00AF4AEC"/>
    <w:rsid w:val="00AF625E"/>
    <w:rsid w:val="00AF70EC"/>
    <w:rsid w:val="00B139BE"/>
    <w:rsid w:val="00B15750"/>
    <w:rsid w:val="00B2172B"/>
    <w:rsid w:val="00B23CDE"/>
    <w:rsid w:val="00B27908"/>
    <w:rsid w:val="00B40B60"/>
    <w:rsid w:val="00B40E0F"/>
    <w:rsid w:val="00B5370B"/>
    <w:rsid w:val="00B60ED4"/>
    <w:rsid w:val="00B703F1"/>
    <w:rsid w:val="00B862BB"/>
    <w:rsid w:val="00B9146E"/>
    <w:rsid w:val="00B917D2"/>
    <w:rsid w:val="00BA241A"/>
    <w:rsid w:val="00BA7EFF"/>
    <w:rsid w:val="00BB04AF"/>
    <w:rsid w:val="00BB57EE"/>
    <w:rsid w:val="00BC65D7"/>
    <w:rsid w:val="00BD52C9"/>
    <w:rsid w:val="00BE6354"/>
    <w:rsid w:val="00BF6276"/>
    <w:rsid w:val="00BF7A1F"/>
    <w:rsid w:val="00C138D1"/>
    <w:rsid w:val="00C22B32"/>
    <w:rsid w:val="00C23A97"/>
    <w:rsid w:val="00C244CC"/>
    <w:rsid w:val="00C25B18"/>
    <w:rsid w:val="00C33081"/>
    <w:rsid w:val="00C406CB"/>
    <w:rsid w:val="00C4185F"/>
    <w:rsid w:val="00C52EBE"/>
    <w:rsid w:val="00C5776D"/>
    <w:rsid w:val="00C64855"/>
    <w:rsid w:val="00C65196"/>
    <w:rsid w:val="00C70EA7"/>
    <w:rsid w:val="00C7433F"/>
    <w:rsid w:val="00C7516E"/>
    <w:rsid w:val="00C75374"/>
    <w:rsid w:val="00C75770"/>
    <w:rsid w:val="00C855EF"/>
    <w:rsid w:val="00C9225A"/>
    <w:rsid w:val="00CA56BB"/>
    <w:rsid w:val="00CB0542"/>
    <w:rsid w:val="00CB196F"/>
    <w:rsid w:val="00CB2896"/>
    <w:rsid w:val="00CB3740"/>
    <w:rsid w:val="00CC20FA"/>
    <w:rsid w:val="00CC36FA"/>
    <w:rsid w:val="00CD376A"/>
    <w:rsid w:val="00CD5579"/>
    <w:rsid w:val="00CE1DA1"/>
    <w:rsid w:val="00CE488F"/>
    <w:rsid w:val="00CE71E5"/>
    <w:rsid w:val="00CE7A40"/>
    <w:rsid w:val="00CF3AE9"/>
    <w:rsid w:val="00D00B2B"/>
    <w:rsid w:val="00D01269"/>
    <w:rsid w:val="00D15121"/>
    <w:rsid w:val="00D24877"/>
    <w:rsid w:val="00D41AA1"/>
    <w:rsid w:val="00D43AC8"/>
    <w:rsid w:val="00D44A25"/>
    <w:rsid w:val="00D51E66"/>
    <w:rsid w:val="00D53E1F"/>
    <w:rsid w:val="00D70BB7"/>
    <w:rsid w:val="00D7105A"/>
    <w:rsid w:val="00D77624"/>
    <w:rsid w:val="00D8250F"/>
    <w:rsid w:val="00D86BB3"/>
    <w:rsid w:val="00D95C4C"/>
    <w:rsid w:val="00DA36ED"/>
    <w:rsid w:val="00DA752B"/>
    <w:rsid w:val="00DB0DA1"/>
    <w:rsid w:val="00DB48FE"/>
    <w:rsid w:val="00DC6EF0"/>
    <w:rsid w:val="00DD4BFB"/>
    <w:rsid w:val="00DE34F1"/>
    <w:rsid w:val="00DE6160"/>
    <w:rsid w:val="00DF23DD"/>
    <w:rsid w:val="00DF4942"/>
    <w:rsid w:val="00E00398"/>
    <w:rsid w:val="00E019FC"/>
    <w:rsid w:val="00E06C70"/>
    <w:rsid w:val="00E16EFD"/>
    <w:rsid w:val="00E2125F"/>
    <w:rsid w:val="00E244E1"/>
    <w:rsid w:val="00E31D68"/>
    <w:rsid w:val="00E32271"/>
    <w:rsid w:val="00E41158"/>
    <w:rsid w:val="00E4150C"/>
    <w:rsid w:val="00E559A5"/>
    <w:rsid w:val="00E57C78"/>
    <w:rsid w:val="00E61F10"/>
    <w:rsid w:val="00E627B1"/>
    <w:rsid w:val="00E70169"/>
    <w:rsid w:val="00E9376C"/>
    <w:rsid w:val="00E95AE2"/>
    <w:rsid w:val="00EA335E"/>
    <w:rsid w:val="00EA528C"/>
    <w:rsid w:val="00EA580C"/>
    <w:rsid w:val="00EB5C8D"/>
    <w:rsid w:val="00EC6F8D"/>
    <w:rsid w:val="00ED39B2"/>
    <w:rsid w:val="00EE49F4"/>
    <w:rsid w:val="00EE5D7D"/>
    <w:rsid w:val="00EF2950"/>
    <w:rsid w:val="00EF31E0"/>
    <w:rsid w:val="00EF34E2"/>
    <w:rsid w:val="00EF5160"/>
    <w:rsid w:val="00F16151"/>
    <w:rsid w:val="00F1741E"/>
    <w:rsid w:val="00F26446"/>
    <w:rsid w:val="00F30DC6"/>
    <w:rsid w:val="00F32C23"/>
    <w:rsid w:val="00F365AA"/>
    <w:rsid w:val="00F40CE4"/>
    <w:rsid w:val="00F45B84"/>
    <w:rsid w:val="00F53DE9"/>
    <w:rsid w:val="00F56FA1"/>
    <w:rsid w:val="00F576CB"/>
    <w:rsid w:val="00F7035D"/>
    <w:rsid w:val="00F71A02"/>
    <w:rsid w:val="00F83239"/>
    <w:rsid w:val="00F855F2"/>
    <w:rsid w:val="00F92792"/>
    <w:rsid w:val="00F9386F"/>
    <w:rsid w:val="00FA0D63"/>
    <w:rsid w:val="00FA57E5"/>
    <w:rsid w:val="00FB0CA8"/>
    <w:rsid w:val="00FB12F7"/>
    <w:rsid w:val="00FD1226"/>
    <w:rsid w:val="00FE4DD5"/>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character" w:styleId="Hyperlink">
    <w:name w:val="Hyperlink"/>
    <w:basedOn w:val="DefaultParagraphFont"/>
    <w:unhideWhenUsed/>
    <w:rsid w:val="007E611B"/>
    <w:rPr>
      <w:color w:val="0000FF" w:themeColor="hyperlink"/>
      <w:u w:val="single"/>
    </w:rPr>
  </w:style>
  <w:style w:type="character" w:styleId="UnresolvedMention">
    <w:name w:val="Unresolved Mention"/>
    <w:basedOn w:val="DefaultParagraphFont"/>
    <w:uiPriority w:val="99"/>
    <w:semiHidden/>
    <w:unhideWhenUsed/>
    <w:rsid w:val="0015219D"/>
    <w:rPr>
      <w:color w:val="605E5C"/>
      <w:shd w:val="clear" w:color="auto" w:fill="E1DFDD"/>
    </w:rPr>
  </w:style>
  <w:style w:type="paragraph" w:styleId="Revision">
    <w:name w:val="Revision"/>
    <w:hidden/>
    <w:uiPriority w:val="99"/>
    <w:semiHidden/>
    <w:rsid w:val="00932E06"/>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BB57EE"/>
    <w:rPr>
      <w:color w:val="800080" w:themeColor="followedHyperlink"/>
      <w:u w:val="single"/>
    </w:rPr>
  </w:style>
  <w:style w:type="paragraph" w:styleId="FootnoteText">
    <w:name w:val="footnote text"/>
    <w:basedOn w:val="Normal"/>
    <w:link w:val="FootnoteTextChar"/>
    <w:uiPriority w:val="99"/>
    <w:semiHidden/>
    <w:unhideWhenUsed/>
    <w:rsid w:val="00CD5579"/>
    <w:rPr>
      <w:sz w:val="20"/>
      <w:szCs w:val="20"/>
    </w:rPr>
  </w:style>
  <w:style w:type="character" w:customStyle="1" w:styleId="FootnoteTextChar">
    <w:name w:val="Footnote Text Char"/>
    <w:basedOn w:val="DefaultParagraphFont"/>
    <w:link w:val="FootnoteText"/>
    <w:uiPriority w:val="99"/>
    <w:semiHidden/>
    <w:rsid w:val="00CD5579"/>
    <w:rPr>
      <w:rFonts w:ascii="Times New Roman" w:eastAsia="Times New Roman" w:hAnsi="Times New Roman"/>
    </w:rPr>
  </w:style>
  <w:style w:type="character" w:styleId="FootnoteReference">
    <w:name w:val="footnote reference"/>
    <w:basedOn w:val="DefaultParagraphFont"/>
    <w:uiPriority w:val="99"/>
    <w:semiHidden/>
    <w:unhideWhenUsed/>
    <w:rsid w:val="00CD5579"/>
    <w:rPr>
      <w:vertAlign w:val="superscript"/>
    </w:rPr>
  </w:style>
  <w:style w:type="character" w:styleId="CommentReference">
    <w:name w:val="annotation reference"/>
    <w:basedOn w:val="DefaultParagraphFont"/>
    <w:uiPriority w:val="99"/>
    <w:semiHidden/>
    <w:unhideWhenUsed/>
    <w:rsid w:val="004C161E"/>
    <w:rPr>
      <w:sz w:val="16"/>
      <w:szCs w:val="16"/>
    </w:rPr>
  </w:style>
  <w:style w:type="paragraph" w:styleId="CommentText">
    <w:name w:val="annotation text"/>
    <w:basedOn w:val="Normal"/>
    <w:link w:val="CommentTextChar"/>
    <w:uiPriority w:val="99"/>
    <w:unhideWhenUsed/>
    <w:rsid w:val="004C161E"/>
    <w:rPr>
      <w:sz w:val="20"/>
      <w:szCs w:val="20"/>
    </w:rPr>
  </w:style>
  <w:style w:type="character" w:customStyle="1" w:styleId="CommentTextChar">
    <w:name w:val="Comment Text Char"/>
    <w:basedOn w:val="DefaultParagraphFont"/>
    <w:link w:val="CommentText"/>
    <w:uiPriority w:val="99"/>
    <w:rsid w:val="004C16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C161E"/>
    <w:rPr>
      <w:b/>
      <w:bCs/>
    </w:rPr>
  </w:style>
  <w:style w:type="character" w:customStyle="1" w:styleId="CommentSubjectChar">
    <w:name w:val="Comment Subject Char"/>
    <w:basedOn w:val="CommentTextChar"/>
    <w:link w:val="CommentSubject"/>
    <w:uiPriority w:val="99"/>
    <w:semiHidden/>
    <w:rsid w:val="004C161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47799157">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353646905">
      <w:bodyDiv w:val="1"/>
      <w:marLeft w:val="0"/>
      <w:marRight w:val="0"/>
      <w:marTop w:val="0"/>
      <w:marBottom w:val="0"/>
      <w:divBdr>
        <w:top w:val="none" w:sz="0" w:space="0" w:color="auto"/>
        <w:left w:val="none" w:sz="0" w:space="0" w:color="auto"/>
        <w:bottom w:val="none" w:sz="0" w:space="0" w:color="auto"/>
        <w:right w:val="none" w:sz="0" w:space="0" w:color="auto"/>
      </w:divBdr>
    </w:div>
    <w:div w:id="1498494643">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9.GA/6" TargetMode="External"/><Relationship Id="rId13" Type="http://schemas.openxmlformats.org/officeDocument/2006/relationships/hyperlink" Target="https://www.unesco.org/en/mondiacult2022" TargetMode="External"/><Relationship Id="rId18" Type="http://schemas.openxmlformats.org/officeDocument/2006/relationships/hyperlink" Target="https://www.un.org/en/development/desa/policy/untaskteam_undf/groupb_unhabitat_suscities.pdf" TargetMode="External"/><Relationship Id="rId26" Type="http://schemas.openxmlformats.org/officeDocument/2006/relationships/hyperlink" Target="https://ich.unesco.org/doc/src/Estudio_de_caso_(EC)_1._Singapur_ES.doc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nhabitat.org/sites/default/files/download-manager-files/UN%20Habitat%20UPCL%2014-02624%20-%20Combine.pdf"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ch.unesco.org/en/decisions/19.COM/11" TargetMode="External"/><Relationship Id="rId17" Type="http://schemas.openxmlformats.org/officeDocument/2006/relationships/hyperlink" Target="https://ich.unesco.org/en/expert-meeting-on-urban-contexts-01405" TargetMode="External"/><Relationship Id="rId25" Type="http://schemas.openxmlformats.org/officeDocument/2006/relationships/hyperlink" Target="https://ich.unesco.org/doc/src/Case_study_(CS)_1._Singapore_EN.docx"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cuments.un.org/doc/undoc/gen/n24/272/22/pdf/n2427222.pdf" TargetMode="External"/><Relationship Id="rId20" Type="http://schemas.openxmlformats.org/officeDocument/2006/relationships/hyperlink" Target="https://www.unesco.org/en/creative-cities" TargetMode="External"/><Relationship Id="rId29" Type="http://schemas.openxmlformats.org/officeDocument/2006/relationships/hyperlink" Target="https://ich.unesco.org/doc/src/Case_study_(CS)_3._Cape_Town,_South_Africa_EN.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18.COM/12" TargetMode="External"/><Relationship Id="rId24" Type="http://schemas.openxmlformats.org/officeDocument/2006/relationships/hyperlink" Target="https://ich.unesco.org/en/events/training-of-trainers-on-living-heritage-and-sustainable-urban-development-01026" TargetMode="External"/><Relationship Id="rId32" Type="http://schemas.openxmlformats.org/officeDocument/2006/relationships/hyperlink" Target="https://ich.unesco.org/doc/src/Estudio_de_caso_(EC)_4._As-Salt,_Jordania_ES.docx"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nesco.org/en/articles/unesco-welcomes-g7-declaration-culture-ministers" TargetMode="External"/><Relationship Id="rId23" Type="http://schemas.openxmlformats.org/officeDocument/2006/relationships/hyperlink" Target="https://ourcityplans.org/" TargetMode="External"/><Relationship Id="rId28" Type="http://schemas.openxmlformats.org/officeDocument/2006/relationships/hyperlink" Target="https://ich.unesco.org/doc/src/Estudio_de_caso_(EC)_2._Bogot%C3%A1,_Colombia_ES.docx" TargetMode="External"/><Relationship Id="rId36" Type="http://schemas.openxmlformats.org/officeDocument/2006/relationships/footer" Target="footer2.xml"/><Relationship Id="rId10" Type="http://schemas.openxmlformats.org/officeDocument/2006/relationships/hyperlink" Target="https://ich.unesco.org/en/Decisions/17.COM/13" TargetMode="External"/><Relationship Id="rId19" Type="http://schemas.openxmlformats.org/officeDocument/2006/relationships/hyperlink" Target="https://whc.unesco.org/en/hul/" TargetMode="External"/><Relationship Id="rId31" Type="http://schemas.openxmlformats.org/officeDocument/2006/relationships/hyperlink" Target="https://ich.unesco.org/doc/src/Case_study_(CS)_4._As-Salt,_Jordan_EN.docx" TargetMode="External"/><Relationship Id="rId4" Type="http://schemas.openxmlformats.org/officeDocument/2006/relationships/settings" Target="settings.xml"/><Relationship Id="rId9" Type="http://schemas.openxmlformats.org/officeDocument/2006/relationships/hyperlink" Target="https://ich.unesco.org/en/Decisions/16.COM/5.b" TargetMode="External"/><Relationship Id="rId14" Type="http://schemas.openxmlformats.org/officeDocument/2006/relationships/hyperlink" Target="https://www.unesco.org/en/g20" TargetMode="External"/><Relationship Id="rId22" Type="http://schemas.openxmlformats.org/officeDocument/2006/relationships/hyperlink" Target="https://unhabitat.org/sites/default/files/download-manager-files/IG-UTP_English.pdf" TargetMode="External"/><Relationship Id="rId27" Type="http://schemas.openxmlformats.org/officeDocument/2006/relationships/hyperlink" Target="https://ich.unesco.org/doc/src/Case_study_(CS)_2._Bogota,_Colombia_EN.docx" TargetMode="External"/><Relationship Id="rId30" Type="http://schemas.openxmlformats.org/officeDocument/2006/relationships/hyperlink" Target="https://ich.unesco.org/doc/src/Estudio_de_caso_(EC)_3._Ciudad_del_Cabo,_Sud%C3%A1frica_ES.docx" TargetMode="External"/><Relationship Id="rId35"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68</TotalTime>
  <Pages>6</Pages>
  <Words>3020</Words>
  <Characters>17215</Characters>
  <Application>Microsoft Office Word</Application>
  <DocSecurity>0</DocSecurity>
  <Lines>143</Lines>
  <Paragraphs>40</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UNESCO</Company>
  <LinksUpToDate>false</LinksUpToDate>
  <CharactersWithSpaces>20195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d.kim@unesco.org</dc:creator>
  <cp:lastModifiedBy>Tan, Nicholas</cp:lastModifiedBy>
  <cp:revision>8</cp:revision>
  <cp:lastPrinted>2011-08-06T10:22:00Z</cp:lastPrinted>
  <dcterms:created xsi:type="dcterms:W3CDTF">2025-06-03T20:04:00Z</dcterms:created>
  <dcterms:modified xsi:type="dcterms:W3CDTF">2025-06-12T18:23:00Z</dcterms:modified>
</cp:coreProperties>
</file>