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4285A" w14:textId="3BC87638" w:rsidR="0076602E" w:rsidRPr="00C2706D" w:rsidRDefault="0087454F" w:rsidP="00872B2F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GB"/>
        </w:rPr>
        <w:t>AMEND</w:t>
      </w:r>
      <w:r w:rsidR="0076602E" w:rsidRPr="0076602E">
        <w:rPr>
          <w:rFonts w:ascii="Arial" w:hAnsi="Arial" w:cs="Arial"/>
          <w:b/>
          <w:sz w:val="28"/>
          <w:szCs w:val="28"/>
          <w:lang w:val="en-GB"/>
        </w:rPr>
        <w:t>MENT</w:t>
      </w:r>
      <w:r w:rsidR="00C2706D">
        <w:rPr>
          <w:rFonts w:ascii="Arial" w:hAnsi="Arial" w:cs="Arial"/>
          <w:b/>
          <w:sz w:val="28"/>
          <w:szCs w:val="28"/>
          <w:lang w:val="en-GB"/>
        </w:rPr>
        <w:t xml:space="preserve"> / AMENDEMENT</w:t>
      </w:r>
    </w:p>
    <w:p w14:paraId="2145739D" w14:textId="5927D87E" w:rsidR="006B1698" w:rsidRPr="00EC003B" w:rsidRDefault="006B1698" w:rsidP="0087200C">
      <w:pPr>
        <w:jc w:val="center"/>
        <w:rPr>
          <w:rFonts w:ascii="Arial" w:hAnsi="Arial" w:cs="Arial"/>
          <w:bCs/>
          <w:i/>
          <w:iCs/>
          <w:sz w:val="28"/>
          <w:szCs w:val="28"/>
          <w:lang w:val="en-GB"/>
        </w:rPr>
      </w:pPr>
      <w:r w:rsidRPr="00EC003B">
        <w:rPr>
          <w:rFonts w:ascii="Arial" w:hAnsi="Arial" w:cs="Arial"/>
          <w:bCs/>
          <w:i/>
          <w:iCs/>
          <w:sz w:val="28"/>
          <w:szCs w:val="28"/>
          <w:lang w:val="en-GB"/>
        </w:rPr>
        <w:t xml:space="preserve">(to be </w:t>
      </w:r>
      <w:r w:rsidR="00872B2F" w:rsidRPr="00EC003B">
        <w:rPr>
          <w:rFonts w:ascii="Arial" w:hAnsi="Arial" w:cs="Arial"/>
          <w:bCs/>
          <w:i/>
          <w:iCs/>
          <w:sz w:val="28"/>
          <w:szCs w:val="28"/>
          <w:lang w:val="en-GB"/>
        </w:rPr>
        <w:t>submitted</w:t>
      </w:r>
      <w:r w:rsidRPr="00EC003B">
        <w:rPr>
          <w:rFonts w:ascii="Arial" w:hAnsi="Arial" w:cs="Arial"/>
          <w:bCs/>
          <w:i/>
          <w:iCs/>
          <w:sz w:val="28"/>
          <w:szCs w:val="28"/>
          <w:lang w:val="en-GB"/>
        </w:rPr>
        <w:t xml:space="preserve"> to </w:t>
      </w:r>
      <w:hyperlink r:id="rId8" w:history="1">
        <w:r w:rsidRPr="00EC003B">
          <w:rPr>
            <w:rStyle w:val="Hyperlink"/>
            <w:rFonts w:ascii="Arial" w:hAnsi="Arial" w:cs="Arial"/>
            <w:bCs/>
            <w:i/>
            <w:iCs/>
            <w:sz w:val="28"/>
            <w:szCs w:val="28"/>
            <w:lang w:val="en-GB"/>
          </w:rPr>
          <w:t>ICH-amendments@unesco.org</w:t>
        </w:r>
      </w:hyperlink>
      <w:r w:rsidRPr="00EC003B">
        <w:rPr>
          <w:rFonts w:ascii="Arial" w:hAnsi="Arial" w:cs="Arial"/>
          <w:bCs/>
          <w:i/>
          <w:iCs/>
          <w:sz w:val="28"/>
          <w:szCs w:val="28"/>
          <w:lang w:val="en-GB"/>
        </w:rPr>
        <w:t>)</w:t>
      </w:r>
    </w:p>
    <w:p w14:paraId="68A93BDA" w14:textId="18E41973" w:rsidR="0087200C" w:rsidRPr="0087200C" w:rsidRDefault="0087200C" w:rsidP="0087200C">
      <w:pPr>
        <w:spacing w:after="360"/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EC003B">
        <w:rPr>
          <w:rFonts w:ascii="Arial" w:hAnsi="Arial" w:cs="Arial"/>
          <w:bCs/>
          <w:i/>
          <w:iCs/>
          <w:sz w:val="28"/>
          <w:szCs w:val="28"/>
        </w:rPr>
        <w:t xml:space="preserve">(à soumettre à </w:t>
      </w:r>
      <w:hyperlink r:id="rId9" w:history="1">
        <w:r w:rsidRPr="00EC003B">
          <w:rPr>
            <w:rStyle w:val="Hyperlink"/>
            <w:rFonts w:ascii="Arial" w:hAnsi="Arial" w:cs="Arial"/>
            <w:bCs/>
            <w:i/>
            <w:iCs/>
            <w:sz w:val="28"/>
            <w:szCs w:val="28"/>
          </w:rPr>
          <w:t>ICH-amendments@unesco.org</w:t>
        </w:r>
      </w:hyperlink>
      <w:r w:rsidRPr="00EC003B">
        <w:rPr>
          <w:rFonts w:ascii="Arial" w:hAnsi="Arial" w:cs="Arial"/>
          <w:bCs/>
          <w:i/>
          <w:iCs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5"/>
        <w:gridCol w:w="7993"/>
      </w:tblGrid>
      <w:tr w:rsidR="0087200C" w:rsidRPr="0087200C" w14:paraId="21E32AB2" w14:textId="77777777" w:rsidTr="007B2E0F">
        <w:trPr>
          <w:trHeight w:val="633"/>
          <w:jc w:val="center"/>
        </w:trPr>
        <w:tc>
          <w:tcPr>
            <w:tcW w:w="9628" w:type="dxa"/>
            <w:gridSpan w:val="2"/>
            <w:shd w:val="clear" w:color="auto" w:fill="BDD6EE" w:themeFill="accent1" w:themeFillTint="66"/>
            <w:vAlign w:val="center"/>
          </w:tcPr>
          <w:p w14:paraId="70A6047F" w14:textId="56A36EB4" w:rsidR="0087200C" w:rsidRPr="0096398A" w:rsidRDefault="0087200C" w:rsidP="009B559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6398A">
              <w:rPr>
                <w:rFonts w:ascii="Arial" w:hAnsi="Arial" w:cs="Arial"/>
                <w:b/>
                <w:sz w:val="20"/>
                <w:szCs w:val="20"/>
              </w:rPr>
              <w:t>Amendment</w:t>
            </w:r>
            <w:proofErr w:type="spellEnd"/>
            <w:r w:rsidRPr="0096398A">
              <w:rPr>
                <w:rFonts w:ascii="Arial" w:hAnsi="Arial" w:cs="Arial"/>
                <w:b/>
                <w:sz w:val="20"/>
                <w:szCs w:val="20"/>
              </w:rPr>
              <w:t xml:space="preserve"> to Draft </w:t>
            </w:r>
            <w:proofErr w:type="spellStart"/>
            <w:r w:rsidRPr="0096398A">
              <w:rPr>
                <w:rFonts w:ascii="Arial" w:hAnsi="Arial" w:cs="Arial"/>
                <w:b/>
                <w:sz w:val="20"/>
                <w:szCs w:val="20"/>
              </w:rPr>
              <w:t>Decision</w:t>
            </w:r>
            <w:proofErr w:type="spellEnd"/>
            <w:r w:rsidR="00D37EC8" w:rsidRPr="0096398A">
              <w:rPr>
                <w:rFonts w:ascii="Arial" w:hAnsi="Arial" w:cs="Arial"/>
                <w:b/>
                <w:sz w:val="20"/>
                <w:szCs w:val="20"/>
              </w:rPr>
              <w:t xml:space="preserve"> / Amendement au projet de décision</w:t>
            </w:r>
          </w:p>
          <w:p w14:paraId="7D96EBDB" w14:textId="22C37B70" w:rsidR="0087200C" w:rsidRPr="0096398A" w:rsidRDefault="0010531A" w:rsidP="0038220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19</w:t>
            </w:r>
            <w:r w:rsidR="0087200C" w:rsidRPr="0096398A">
              <w:rPr>
                <w:rFonts w:ascii="Arial" w:hAnsi="Arial" w:cs="Arial"/>
                <w:b/>
                <w:sz w:val="20"/>
                <w:szCs w:val="20"/>
                <w:lang w:val="en-GB"/>
              </w:rPr>
              <w:t>.COM _________</w:t>
            </w:r>
          </w:p>
        </w:tc>
      </w:tr>
      <w:tr w:rsidR="0087200C" w:rsidRPr="00EB1931" w14:paraId="23D5FAC5" w14:textId="77777777" w:rsidTr="007B2E0F">
        <w:trPr>
          <w:trHeight w:val="510"/>
          <w:jc w:val="center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78710B93" w14:textId="29CD7028" w:rsidR="0087200C" w:rsidRPr="0096398A" w:rsidRDefault="0087200C" w:rsidP="00E911D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6398A">
              <w:rPr>
                <w:rFonts w:ascii="Arial" w:hAnsi="Arial" w:cs="Arial"/>
                <w:b/>
                <w:sz w:val="20"/>
                <w:szCs w:val="20"/>
                <w:lang w:val="en-GB"/>
              </w:rPr>
              <w:t>Submitted by (State)</w:t>
            </w:r>
            <w:r w:rsidR="00D37EC8" w:rsidRPr="0096398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/ </w:t>
            </w:r>
            <w:proofErr w:type="spellStart"/>
            <w:r w:rsidR="00D37EC8" w:rsidRPr="0096398A">
              <w:rPr>
                <w:rFonts w:ascii="Arial" w:hAnsi="Arial" w:cs="Arial"/>
                <w:b/>
                <w:sz w:val="20"/>
                <w:szCs w:val="20"/>
                <w:lang w:val="en-GB"/>
              </w:rPr>
              <w:t>Présenté</w:t>
            </w:r>
            <w:proofErr w:type="spellEnd"/>
            <w:r w:rsidR="00D37EC8" w:rsidRPr="0096398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par (État</w:t>
            </w:r>
            <w:proofErr w:type="gramStart"/>
            <w:r w:rsidR="00D37EC8" w:rsidRPr="0096398A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  <w:r w:rsidR="00227A32">
              <w:rPr>
                <w:rFonts w:ascii="Arial" w:hAnsi="Arial" w:cs="Arial"/>
                <w:b/>
                <w:sz w:val="20"/>
                <w:szCs w:val="20"/>
                <w:lang w:val="en-GB"/>
              </w:rPr>
              <w:t> </w:t>
            </w:r>
            <w:r w:rsidRPr="0096398A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proofErr w:type="gramEnd"/>
          </w:p>
        </w:tc>
      </w:tr>
      <w:tr w:rsidR="0087200C" w:rsidRPr="0096398A" w14:paraId="11906A69" w14:textId="77777777" w:rsidTr="007B2E0F">
        <w:trPr>
          <w:trHeight w:val="510"/>
          <w:jc w:val="center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4C32E575" w14:textId="624A0FAB" w:rsidR="00444F36" w:rsidRDefault="004E5FE1" w:rsidP="0079213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6398A">
              <w:rPr>
                <w:rFonts w:ascii="Arial" w:hAnsi="Arial" w:cs="Arial"/>
                <w:b/>
                <w:sz w:val="20"/>
                <w:szCs w:val="20"/>
              </w:rPr>
              <w:t>Supported</w:t>
            </w:r>
            <w:proofErr w:type="spellEnd"/>
            <w:r w:rsidRPr="0096398A">
              <w:rPr>
                <w:rFonts w:ascii="Arial" w:hAnsi="Arial" w:cs="Arial"/>
                <w:b/>
                <w:sz w:val="20"/>
                <w:szCs w:val="20"/>
              </w:rPr>
              <w:t xml:space="preserve"> by (State or States), if applicable / Supporté par (</w:t>
            </w:r>
            <w:r w:rsidR="0096398A" w:rsidRPr="0096398A">
              <w:rPr>
                <w:rFonts w:ascii="Arial" w:hAnsi="Arial" w:cs="Arial"/>
                <w:b/>
                <w:sz w:val="20"/>
                <w:szCs w:val="20"/>
              </w:rPr>
              <w:t xml:space="preserve">État </w:t>
            </w:r>
            <w:r w:rsidR="009C06BB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96398A" w:rsidRPr="0096398A">
              <w:rPr>
                <w:rFonts w:ascii="Arial" w:hAnsi="Arial" w:cs="Arial"/>
                <w:b/>
                <w:sz w:val="20"/>
                <w:szCs w:val="20"/>
              </w:rPr>
              <w:t>u États), le cas échéant :</w:t>
            </w:r>
          </w:p>
          <w:p w14:paraId="32841E70" w14:textId="37D046A4" w:rsidR="008533F0" w:rsidRPr="0096398A" w:rsidRDefault="008533F0" w:rsidP="0079213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00C" w:rsidRPr="00EB1931" w14:paraId="59725E7B" w14:textId="77777777" w:rsidTr="007B2E0F">
        <w:trPr>
          <w:trHeight w:val="510"/>
          <w:jc w:val="center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60F2B0B8" w14:textId="2C56922D" w:rsidR="0087200C" w:rsidRPr="00EB1931" w:rsidRDefault="0087200C" w:rsidP="00E911D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6398A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</w:p>
        </w:tc>
      </w:tr>
      <w:tr w:rsidR="008533F0" w:rsidRPr="00EB1931" w14:paraId="1CF7F121" w14:textId="77777777" w:rsidTr="00960C7C">
        <w:trPr>
          <w:trHeight w:val="4975"/>
          <w:jc w:val="center"/>
        </w:trPr>
        <w:tc>
          <w:tcPr>
            <w:tcW w:w="1635" w:type="dxa"/>
            <w:shd w:val="pct25" w:color="auto" w:fill="auto"/>
            <w:vAlign w:val="center"/>
          </w:tcPr>
          <w:p w14:paraId="139F7425" w14:textId="3489E29F" w:rsidR="00E911D4" w:rsidRPr="00EB1931" w:rsidRDefault="00E911D4" w:rsidP="007B2E0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12C70">
              <w:rPr>
                <w:rFonts w:ascii="Arial" w:hAnsi="Arial" w:cs="Arial"/>
                <w:b/>
                <w:sz w:val="20"/>
                <w:szCs w:val="20"/>
                <w:lang w:val="en-GB"/>
              </w:rPr>
              <w:t>Text of the amendment</w:t>
            </w:r>
            <w:r w:rsidR="0096398A" w:rsidRPr="00612C7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/ Texte de </w:t>
            </w:r>
            <w:proofErr w:type="spellStart"/>
            <w:r w:rsidR="0096398A" w:rsidRPr="00612C70">
              <w:rPr>
                <w:rFonts w:ascii="Arial" w:hAnsi="Arial" w:cs="Arial"/>
                <w:b/>
                <w:sz w:val="20"/>
                <w:szCs w:val="20"/>
                <w:lang w:val="en-GB"/>
              </w:rPr>
              <w:t>l’</w:t>
            </w:r>
            <w:r w:rsidR="00612C70" w:rsidRPr="00612C70">
              <w:rPr>
                <w:rFonts w:ascii="Arial" w:hAnsi="Arial" w:cs="Arial"/>
                <w:b/>
                <w:sz w:val="20"/>
                <w:szCs w:val="20"/>
                <w:lang w:val="en-GB"/>
              </w:rPr>
              <w:t>amendement</w:t>
            </w:r>
            <w:proofErr w:type="spellEnd"/>
            <w:r w:rsidR="00612C70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7993" w:type="dxa"/>
          </w:tcPr>
          <w:p w14:paraId="79DA89A6" w14:textId="4FDF8FA1" w:rsidR="00C25371" w:rsidRDefault="00C25371" w:rsidP="00B75A13">
            <w:pPr>
              <w:spacing w:line="480" w:lineRule="auto"/>
            </w:pPr>
          </w:p>
          <w:p w14:paraId="7F4C2D0A" w14:textId="2868E7BF" w:rsidR="00C25371" w:rsidRDefault="00C25371" w:rsidP="00B75A13">
            <w:pPr>
              <w:pBdr>
                <w:top w:val="dotted" w:sz="24" w:space="1" w:color="auto"/>
                <w:bottom w:val="dotted" w:sz="24" w:space="1" w:color="auto"/>
              </w:pBdr>
              <w:spacing w:line="480" w:lineRule="auto"/>
            </w:pPr>
          </w:p>
          <w:p w14:paraId="05CCECF9" w14:textId="21ABAEA0" w:rsidR="00C25371" w:rsidRDefault="00C25371" w:rsidP="00B75A13">
            <w:pPr>
              <w:pBdr>
                <w:bottom w:val="dotted" w:sz="24" w:space="1" w:color="auto"/>
                <w:between w:val="dotted" w:sz="24" w:space="1" w:color="auto"/>
              </w:pBdr>
              <w:spacing w:line="480" w:lineRule="auto"/>
            </w:pPr>
          </w:p>
          <w:p w14:paraId="797EA9BF" w14:textId="0B42FCCD" w:rsidR="00C25371" w:rsidRDefault="00C25371" w:rsidP="00B75A13">
            <w:pPr>
              <w:pBdr>
                <w:bottom w:val="dotted" w:sz="24" w:space="1" w:color="auto"/>
                <w:between w:val="dotted" w:sz="24" w:space="1" w:color="auto"/>
              </w:pBdr>
              <w:spacing w:line="480" w:lineRule="auto"/>
            </w:pPr>
          </w:p>
          <w:p w14:paraId="147DC1E6" w14:textId="37845DD6" w:rsidR="00C25371" w:rsidRDefault="00C25371" w:rsidP="00B75A13">
            <w:pPr>
              <w:pBdr>
                <w:bottom w:val="dotted" w:sz="24" w:space="1" w:color="auto"/>
                <w:between w:val="dotted" w:sz="24" w:space="1" w:color="auto"/>
              </w:pBdr>
              <w:spacing w:line="480" w:lineRule="auto"/>
            </w:pPr>
          </w:p>
          <w:p w14:paraId="31669230" w14:textId="4702FE0C" w:rsidR="00C25371" w:rsidRDefault="00C25371" w:rsidP="00B75A13">
            <w:pPr>
              <w:pBdr>
                <w:bottom w:val="dotted" w:sz="24" w:space="1" w:color="auto"/>
                <w:between w:val="dotted" w:sz="24" w:space="1" w:color="auto"/>
              </w:pBdr>
              <w:spacing w:line="480" w:lineRule="auto"/>
            </w:pPr>
          </w:p>
          <w:p w14:paraId="3043C6BE" w14:textId="332C27C3" w:rsidR="00C25371" w:rsidRDefault="00C25371" w:rsidP="00B75A13">
            <w:pPr>
              <w:pBdr>
                <w:bottom w:val="dotted" w:sz="24" w:space="1" w:color="auto"/>
                <w:between w:val="dotted" w:sz="24" w:space="1" w:color="auto"/>
              </w:pBdr>
              <w:spacing w:line="480" w:lineRule="auto"/>
            </w:pPr>
          </w:p>
          <w:p w14:paraId="45D33A77" w14:textId="5376C736" w:rsidR="00682CBB" w:rsidRDefault="00682CBB" w:rsidP="00B75A13">
            <w:pPr>
              <w:pBdr>
                <w:bottom w:val="dotted" w:sz="24" w:space="1" w:color="auto"/>
                <w:between w:val="dotted" w:sz="24" w:space="1" w:color="auto"/>
              </w:pBdr>
              <w:spacing w:line="480" w:lineRule="auto"/>
            </w:pPr>
          </w:p>
          <w:p w14:paraId="4531A79C" w14:textId="3A2F5B6D" w:rsidR="0079213E" w:rsidRPr="008533F0" w:rsidRDefault="0079213E" w:rsidP="00B75A13">
            <w:pPr>
              <w:spacing w:line="480" w:lineRule="auto"/>
            </w:pPr>
          </w:p>
        </w:tc>
      </w:tr>
    </w:tbl>
    <w:p w14:paraId="4EEE9EC5" w14:textId="14A06B1B" w:rsidR="00337F1D" w:rsidRDefault="00205223" w:rsidP="00205223">
      <w:pPr>
        <w:spacing w:before="36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205223">
        <w:rPr>
          <w:rFonts w:ascii="Arial" w:hAnsi="Arial" w:cs="Arial"/>
          <w:b/>
          <w:sz w:val="22"/>
          <w:szCs w:val="22"/>
          <w:lang w:val="en-GB"/>
        </w:rPr>
        <w:t xml:space="preserve">Note: </w:t>
      </w:r>
      <w:r w:rsidRPr="00205223">
        <w:rPr>
          <w:rFonts w:ascii="Arial" w:hAnsi="Arial" w:cs="Arial"/>
          <w:bCs/>
          <w:sz w:val="22"/>
          <w:szCs w:val="22"/>
          <w:lang w:val="en-GB"/>
        </w:rPr>
        <w:t>The proposed amendments will be circulated, in the language and format received, to all Committee members through the mailing list established for this purpos</w:t>
      </w:r>
      <w:r w:rsidR="00F96540">
        <w:rPr>
          <w:rFonts w:ascii="Arial" w:hAnsi="Arial" w:cs="Arial"/>
          <w:bCs/>
          <w:sz w:val="22"/>
          <w:szCs w:val="22"/>
          <w:lang w:val="en-GB"/>
        </w:rPr>
        <w:t>e f</w:t>
      </w:r>
      <w:r w:rsidR="00F96540" w:rsidRPr="00F96540">
        <w:rPr>
          <w:rFonts w:ascii="Arial" w:hAnsi="Arial" w:cs="Arial"/>
          <w:bCs/>
          <w:sz w:val="22"/>
          <w:szCs w:val="22"/>
          <w:lang w:val="en-GB"/>
        </w:rPr>
        <w:t>ollowing the practice introduced in 2021</w:t>
      </w:r>
      <w:r w:rsidR="00F96540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673368">
        <w:rPr>
          <w:rFonts w:ascii="Arial" w:hAnsi="Arial" w:cs="Arial"/>
          <w:bCs/>
          <w:sz w:val="22"/>
          <w:szCs w:val="22"/>
          <w:lang w:val="en-GB"/>
        </w:rPr>
        <w:t>(</w:t>
      </w:r>
      <w:r w:rsidRPr="009B2B30">
        <w:rPr>
          <w:rFonts w:ascii="Arial" w:hAnsi="Arial" w:cs="Arial"/>
          <w:bCs/>
          <w:sz w:val="22"/>
          <w:szCs w:val="22"/>
          <w:lang w:val="en-GB"/>
        </w:rPr>
        <w:t>Decision</w:t>
      </w:r>
      <w:r w:rsidR="009B2B30">
        <w:rPr>
          <w:rFonts w:ascii="Arial" w:hAnsi="Arial" w:cs="Arial"/>
          <w:bCs/>
          <w:sz w:val="22"/>
          <w:szCs w:val="22"/>
          <w:lang w:val="en-GB"/>
        </w:rPr>
        <w:t> </w:t>
      </w:r>
      <w:hyperlink r:id="rId10" w:history="1">
        <w:r w:rsidRPr="009B2B30">
          <w:rPr>
            <w:rStyle w:val="Hyperlink"/>
            <w:rFonts w:ascii="Arial" w:hAnsi="Arial" w:cs="Arial"/>
            <w:bCs/>
            <w:sz w:val="22"/>
            <w:szCs w:val="22"/>
            <w:lang w:val="en-GB"/>
          </w:rPr>
          <w:t>16.COM</w:t>
        </w:r>
        <w:r w:rsidR="001B7E4D" w:rsidRPr="009B2B30">
          <w:rPr>
            <w:rStyle w:val="Hyperlink"/>
            <w:rFonts w:ascii="Arial" w:hAnsi="Arial" w:cs="Arial"/>
            <w:bCs/>
            <w:sz w:val="22"/>
            <w:szCs w:val="22"/>
            <w:lang w:val="en-GB"/>
          </w:rPr>
          <w:t> </w:t>
        </w:r>
        <w:r w:rsidRPr="009B2B30">
          <w:rPr>
            <w:rStyle w:val="Hyperlink"/>
            <w:rFonts w:ascii="Arial" w:hAnsi="Arial" w:cs="Arial"/>
            <w:bCs/>
            <w:sz w:val="22"/>
            <w:szCs w:val="22"/>
            <w:lang w:val="en-GB"/>
          </w:rPr>
          <w:t>2.BUR</w:t>
        </w:r>
        <w:r w:rsidR="001B7E4D" w:rsidRPr="009B2B30">
          <w:rPr>
            <w:rStyle w:val="Hyperlink"/>
            <w:rFonts w:ascii="Arial" w:hAnsi="Arial" w:cs="Arial"/>
            <w:bCs/>
            <w:sz w:val="22"/>
            <w:szCs w:val="22"/>
            <w:lang w:val="en-GB"/>
          </w:rPr>
          <w:t> </w:t>
        </w:r>
        <w:r w:rsidRPr="009B2B30">
          <w:rPr>
            <w:rStyle w:val="Hyperlink"/>
            <w:rFonts w:ascii="Arial" w:hAnsi="Arial" w:cs="Arial"/>
            <w:bCs/>
            <w:sz w:val="22"/>
            <w:szCs w:val="22"/>
            <w:lang w:val="en-GB"/>
          </w:rPr>
          <w:t>4</w:t>
        </w:r>
      </w:hyperlink>
      <w:r w:rsidRPr="00673368">
        <w:rPr>
          <w:rFonts w:ascii="Arial" w:hAnsi="Arial" w:cs="Arial"/>
          <w:bCs/>
          <w:sz w:val="22"/>
          <w:szCs w:val="22"/>
          <w:lang w:val="en-GB"/>
        </w:rPr>
        <w:t>). Any</w:t>
      </w:r>
      <w:r w:rsidRPr="00205223">
        <w:rPr>
          <w:rFonts w:ascii="Arial" w:hAnsi="Arial" w:cs="Arial"/>
          <w:bCs/>
          <w:sz w:val="22"/>
          <w:szCs w:val="22"/>
          <w:lang w:val="en-GB"/>
        </w:rPr>
        <w:t xml:space="preserve"> discussions on the amendments after the distribution should take place outside the above-mentioned mailing list.</w:t>
      </w:r>
    </w:p>
    <w:p w14:paraId="7B7850AC" w14:textId="27089AED" w:rsidR="00205223" w:rsidRPr="00205223" w:rsidRDefault="00205223" w:rsidP="00205223">
      <w:pPr>
        <w:spacing w:before="360"/>
        <w:jc w:val="both"/>
        <w:rPr>
          <w:rFonts w:ascii="Arial" w:hAnsi="Arial" w:cs="Arial"/>
          <w:b/>
          <w:sz w:val="22"/>
          <w:szCs w:val="22"/>
        </w:rPr>
      </w:pPr>
      <w:r w:rsidRPr="001B7E4D">
        <w:rPr>
          <w:rFonts w:ascii="Arial" w:hAnsi="Arial" w:cs="Arial"/>
          <w:b/>
          <w:sz w:val="22"/>
          <w:szCs w:val="22"/>
        </w:rPr>
        <w:t>Note</w:t>
      </w:r>
      <w:r w:rsidR="001B7E4D" w:rsidRPr="001B7E4D">
        <w:rPr>
          <w:rFonts w:ascii="Arial" w:hAnsi="Arial" w:cs="Arial"/>
          <w:b/>
          <w:sz w:val="22"/>
          <w:szCs w:val="22"/>
        </w:rPr>
        <w:t xml:space="preserve"> </w:t>
      </w:r>
      <w:r w:rsidRPr="001B7E4D">
        <w:rPr>
          <w:rFonts w:ascii="Arial" w:hAnsi="Arial" w:cs="Arial"/>
          <w:b/>
          <w:sz w:val="22"/>
          <w:szCs w:val="22"/>
        </w:rPr>
        <w:t>:</w:t>
      </w:r>
      <w:r w:rsidRPr="00205223">
        <w:rPr>
          <w:rFonts w:ascii="Arial" w:hAnsi="Arial" w:cs="Arial"/>
          <w:bCs/>
          <w:sz w:val="22"/>
          <w:szCs w:val="22"/>
        </w:rPr>
        <w:t xml:space="preserve"> Les amend</w:t>
      </w:r>
      <w:r>
        <w:rPr>
          <w:rFonts w:ascii="Arial" w:hAnsi="Arial" w:cs="Arial"/>
          <w:bCs/>
          <w:sz w:val="22"/>
          <w:szCs w:val="22"/>
        </w:rPr>
        <w:t>emen</w:t>
      </w:r>
      <w:r w:rsidRPr="00205223">
        <w:rPr>
          <w:rFonts w:ascii="Arial" w:hAnsi="Arial" w:cs="Arial"/>
          <w:bCs/>
          <w:sz w:val="22"/>
          <w:szCs w:val="22"/>
        </w:rPr>
        <w:t>ts</w:t>
      </w:r>
      <w:r>
        <w:rPr>
          <w:rFonts w:ascii="Arial" w:hAnsi="Arial" w:cs="Arial"/>
          <w:bCs/>
          <w:sz w:val="22"/>
          <w:szCs w:val="22"/>
        </w:rPr>
        <w:t xml:space="preserve"> proposés se</w:t>
      </w:r>
      <w:r w:rsidR="000735C5">
        <w:rPr>
          <w:rFonts w:ascii="Arial" w:hAnsi="Arial" w:cs="Arial"/>
          <w:bCs/>
          <w:sz w:val="22"/>
          <w:szCs w:val="22"/>
        </w:rPr>
        <w:t xml:space="preserve">ront </w:t>
      </w:r>
      <w:r w:rsidR="002A2E8B">
        <w:rPr>
          <w:rFonts w:ascii="Arial" w:hAnsi="Arial" w:cs="Arial"/>
          <w:bCs/>
          <w:sz w:val="22"/>
          <w:szCs w:val="22"/>
        </w:rPr>
        <w:t>distribués</w:t>
      </w:r>
      <w:r w:rsidR="000735C5">
        <w:rPr>
          <w:rFonts w:ascii="Arial" w:hAnsi="Arial" w:cs="Arial"/>
          <w:bCs/>
          <w:sz w:val="22"/>
          <w:szCs w:val="22"/>
        </w:rPr>
        <w:t>, dans la langue et le format reçus</w:t>
      </w:r>
      <w:r w:rsidR="00111585">
        <w:rPr>
          <w:rFonts w:ascii="Arial" w:hAnsi="Arial" w:cs="Arial"/>
          <w:bCs/>
          <w:sz w:val="22"/>
          <w:szCs w:val="22"/>
        </w:rPr>
        <w:t xml:space="preserve">, à tous les membres du Comité </w:t>
      </w:r>
      <w:r w:rsidR="00181E8A" w:rsidRPr="00673368">
        <w:rPr>
          <w:rFonts w:ascii="Arial" w:hAnsi="Arial" w:cs="Arial"/>
          <w:bCs/>
          <w:sz w:val="22"/>
          <w:szCs w:val="22"/>
        </w:rPr>
        <w:t>par le biais d’</w:t>
      </w:r>
      <w:r w:rsidR="00111585" w:rsidRPr="00673368">
        <w:rPr>
          <w:rFonts w:ascii="Arial" w:hAnsi="Arial" w:cs="Arial"/>
          <w:bCs/>
          <w:sz w:val="22"/>
          <w:szCs w:val="22"/>
        </w:rPr>
        <w:t xml:space="preserve">une liste de diffusion établie </w:t>
      </w:r>
      <w:r w:rsidR="00181E8A" w:rsidRPr="00673368">
        <w:rPr>
          <w:rFonts w:ascii="Arial" w:hAnsi="Arial" w:cs="Arial"/>
          <w:bCs/>
          <w:sz w:val="22"/>
          <w:szCs w:val="22"/>
        </w:rPr>
        <w:t>à cet effet</w:t>
      </w:r>
      <w:r w:rsidR="00D00D63" w:rsidRPr="00673368">
        <w:rPr>
          <w:rFonts w:ascii="Arial" w:hAnsi="Arial" w:cs="Arial"/>
          <w:bCs/>
          <w:sz w:val="22"/>
          <w:szCs w:val="22"/>
        </w:rPr>
        <w:t xml:space="preserve"> </w:t>
      </w:r>
      <w:r w:rsidR="009B2B30" w:rsidRPr="009B2B30">
        <w:rPr>
          <w:rFonts w:ascii="Arial" w:hAnsi="Arial" w:cs="Arial"/>
          <w:bCs/>
          <w:sz w:val="22"/>
          <w:szCs w:val="22"/>
        </w:rPr>
        <w:t>conformément à la pratique introduite en 2021</w:t>
      </w:r>
      <w:r w:rsidR="009B2B30">
        <w:rPr>
          <w:rFonts w:ascii="Arial" w:hAnsi="Arial" w:cs="Arial"/>
          <w:bCs/>
          <w:sz w:val="22"/>
          <w:szCs w:val="22"/>
        </w:rPr>
        <w:t xml:space="preserve"> </w:t>
      </w:r>
      <w:r w:rsidR="00D00D63" w:rsidRPr="00673368">
        <w:rPr>
          <w:rFonts w:ascii="Arial" w:hAnsi="Arial" w:cs="Arial"/>
          <w:bCs/>
          <w:sz w:val="22"/>
          <w:szCs w:val="22"/>
        </w:rPr>
        <w:t>(</w:t>
      </w:r>
      <w:r w:rsidR="00D00D63" w:rsidRPr="009B2B30">
        <w:rPr>
          <w:rFonts w:ascii="Arial" w:hAnsi="Arial" w:cs="Arial"/>
          <w:bCs/>
          <w:sz w:val="22"/>
          <w:szCs w:val="22"/>
        </w:rPr>
        <w:t>décision</w:t>
      </w:r>
      <w:r w:rsidR="009B2B30">
        <w:rPr>
          <w:rFonts w:ascii="Arial" w:hAnsi="Arial" w:cs="Arial"/>
          <w:bCs/>
          <w:sz w:val="22"/>
          <w:szCs w:val="22"/>
        </w:rPr>
        <w:t> </w:t>
      </w:r>
      <w:hyperlink r:id="rId11" w:history="1">
        <w:r w:rsidR="00D00D63" w:rsidRPr="009B2B30">
          <w:rPr>
            <w:rStyle w:val="Hyperlink"/>
            <w:rFonts w:ascii="Arial" w:hAnsi="Arial" w:cs="Arial"/>
            <w:bCs/>
            <w:sz w:val="22"/>
            <w:szCs w:val="22"/>
          </w:rPr>
          <w:t>16.COM</w:t>
        </w:r>
        <w:r w:rsidR="008352CC" w:rsidRPr="009B2B30">
          <w:rPr>
            <w:rStyle w:val="Hyperlink"/>
            <w:rFonts w:ascii="Arial" w:hAnsi="Arial" w:cs="Arial"/>
            <w:bCs/>
            <w:sz w:val="22"/>
            <w:szCs w:val="22"/>
          </w:rPr>
          <w:t> </w:t>
        </w:r>
        <w:r w:rsidR="00D00D63" w:rsidRPr="009B2B30">
          <w:rPr>
            <w:rStyle w:val="Hyperlink"/>
            <w:rFonts w:ascii="Arial" w:hAnsi="Arial" w:cs="Arial"/>
            <w:bCs/>
            <w:sz w:val="22"/>
            <w:szCs w:val="22"/>
          </w:rPr>
          <w:t>2.BUR 4</w:t>
        </w:r>
      </w:hyperlink>
      <w:r w:rsidR="008352CC" w:rsidRPr="00673368">
        <w:rPr>
          <w:rFonts w:ascii="Arial" w:hAnsi="Arial" w:cs="Arial"/>
          <w:bCs/>
          <w:sz w:val="22"/>
          <w:szCs w:val="22"/>
        </w:rPr>
        <w:t>). Toute discussion</w:t>
      </w:r>
      <w:r w:rsidR="008352CC">
        <w:rPr>
          <w:rFonts w:ascii="Arial" w:hAnsi="Arial" w:cs="Arial"/>
          <w:bCs/>
          <w:sz w:val="22"/>
          <w:szCs w:val="22"/>
        </w:rPr>
        <w:t xml:space="preserve"> à propos des amendements après l</w:t>
      </w:r>
      <w:r w:rsidR="00181E8A">
        <w:rPr>
          <w:rFonts w:ascii="Arial" w:hAnsi="Arial" w:cs="Arial"/>
          <w:bCs/>
          <w:sz w:val="22"/>
          <w:szCs w:val="22"/>
        </w:rPr>
        <w:t>a</w:t>
      </w:r>
      <w:r w:rsidR="008352CC">
        <w:rPr>
          <w:rFonts w:ascii="Arial" w:hAnsi="Arial" w:cs="Arial"/>
          <w:bCs/>
          <w:sz w:val="22"/>
          <w:szCs w:val="22"/>
        </w:rPr>
        <w:t xml:space="preserve"> distribution </w:t>
      </w:r>
      <w:r w:rsidR="002A2E8B">
        <w:rPr>
          <w:rFonts w:ascii="Arial" w:hAnsi="Arial" w:cs="Arial"/>
          <w:bCs/>
          <w:sz w:val="22"/>
          <w:szCs w:val="22"/>
        </w:rPr>
        <w:t xml:space="preserve">devra </w:t>
      </w:r>
      <w:r w:rsidR="00181E8A">
        <w:rPr>
          <w:rFonts w:ascii="Arial" w:hAnsi="Arial" w:cs="Arial"/>
          <w:bCs/>
          <w:sz w:val="22"/>
          <w:szCs w:val="22"/>
        </w:rPr>
        <w:t>avoir lieu</w:t>
      </w:r>
      <w:r w:rsidR="008352CC">
        <w:rPr>
          <w:rFonts w:ascii="Arial" w:hAnsi="Arial" w:cs="Arial"/>
          <w:bCs/>
          <w:sz w:val="22"/>
          <w:szCs w:val="22"/>
        </w:rPr>
        <w:t xml:space="preserve"> en dehors de la liste de diffusion susmentionnée.</w:t>
      </w:r>
    </w:p>
    <w:sectPr w:rsidR="00205223" w:rsidRPr="00205223" w:rsidSect="00AF4BD8">
      <w:headerReference w:type="even" r:id="rId12"/>
      <w:headerReference w:type="default" r:id="rId13"/>
      <w:headerReference w:type="first" r:id="rId14"/>
      <w:pgSz w:w="11906" w:h="16838" w:code="9"/>
      <w:pgMar w:top="1418" w:right="1134" w:bottom="1134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9D2EC" w14:textId="77777777" w:rsidR="006E584E" w:rsidRDefault="006E584E" w:rsidP="00655736">
      <w:r>
        <w:separator/>
      </w:r>
    </w:p>
  </w:endnote>
  <w:endnote w:type="continuationSeparator" w:id="0">
    <w:p w14:paraId="5B100E2F" w14:textId="77777777" w:rsidR="006E584E" w:rsidRDefault="006E584E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BEFEB" w14:textId="77777777" w:rsidR="006E584E" w:rsidRDefault="006E584E" w:rsidP="00655736">
      <w:r>
        <w:separator/>
      </w:r>
    </w:p>
  </w:footnote>
  <w:footnote w:type="continuationSeparator" w:id="0">
    <w:p w14:paraId="4CC8876F" w14:textId="77777777" w:rsidR="006E584E" w:rsidRDefault="006E584E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9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112"/>
      <w:gridCol w:w="6237"/>
    </w:tblGrid>
    <w:tr w:rsidR="0030092D" w:rsidRPr="00D704B0" w14:paraId="28DC507C" w14:textId="77777777" w:rsidTr="00DD5D98">
      <w:trPr>
        <w:trHeight w:val="2420"/>
      </w:trPr>
      <w:tc>
        <w:tcPr>
          <w:tcW w:w="4112" w:type="dxa"/>
        </w:tcPr>
        <w:p w14:paraId="6B7557DD" w14:textId="1ED74465" w:rsidR="0030092D" w:rsidRPr="0076602E" w:rsidRDefault="00343736" w:rsidP="00DD5D98">
          <w:pPr>
            <w:tabs>
              <w:tab w:val="left" w:pos="1216"/>
            </w:tabs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>
            <w:rPr>
              <w:rFonts w:ascii="Arial" w:hAnsi="Arial" w:cs="Arial"/>
              <w:b/>
              <w:noProof/>
              <w:sz w:val="44"/>
              <w:szCs w:val="44"/>
              <w:lang w:val="pt-PT"/>
            </w:rPr>
            <w:drawing>
              <wp:anchor distT="0" distB="0" distL="114300" distR="114300" simplePos="0" relativeHeight="251670016" behindDoc="1" locked="0" layoutInCell="1" allowOverlap="1" wp14:anchorId="4367AA03" wp14:editId="56CEEAC1">
                <wp:simplePos x="0" y="0"/>
                <wp:positionH relativeFrom="column">
                  <wp:posOffset>411480</wp:posOffset>
                </wp:positionH>
                <wp:positionV relativeFrom="paragraph">
                  <wp:posOffset>92075</wp:posOffset>
                </wp:positionV>
                <wp:extent cx="1657350" cy="1391920"/>
                <wp:effectExtent l="0" t="0" r="0" b="0"/>
                <wp:wrapNone/>
                <wp:docPr id="49" name="Imag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39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37" w:type="dxa"/>
        </w:tcPr>
        <w:p w14:paraId="0FB8A4BC" w14:textId="77777777" w:rsidR="0030092D" w:rsidRDefault="0030092D" w:rsidP="00E911D4">
          <w:pPr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</w:p>
        <w:p w14:paraId="3994860E" w14:textId="77777777" w:rsidR="0030092D" w:rsidRPr="00F30D7A" w:rsidRDefault="0030092D" w:rsidP="00E911D4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D704B0">
            <w:rPr>
              <w:rFonts w:ascii="Arial" w:hAnsi="Arial" w:cs="Arial"/>
              <w:b/>
              <w:sz w:val="22"/>
              <w:szCs w:val="22"/>
            </w:rPr>
            <w:t>C</w:t>
          </w:r>
          <w:r w:rsidRPr="00F30D7A">
            <w:rPr>
              <w:rFonts w:ascii="Arial" w:hAnsi="Arial" w:cs="Arial"/>
              <w:b/>
              <w:sz w:val="22"/>
              <w:szCs w:val="22"/>
            </w:rPr>
            <w:t>ONVENTION POUR LA SAUVEGARDE</w:t>
          </w:r>
          <w:r w:rsidRPr="00F30D7A">
            <w:rPr>
              <w:rFonts w:ascii="Arial" w:hAnsi="Arial" w:cs="Arial"/>
              <w:b/>
              <w:sz w:val="22"/>
              <w:szCs w:val="22"/>
            </w:rPr>
            <w:br/>
            <w:t>DU PATRIMOINE CULTUREL IMMATÉRIEL</w:t>
          </w:r>
        </w:p>
        <w:p w14:paraId="11E7A50D" w14:textId="77777777" w:rsidR="0030092D" w:rsidRPr="00F30D7A" w:rsidRDefault="0030092D" w:rsidP="00E911D4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30D7A">
            <w:rPr>
              <w:rFonts w:ascii="Arial" w:hAnsi="Arial" w:cs="Arial"/>
              <w:b/>
              <w:sz w:val="22"/>
              <w:szCs w:val="22"/>
            </w:rPr>
            <w:t>COMITÉ INTERGOUVERNEMENTAL DE</w:t>
          </w:r>
          <w:r w:rsidRPr="00F30D7A">
            <w:rPr>
              <w:rFonts w:ascii="Arial" w:hAnsi="Arial" w:cs="Arial"/>
              <w:b/>
              <w:sz w:val="22"/>
              <w:szCs w:val="22"/>
            </w:rPr>
            <w:br/>
            <w:t>SAUVEGARDE DU PATRIMOINE CULTUREL IMMATÉRIEL</w:t>
          </w:r>
        </w:p>
        <w:p w14:paraId="112B3156" w14:textId="77777777" w:rsidR="00F9333F" w:rsidRPr="00F9333F" w:rsidRDefault="00F9333F" w:rsidP="00F9333F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9333F">
            <w:rPr>
              <w:rFonts w:ascii="Arial" w:hAnsi="Arial" w:cs="Arial"/>
              <w:b/>
              <w:sz w:val="22"/>
              <w:szCs w:val="22"/>
            </w:rPr>
            <w:t>Seizième session</w:t>
          </w:r>
        </w:p>
        <w:p w14:paraId="41106E82" w14:textId="4A9BE27B" w:rsidR="00F9333F" w:rsidRPr="00F9333F" w:rsidRDefault="00343736" w:rsidP="00F9333F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Siège de l’UNESCO, Paris</w:t>
          </w:r>
        </w:p>
        <w:p w14:paraId="1A28C362" w14:textId="2E6C48E5" w:rsidR="0030092D" w:rsidRPr="00D704B0" w:rsidRDefault="00F9333F" w:rsidP="00F9333F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9333F">
            <w:rPr>
              <w:rFonts w:ascii="Arial" w:hAnsi="Arial" w:cs="Arial"/>
              <w:b/>
              <w:sz w:val="22"/>
              <w:szCs w:val="22"/>
            </w:rPr>
            <w:t>13 - 18 décembre 2021</w:t>
          </w:r>
        </w:p>
      </w:tc>
    </w:tr>
  </w:tbl>
  <w:p w14:paraId="27085C45" w14:textId="77777777" w:rsidR="0030092D" w:rsidRPr="00D64F9D" w:rsidRDefault="0030092D" w:rsidP="00E911D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9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112"/>
      <w:gridCol w:w="6237"/>
    </w:tblGrid>
    <w:tr w:rsidR="0030092D" w:rsidRPr="00934453" w14:paraId="78633D93" w14:textId="77777777" w:rsidTr="00410444">
      <w:trPr>
        <w:trHeight w:val="2122"/>
      </w:trPr>
      <w:tc>
        <w:tcPr>
          <w:tcW w:w="4112" w:type="dxa"/>
        </w:tcPr>
        <w:p w14:paraId="1FDA9013" w14:textId="17F5F2C0" w:rsidR="003835F0" w:rsidRDefault="00346BF3" w:rsidP="00E911D4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71040" behindDoc="0" locked="0" layoutInCell="1" allowOverlap="1" wp14:anchorId="7C788E89" wp14:editId="124360DC">
                <wp:simplePos x="0" y="0"/>
                <wp:positionH relativeFrom="column">
                  <wp:posOffset>257810</wp:posOffset>
                </wp:positionH>
                <wp:positionV relativeFrom="paragraph">
                  <wp:posOffset>113030</wp:posOffset>
                </wp:positionV>
                <wp:extent cx="1802854" cy="1098000"/>
                <wp:effectExtent l="0" t="0" r="6985" b="698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854" cy="109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877AA9E" w14:textId="23A8E65E" w:rsidR="0030092D" w:rsidRPr="0076602E" w:rsidRDefault="0030092D" w:rsidP="00E911D4">
          <w:pPr>
            <w:rPr>
              <w:rFonts w:ascii="Arial" w:hAnsi="Arial" w:cs="Arial"/>
              <w:b/>
              <w:sz w:val="22"/>
              <w:szCs w:val="22"/>
              <w:lang w:val="en-GB"/>
            </w:rPr>
          </w:pPr>
        </w:p>
      </w:tc>
      <w:tc>
        <w:tcPr>
          <w:tcW w:w="6237" w:type="dxa"/>
          <w:vAlign w:val="center"/>
        </w:tcPr>
        <w:p w14:paraId="73072CD2" w14:textId="525692D7" w:rsidR="006D36F6" w:rsidRPr="006D36F6" w:rsidRDefault="0010531A" w:rsidP="0010531A">
          <w:pPr>
            <w:jc w:val="center"/>
            <w:rPr>
              <w:rFonts w:ascii="Arial" w:hAnsi="Arial" w:cs="Arial"/>
              <w:b/>
              <w:bCs/>
              <w:sz w:val="20"/>
              <w:szCs w:val="20"/>
              <w:lang w:val="en-US"/>
            </w:rPr>
          </w:pPr>
          <w:r w:rsidRPr="0010531A">
            <w:rPr>
              <w:rFonts w:ascii="Arial" w:hAnsi="Arial" w:cs="Arial"/>
              <w:b/>
              <w:bCs/>
              <w:sz w:val="20"/>
              <w:szCs w:val="20"/>
              <w:lang w:val="en-GB"/>
            </w:rPr>
            <w:t xml:space="preserve">Nineteenth </w:t>
          </w:r>
          <w:r w:rsidR="006D36F6" w:rsidRPr="004F506E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session of the Intergovernmental Committee for the Safeguarding of the Intangible Cultural Heritage</w:t>
          </w:r>
        </w:p>
        <w:p w14:paraId="17138D6F" w14:textId="77777777" w:rsidR="0010531A" w:rsidRDefault="0010531A" w:rsidP="006D36F6">
          <w:pPr>
            <w:jc w:val="center"/>
            <w:rPr>
              <w:rFonts w:ascii="Arial" w:hAnsi="Arial" w:cs="Arial"/>
              <w:b/>
              <w:bCs/>
              <w:sz w:val="20"/>
              <w:szCs w:val="20"/>
              <w:lang w:val="en-US"/>
            </w:rPr>
          </w:pPr>
          <w:r w:rsidRPr="0010531A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Asunción, Republic of Paraguay</w:t>
          </w:r>
        </w:p>
        <w:p w14:paraId="0396BE90" w14:textId="3A27772B" w:rsidR="006D36F6" w:rsidRPr="0010531A" w:rsidRDefault="0010531A" w:rsidP="006D36F6">
          <w:pPr>
            <w:jc w:val="center"/>
            <w:rPr>
              <w:rFonts w:ascii="Arial" w:hAnsi="Arial" w:cs="Arial"/>
              <w:b/>
              <w:bCs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2 to 7</w:t>
          </w:r>
          <w:r w:rsidR="006D36F6" w:rsidRPr="0010531A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 xml:space="preserve"> December 20</w:t>
          </w:r>
          <w: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24</w:t>
          </w:r>
        </w:p>
        <w:p w14:paraId="491949E4" w14:textId="3C94ADB1" w:rsidR="006D36F6" w:rsidRPr="004F506E" w:rsidRDefault="006D36F6" w:rsidP="006D36F6">
          <w:pPr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4F506E">
            <w:rPr>
              <w:rFonts w:ascii="Arial" w:hAnsi="Arial" w:cs="Arial"/>
              <w:b/>
              <w:bCs/>
              <w:sz w:val="20"/>
              <w:szCs w:val="20"/>
            </w:rPr>
            <w:t>Dix-</w:t>
          </w:r>
          <w:r w:rsidR="0010531A">
            <w:rPr>
              <w:rFonts w:ascii="Arial" w:hAnsi="Arial" w:cs="Arial"/>
              <w:b/>
              <w:bCs/>
              <w:sz w:val="20"/>
              <w:szCs w:val="20"/>
            </w:rPr>
            <w:t>neuvième</w:t>
          </w:r>
          <w:r w:rsidRPr="004F506E">
            <w:rPr>
              <w:rFonts w:ascii="Arial" w:hAnsi="Arial" w:cs="Arial"/>
              <w:b/>
              <w:bCs/>
              <w:sz w:val="20"/>
              <w:szCs w:val="20"/>
            </w:rPr>
            <w:t xml:space="preserve"> session du Comité intergouvernemental</w:t>
          </w:r>
          <w:r w:rsidRPr="004F506E">
            <w:rPr>
              <w:rFonts w:ascii="Arial" w:hAnsi="Arial" w:cs="Arial"/>
              <w:b/>
              <w:bCs/>
              <w:sz w:val="20"/>
              <w:szCs w:val="20"/>
            </w:rPr>
            <w:br/>
            <w:t>de sauvegarde du patrimoine culturel immatériel</w:t>
          </w:r>
        </w:p>
        <w:p w14:paraId="0801D973" w14:textId="77777777" w:rsidR="0010531A" w:rsidRPr="0010531A" w:rsidRDefault="0010531A" w:rsidP="0010531A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531A">
            <w:rPr>
              <w:rFonts w:ascii="Arial" w:hAnsi="Arial" w:cs="Arial"/>
              <w:b/>
              <w:bCs/>
              <w:sz w:val="20"/>
              <w:szCs w:val="20"/>
            </w:rPr>
            <w:t>Asunción, République du Paraguay</w:t>
          </w:r>
        </w:p>
        <w:p w14:paraId="0672ACFE" w14:textId="5126D1C6" w:rsidR="00934453" w:rsidRPr="00934453" w:rsidRDefault="0010531A" w:rsidP="0010531A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10531A">
            <w:rPr>
              <w:rFonts w:ascii="Arial" w:hAnsi="Arial" w:cs="Arial"/>
              <w:b/>
              <w:bCs/>
              <w:sz w:val="20"/>
              <w:szCs w:val="20"/>
            </w:rPr>
            <w:t>2 – 7 décembre 2024</w:t>
          </w:r>
        </w:p>
      </w:tc>
    </w:tr>
  </w:tbl>
  <w:p w14:paraId="123E1E2D" w14:textId="2476A332" w:rsidR="0030092D" w:rsidRPr="00934453" w:rsidRDefault="0030092D" w:rsidP="00E911D4">
    <w:pPr>
      <w:pStyle w:val="Header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9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112"/>
      <w:gridCol w:w="6237"/>
    </w:tblGrid>
    <w:tr w:rsidR="0030092D" w:rsidRPr="0010531A" w14:paraId="6CD7F88F" w14:textId="77777777" w:rsidTr="00E911D4">
      <w:trPr>
        <w:trHeight w:val="2405"/>
      </w:trPr>
      <w:tc>
        <w:tcPr>
          <w:tcW w:w="4112" w:type="dxa"/>
        </w:tcPr>
        <w:p w14:paraId="65894457" w14:textId="77777777" w:rsidR="0030092D" w:rsidRPr="0076602E" w:rsidRDefault="00C87407" w:rsidP="00E911D4">
          <w:pPr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76602E">
            <w:rPr>
              <w:rFonts w:ascii="Arial" w:hAnsi="Arial" w:cs="Arial"/>
              <w:b/>
              <w:noProof/>
              <w:sz w:val="22"/>
              <w:szCs w:val="22"/>
              <w:lang w:val="en-US" w:eastAsia="ko-KR"/>
            </w:rPr>
            <w:drawing>
              <wp:anchor distT="0" distB="0" distL="114300" distR="114300" simplePos="0" relativeHeight="251656704" behindDoc="0" locked="0" layoutInCell="1" allowOverlap="1" wp14:anchorId="0EE4BFA7" wp14:editId="78992828">
                <wp:simplePos x="0" y="0"/>
                <wp:positionH relativeFrom="column">
                  <wp:posOffset>73660</wp:posOffset>
                </wp:positionH>
                <wp:positionV relativeFrom="paragraph">
                  <wp:posOffset>106680</wp:posOffset>
                </wp:positionV>
                <wp:extent cx="2228215" cy="1367790"/>
                <wp:effectExtent l="0" t="0" r="0" b="0"/>
                <wp:wrapNone/>
                <wp:docPr id="51" name="Image 51" descr="unesco_logo_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 descr="unesco_logo_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215" cy="136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</w:tcPr>
        <w:p w14:paraId="5E0F9EA3" w14:textId="77777777" w:rsidR="0030092D" w:rsidRPr="0076602E" w:rsidRDefault="0030092D" w:rsidP="00E911D4">
          <w:pPr>
            <w:spacing w:before="240"/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t xml:space="preserve">CONVENTION FOR THE SAFEGUARDING OF THE </w:t>
          </w: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br/>
            <w:t>INTANGIBLE CULTURAL HERITAGE</w:t>
          </w:r>
        </w:p>
        <w:p w14:paraId="1845B5AC" w14:textId="77777777" w:rsidR="0030092D" w:rsidRPr="0076602E" w:rsidRDefault="0030092D" w:rsidP="0076602E">
          <w:pPr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t>INTERGOVERNMENTAL COMMITTEE FOR THE</w:t>
          </w: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br/>
            <w:t>SAFEGUARDING OF THE INTANGIBLE CULTURAL HERITAGE</w:t>
          </w:r>
        </w:p>
        <w:p w14:paraId="455754E3" w14:textId="77777777" w:rsidR="0030092D" w:rsidRPr="0076602E" w:rsidRDefault="0030092D" w:rsidP="0076602E">
          <w:pPr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t>Eighth session</w:t>
          </w:r>
        </w:p>
        <w:p w14:paraId="4260544B" w14:textId="77777777" w:rsidR="0030092D" w:rsidRPr="0076602E" w:rsidRDefault="0030092D" w:rsidP="0076602E">
          <w:pPr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t>Baku, Azerbaijan</w:t>
          </w:r>
        </w:p>
        <w:p w14:paraId="048E9432" w14:textId="77777777" w:rsidR="0030092D" w:rsidRPr="0076602E" w:rsidRDefault="0030092D" w:rsidP="00E911D4">
          <w:pPr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t>2 to 7 December 2013</w:t>
          </w:r>
        </w:p>
      </w:tc>
    </w:tr>
  </w:tbl>
  <w:p w14:paraId="34678135" w14:textId="77777777" w:rsidR="0030092D" w:rsidRPr="0076602E" w:rsidRDefault="0030092D" w:rsidP="00655736">
    <w:pPr>
      <w:jc w:val="right"/>
      <w:rPr>
        <w:rFonts w:cs="Arial"/>
        <w:b/>
        <w:noProof/>
        <w:sz w:val="22"/>
        <w:szCs w:val="22"/>
        <w:lang w:val="en-GB"/>
      </w:rPr>
    </w:pPr>
  </w:p>
  <w:p w14:paraId="01D4A074" w14:textId="77777777" w:rsidR="0030092D" w:rsidRPr="0057439C" w:rsidRDefault="003009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2901"/>
    <w:multiLevelType w:val="hybridMultilevel"/>
    <w:tmpl w:val="8FF40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25B2"/>
    <w:multiLevelType w:val="hybridMultilevel"/>
    <w:tmpl w:val="4468BA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5F07BFE"/>
    <w:multiLevelType w:val="hybridMultilevel"/>
    <w:tmpl w:val="410CED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97A4DB1"/>
    <w:multiLevelType w:val="hybridMultilevel"/>
    <w:tmpl w:val="A6BAD3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B461A"/>
    <w:multiLevelType w:val="hybridMultilevel"/>
    <w:tmpl w:val="120221B6"/>
    <w:lvl w:ilvl="0" w:tplc="040C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9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55950483"/>
    <w:multiLevelType w:val="hybridMultilevel"/>
    <w:tmpl w:val="4468BA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512940">
    <w:abstractNumId w:val="11"/>
  </w:num>
  <w:num w:numId="2" w16cid:durableId="1467356197">
    <w:abstractNumId w:val="6"/>
  </w:num>
  <w:num w:numId="3" w16cid:durableId="1572614043">
    <w:abstractNumId w:val="3"/>
  </w:num>
  <w:num w:numId="4" w16cid:durableId="1941065297">
    <w:abstractNumId w:val="13"/>
  </w:num>
  <w:num w:numId="5" w16cid:durableId="209414537">
    <w:abstractNumId w:val="12"/>
  </w:num>
  <w:num w:numId="6" w16cid:durableId="2004157807">
    <w:abstractNumId w:val="2"/>
  </w:num>
  <w:num w:numId="7" w16cid:durableId="1996958533">
    <w:abstractNumId w:val="4"/>
  </w:num>
  <w:num w:numId="8" w16cid:durableId="1519538858">
    <w:abstractNumId w:val="9"/>
  </w:num>
  <w:num w:numId="9" w16cid:durableId="2110931500">
    <w:abstractNumId w:val="5"/>
  </w:num>
  <w:num w:numId="10" w16cid:durableId="1261137216">
    <w:abstractNumId w:val="7"/>
  </w:num>
  <w:num w:numId="11" w16cid:durableId="1841238498">
    <w:abstractNumId w:val="10"/>
  </w:num>
  <w:num w:numId="12" w16cid:durableId="729501578">
    <w:abstractNumId w:val="1"/>
  </w:num>
  <w:num w:numId="13" w16cid:durableId="1380014490">
    <w:abstractNumId w:val="8"/>
  </w:num>
  <w:num w:numId="14" w16cid:durableId="165263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FFC"/>
    <w:rsid w:val="00013595"/>
    <w:rsid w:val="00037DE8"/>
    <w:rsid w:val="0005176E"/>
    <w:rsid w:val="000735C5"/>
    <w:rsid w:val="0007652E"/>
    <w:rsid w:val="00077AB7"/>
    <w:rsid w:val="00081CD8"/>
    <w:rsid w:val="0009280E"/>
    <w:rsid w:val="000A09BC"/>
    <w:rsid w:val="000A7F0E"/>
    <w:rsid w:val="000B1537"/>
    <w:rsid w:val="000C23D2"/>
    <w:rsid w:val="000F3A3F"/>
    <w:rsid w:val="00102557"/>
    <w:rsid w:val="0010531A"/>
    <w:rsid w:val="00111585"/>
    <w:rsid w:val="0011499D"/>
    <w:rsid w:val="00164D56"/>
    <w:rsid w:val="00167B10"/>
    <w:rsid w:val="00181E8A"/>
    <w:rsid w:val="00196C1B"/>
    <w:rsid w:val="001B0F73"/>
    <w:rsid w:val="001B7E4D"/>
    <w:rsid w:val="001E7A9C"/>
    <w:rsid w:val="00205223"/>
    <w:rsid w:val="00222A2D"/>
    <w:rsid w:val="00223029"/>
    <w:rsid w:val="00227A32"/>
    <w:rsid w:val="002407AF"/>
    <w:rsid w:val="00246F4A"/>
    <w:rsid w:val="00267C7B"/>
    <w:rsid w:val="002828F5"/>
    <w:rsid w:val="00293C60"/>
    <w:rsid w:val="002A2E8B"/>
    <w:rsid w:val="002B02F3"/>
    <w:rsid w:val="002B0FC9"/>
    <w:rsid w:val="002D3BC4"/>
    <w:rsid w:val="0030092D"/>
    <w:rsid w:val="00337F1D"/>
    <w:rsid w:val="00343736"/>
    <w:rsid w:val="00345B7A"/>
    <w:rsid w:val="00346BF3"/>
    <w:rsid w:val="0037551C"/>
    <w:rsid w:val="00382206"/>
    <w:rsid w:val="003835F0"/>
    <w:rsid w:val="003A0AC0"/>
    <w:rsid w:val="003B7D79"/>
    <w:rsid w:val="003D069C"/>
    <w:rsid w:val="003D07B1"/>
    <w:rsid w:val="003F113A"/>
    <w:rsid w:val="004025D6"/>
    <w:rsid w:val="00410444"/>
    <w:rsid w:val="00411FFC"/>
    <w:rsid w:val="00414643"/>
    <w:rsid w:val="004421E5"/>
    <w:rsid w:val="00444F36"/>
    <w:rsid w:val="00452284"/>
    <w:rsid w:val="0047590B"/>
    <w:rsid w:val="004767D5"/>
    <w:rsid w:val="0049705E"/>
    <w:rsid w:val="004E5FE1"/>
    <w:rsid w:val="00526B7B"/>
    <w:rsid w:val="005278F1"/>
    <w:rsid w:val="005308CE"/>
    <w:rsid w:val="00534037"/>
    <w:rsid w:val="0053764A"/>
    <w:rsid w:val="0057439C"/>
    <w:rsid w:val="005B0127"/>
    <w:rsid w:val="005C4B73"/>
    <w:rsid w:val="005D6388"/>
    <w:rsid w:val="00600D93"/>
    <w:rsid w:val="0060249F"/>
    <w:rsid w:val="00612C70"/>
    <w:rsid w:val="0064331A"/>
    <w:rsid w:val="00655736"/>
    <w:rsid w:val="00663B8D"/>
    <w:rsid w:val="00673368"/>
    <w:rsid w:val="00682CBB"/>
    <w:rsid w:val="00690461"/>
    <w:rsid w:val="00696C8D"/>
    <w:rsid w:val="006A2AC2"/>
    <w:rsid w:val="006A3617"/>
    <w:rsid w:val="006B1698"/>
    <w:rsid w:val="006D36F6"/>
    <w:rsid w:val="006E46E4"/>
    <w:rsid w:val="006E584E"/>
    <w:rsid w:val="006F7C17"/>
    <w:rsid w:val="00703886"/>
    <w:rsid w:val="007045D1"/>
    <w:rsid w:val="00715AD4"/>
    <w:rsid w:val="00750990"/>
    <w:rsid w:val="0076602E"/>
    <w:rsid w:val="007735BF"/>
    <w:rsid w:val="00784B8C"/>
    <w:rsid w:val="0079213E"/>
    <w:rsid w:val="007943B1"/>
    <w:rsid w:val="00794685"/>
    <w:rsid w:val="007A7D63"/>
    <w:rsid w:val="007B2062"/>
    <w:rsid w:val="007B2E0F"/>
    <w:rsid w:val="007D6511"/>
    <w:rsid w:val="0082354B"/>
    <w:rsid w:val="00823A11"/>
    <w:rsid w:val="008352CC"/>
    <w:rsid w:val="008533F0"/>
    <w:rsid w:val="0085414A"/>
    <w:rsid w:val="0086269D"/>
    <w:rsid w:val="0087200C"/>
    <w:rsid w:val="008724E5"/>
    <w:rsid w:val="00872B2F"/>
    <w:rsid w:val="0087454F"/>
    <w:rsid w:val="00880BAA"/>
    <w:rsid w:val="00884A9D"/>
    <w:rsid w:val="008A2F72"/>
    <w:rsid w:val="008A4E1E"/>
    <w:rsid w:val="008C296C"/>
    <w:rsid w:val="008D40B5"/>
    <w:rsid w:val="008D4305"/>
    <w:rsid w:val="00913EC2"/>
    <w:rsid w:val="009163A7"/>
    <w:rsid w:val="00934453"/>
    <w:rsid w:val="00960C7C"/>
    <w:rsid w:val="0096398A"/>
    <w:rsid w:val="00991CCA"/>
    <w:rsid w:val="009A18CD"/>
    <w:rsid w:val="009A5797"/>
    <w:rsid w:val="009B298B"/>
    <w:rsid w:val="009B2B30"/>
    <w:rsid w:val="009B5593"/>
    <w:rsid w:val="009C06BB"/>
    <w:rsid w:val="009C6F6B"/>
    <w:rsid w:val="00A034BD"/>
    <w:rsid w:val="00A12558"/>
    <w:rsid w:val="00A13903"/>
    <w:rsid w:val="00A34ED5"/>
    <w:rsid w:val="00A420A8"/>
    <w:rsid w:val="00A43697"/>
    <w:rsid w:val="00A45DBF"/>
    <w:rsid w:val="00A755A2"/>
    <w:rsid w:val="00A93EC3"/>
    <w:rsid w:val="00A97964"/>
    <w:rsid w:val="00AA1958"/>
    <w:rsid w:val="00AB2C36"/>
    <w:rsid w:val="00AB303E"/>
    <w:rsid w:val="00AB70B6"/>
    <w:rsid w:val="00AC6F67"/>
    <w:rsid w:val="00AD1A86"/>
    <w:rsid w:val="00AE103E"/>
    <w:rsid w:val="00AF0A07"/>
    <w:rsid w:val="00AF1CE4"/>
    <w:rsid w:val="00AF4BD8"/>
    <w:rsid w:val="00AF625E"/>
    <w:rsid w:val="00B00820"/>
    <w:rsid w:val="00B30BB3"/>
    <w:rsid w:val="00B75A13"/>
    <w:rsid w:val="00B919F5"/>
    <w:rsid w:val="00B9352C"/>
    <w:rsid w:val="00BB3C69"/>
    <w:rsid w:val="00BC74F7"/>
    <w:rsid w:val="00BD14A4"/>
    <w:rsid w:val="00BD52C9"/>
    <w:rsid w:val="00BE6354"/>
    <w:rsid w:val="00C07235"/>
    <w:rsid w:val="00C25371"/>
    <w:rsid w:val="00C2706D"/>
    <w:rsid w:val="00C31253"/>
    <w:rsid w:val="00C47E47"/>
    <w:rsid w:val="00C70EA7"/>
    <w:rsid w:val="00C7516E"/>
    <w:rsid w:val="00C75770"/>
    <w:rsid w:val="00C87407"/>
    <w:rsid w:val="00C97D07"/>
    <w:rsid w:val="00CA2589"/>
    <w:rsid w:val="00CA5056"/>
    <w:rsid w:val="00CA6296"/>
    <w:rsid w:val="00CB5BDB"/>
    <w:rsid w:val="00CC0121"/>
    <w:rsid w:val="00CD3AFC"/>
    <w:rsid w:val="00CE1049"/>
    <w:rsid w:val="00D00D63"/>
    <w:rsid w:val="00D24877"/>
    <w:rsid w:val="00D37EC8"/>
    <w:rsid w:val="00D413C6"/>
    <w:rsid w:val="00D64F9D"/>
    <w:rsid w:val="00D805DF"/>
    <w:rsid w:val="00D9440B"/>
    <w:rsid w:val="00DA36ED"/>
    <w:rsid w:val="00DA415E"/>
    <w:rsid w:val="00DD5D98"/>
    <w:rsid w:val="00DE34F1"/>
    <w:rsid w:val="00DF4942"/>
    <w:rsid w:val="00E57E73"/>
    <w:rsid w:val="00E627B1"/>
    <w:rsid w:val="00E7283E"/>
    <w:rsid w:val="00E911D4"/>
    <w:rsid w:val="00E9376C"/>
    <w:rsid w:val="00EA335E"/>
    <w:rsid w:val="00EA7039"/>
    <w:rsid w:val="00EB1931"/>
    <w:rsid w:val="00EC003B"/>
    <w:rsid w:val="00EF1DF7"/>
    <w:rsid w:val="00F30D7A"/>
    <w:rsid w:val="00F36565"/>
    <w:rsid w:val="00F576CB"/>
    <w:rsid w:val="00F702E9"/>
    <w:rsid w:val="00F9129B"/>
    <w:rsid w:val="00F9333F"/>
    <w:rsid w:val="00F96540"/>
    <w:rsid w:val="00FB1448"/>
    <w:rsid w:val="00FD1226"/>
    <w:rsid w:val="00FE386F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3CA1D"/>
  <w15:chartTrackingRefBased/>
  <w15:docId w15:val="{6E1A3A02-0184-4C6B-9A1C-DC995F20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92D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sz w:val="20"/>
      <w:lang w:val="x-none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  <w:rPr>
      <w:rFonts w:ascii="Calibri" w:eastAsia="SimSun" w:hAnsi="Calibri"/>
      <w:sz w:val="20"/>
      <w:szCs w:val="20"/>
      <w:lang w:val="en-GB" w:eastAsia="x-none"/>
    </w:r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  <w:rPr>
      <w:rFonts w:ascii="Calibri" w:eastAsia="SimSun" w:hAnsi="Calibri"/>
      <w:sz w:val="20"/>
      <w:szCs w:val="20"/>
      <w:lang w:val="en-GB" w:eastAsia="x-none"/>
    </w:r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eastAsia="SimSun" w:hAnsi="Tahoma"/>
      <w:sz w:val="16"/>
      <w:szCs w:val="16"/>
      <w:lang w:val="en-GB" w:eastAsia="x-none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qFormat/>
    <w:rsid w:val="006C3FFC"/>
    <w:rPr>
      <w:rFonts w:ascii="Times New Roman" w:eastAsia="Times New Roman" w:hAnsi="Times New Roman"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link w:val="Heading4"/>
    <w:rsid w:val="00F66657"/>
    <w:rPr>
      <w:rFonts w:ascii="Arial" w:eastAsia="Times New Roman" w:hAnsi="Arial" w:cs="Times New Roman"/>
      <w:b/>
      <w:bCs/>
      <w:snapToGrid w:val="0"/>
      <w:szCs w:val="24"/>
      <w:lang w:eastAsia="en-US"/>
    </w:rPr>
  </w:style>
  <w:style w:type="paragraph" w:customStyle="1" w:styleId="Listecouleur-Accent11">
    <w:name w:val="Liste couleur - Accent 11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qFormat/>
    <w:rsid w:val="0057439C"/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6B16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69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57E73"/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0765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H-amendments@unesco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h.unesco.org/fr/decisions-bureau/16.COM%202.BUR/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ch.unesco.org/en/decisions-bureau/16.COM%202.BUR/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H-amendments@unesco.org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85255-8D32-436F-97E6-5417C02517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Maziz, Leila</cp:lastModifiedBy>
  <cp:revision>2</cp:revision>
  <cp:lastPrinted>2021-11-29T20:03:00Z</cp:lastPrinted>
  <dcterms:created xsi:type="dcterms:W3CDTF">2023-11-20T16:14:00Z</dcterms:created>
  <dcterms:modified xsi:type="dcterms:W3CDTF">2024-11-20T12:17:00Z</dcterms:modified>
</cp:coreProperties>
</file>