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03C5FF" w14:textId="77777777" w:rsidR="00D23F08" w:rsidRDefault="00D23F08" w:rsidP="005804CC">
      <w:pPr>
        <w:spacing w:before="960"/>
        <w:jc w:val="center"/>
        <w:rPr>
          <w:rFonts w:ascii="Arial" w:hAnsi="Arial" w:cs="Arial"/>
          <w:b/>
          <w:szCs w:val="22"/>
          <w:lang w:val="en-GB"/>
        </w:rPr>
      </w:pPr>
      <w:bookmarkStart w:id="0" w:name="_Hlk165911923"/>
    </w:p>
    <w:p w14:paraId="72F6D204" w14:textId="76D98D04" w:rsidR="003C523E" w:rsidRPr="0017455E" w:rsidRDefault="002938F2" w:rsidP="005804CC">
      <w:pPr>
        <w:spacing w:before="960"/>
        <w:jc w:val="center"/>
        <w:rPr>
          <w:rFonts w:ascii="Arial" w:hAnsi="Arial" w:cs="Arial"/>
          <w:b/>
          <w:szCs w:val="22"/>
          <w:lang w:val="en-GB"/>
        </w:rPr>
      </w:pPr>
      <w:r w:rsidRPr="0017455E">
        <w:rPr>
          <w:rFonts w:ascii="Arial" w:hAnsi="Arial" w:cs="Arial"/>
          <w:b/>
          <w:szCs w:val="22"/>
          <w:lang w:val="en-GB"/>
        </w:rPr>
        <w:t>CONVEN</w:t>
      </w:r>
      <w:bookmarkStart w:id="1" w:name="_Hlk165911888"/>
      <w:bookmarkEnd w:id="0"/>
      <w:r w:rsidRPr="0017455E">
        <w:rPr>
          <w:rFonts w:ascii="Arial" w:hAnsi="Arial" w:cs="Arial"/>
          <w:b/>
          <w:szCs w:val="22"/>
          <w:lang w:val="en-GB"/>
        </w:rPr>
        <w:t>TION FOR THE SAFEGUARDING OF THE</w:t>
      </w:r>
      <w:r w:rsidRPr="0017455E">
        <w:rPr>
          <w:rFonts w:ascii="Arial" w:hAnsi="Arial" w:cs="Arial"/>
          <w:b/>
          <w:szCs w:val="22"/>
          <w:lang w:val="en-GB"/>
        </w:rPr>
        <w:br/>
        <w:t>INTANGIBLE CULTURAL HERITAGE</w:t>
      </w:r>
      <w:r w:rsidR="005804CC" w:rsidRPr="0017455E">
        <w:rPr>
          <w:rFonts w:ascii="Arial" w:hAnsi="Arial" w:cs="Arial"/>
          <w:b/>
          <w:szCs w:val="22"/>
          <w:lang w:val="en-GB"/>
        </w:rPr>
        <w:br/>
      </w:r>
    </w:p>
    <w:p w14:paraId="01E3D6EC" w14:textId="6339CD0E" w:rsidR="00105BEB" w:rsidRPr="002236C8" w:rsidRDefault="00FC4318" w:rsidP="002236C8">
      <w:pPr>
        <w:spacing w:before="1200" w:after="0"/>
        <w:ind w:left="1531" w:right="1446" w:firstLine="181"/>
        <w:jc w:val="center"/>
        <w:rPr>
          <w:rFonts w:ascii="Arial" w:hAnsi="Arial"/>
          <w:b/>
          <w:lang w:val="en-GB"/>
        </w:rPr>
      </w:pPr>
      <w:bookmarkStart w:id="2" w:name="_Hlk70514086"/>
      <w:r w:rsidRPr="004F4635">
        <w:rPr>
          <w:rFonts w:ascii="Arial" w:hAnsi="Arial"/>
          <w:b/>
          <w:lang w:val="en-GB"/>
        </w:rPr>
        <w:t xml:space="preserve">Expert meeting </w:t>
      </w:r>
      <w:r w:rsidR="002236C8" w:rsidRPr="004F4635">
        <w:rPr>
          <w:rFonts w:ascii="Arial" w:hAnsi="Arial"/>
          <w:b/>
          <w:bCs/>
          <w:lang w:val="en-GB"/>
        </w:rPr>
        <w:t xml:space="preserve">on </w:t>
      </w:r>
      <w:bookmarkStart w:id="3" w:name="_Hlk166661975"/>
      <w:r w:rsidR="00701184">
        <w:rPr>
          <w:rFonts w:ascii="Arial" w:hAnsi="Arial"/>
          <w:b/>
          <w:bCs/>
          <w:lang w:val="en-GB"/>
        </w:rPr>
        <w:t xml:space="preserve">safeguarding intangible cultural heritage and climate </w:t>
      </w:r>
      <w:bookmarkEnd w:id="3"/>
      <w:r w:rsidR="00701184">
        <w:rPr>
          <w:rFonts w:ascii="Arial" w:hAnsi="Arial"/>
          <w:b/>
          <w:bCs/>
          <w:lang w:val="en-GB"/>
        </w:rPr>
        <w:t>change</w:t>
      </w:r>
    </w:p>
    <w:bookmarkEnd w:id="2"/>
    <w:p w14:paraId="56EE2842" w14:textId="6EDEC520" w:rsidR="00516150" w:rsidRPr="0017455E" w:rsidRDefault="002236C8" w:rsidP="00CA6E42">
      <w:pPr>
        <w:spacing w:before="840" w:after="0"/>
        <w:jc w:val="center"/>
        <w:rPr>
          <w:rFonts w:ascii="Arial" w:hAnsi="Arial"/>
          <w:b/>
          <w:lang w:val="en-GB"/>
        </w:rPr>
      </w:pPr>
      <w:r>
        <w:rPr>
          <w:rFonts w:ascii="Arial" w:hAnsi="Arial"/>
          <w:b/>
          <w:lang w:val="en-GB"/>
        </w:rPr>
        <w:t>19</w:t>
      </w:r>
      <w:r w:rsidR="00DA3598">
        <w:rPr>
          <w:rFonts w:ascii="Arial" w:hAnsi="Arial"/>
          <w:b/>
          <w:lang w:val="en-GB"/>
        </w:rPr>
        <w:t>-</w:t>
      </w:r>
      <w:r w:rsidR="00516150" w:rsidRPr="0017455E">
        <w:rPr>
          <w:rFonts w:ascii="Arial" w:hAnsi="Arial"/>
          <w:b/>
          <w:lang w:val="en-GB"/>
        </w:rPr>
        <w:t>2</w:t>
      </w:r>
      <w:r>
        <w:rPr>
          <w:rFonts w:ascii="Arial" w:hAnsi="Arial"/>
          <w:b/>
          <w:lang w:val="en-GB"/>
        </w:rPr>
        <w:t>0</w:t>
      </w:r>
      <w:r w:rsidR="00516150" w:rsidRPr="0017455E">
        <w:rPr>
          <w:rFonts w:ascii="Arial" w:hAnsi="Arial"/>
          <w:b/>
          <w:lang w:val="en-GB"/>
        </w:rPr>
        <w:t xml:space="preserve"> </w:t>
      </w:r>
      <w:r>
        <w:rPr>
          <w:rFonts w:ascii="Arial" w:hAnsi="Arial"/>
          <w:b/>
          <w:lang w:val="en-GB"/>
        </w:rPr>
        <w:t>June</w:t>
      </w:r>
      <w:r w:rsidR="00516150" w:rsidRPr="0017455E">
        <w:rPr>
          <w:rFonts w:ascii="Arial" w:hAnsi="Arial"/>
          <w:b/>
          <w:lang w:val="en-GB"/>
        </w:rPr>
        <w:t xml:space="preserve"> 202</w:t>
      </w:r>
      <w:r>
        <w:rPr>
          <w:rFonts w:ascii="Arial" w:hAnsi="Arial"/>
          <w:b/>
          <w:lang w:val="en-GB"/>
        </w:rPr>
        <w:t>4</w:t>
      </w:r>
      <w:r w:rsidR="00516150" w:rsidRPr="0017455E">
        <w:rPr>
          <w:rFonts w:ascii="Arial" w:hAnsi="Arial"/>
          <w:b/>
          <w:lang w:val="en-GB"/>
        </w:rPr>
        <w:t xml:space="preserve"> (</w:t>
      </w:r>
      <w:r w:rsidR="005804CC" w:rsidRPr="0017455E">
        <w:rPr>
          <w:rFonts w:ascii="Arial" w:hAnsi="Arial"/>
          <w:b/>
          <w:lang w:val="en-GB"/>
        </w:rPr>
        <w:t>P</w:t>
      </w:r>
      <w:r w:rsidR="00516150" w:rsidRPr="0017455E">
        <w:rPr>
          <w:rFonts w:ascii="Arial" w:hAnsi="Arial"/>
          <w:b/>
          <w:lang w:val="en-GB"/>
        </w:rPr>
        <w:t>art I)</w:t>
      </w:r>
    </w:p>
    <w:p w14:paraId="786DE23D" w14:textId="30E18669" w:rsidR="00105BEB" w:rsidRPr="0017455E" w:rsidRDefault="00FC4318" w:rsidP="005804CC">
      <w:pPr>
        <w:spacing w:after="0"/>
        <w:jc w:val="center"/>
        <w:rPr>
          <w:rFonts w:ascii="Arial" w:hAnsi="Arial" w:cs="Arial"/>
          <w:b/>
          <w:szCs w:val="22"/>
          <w:lang w:val="en-GB"/>
        </w:rPr>
      </w:pPr>
      <w:r w:rsidRPr="0017455E">
        <w:rPr>
          <w:rFonts w:ascii="Arial" w:hAnsi="Arial"/>
          <w:b/>
          <w:lang w:val="en-GB"/>
        </w:rPr>
        <w:t>UNESCO Headquarters, Paris</w:t>
      </w:r>
    </w:p>
    <w:p w14:paraId="759533C0" w14:textId="30F8E17F" w:rsidR="005804CC" w:rsidRPr="00EE55B4" w:rsidRDefault="005804CC" w:rsidP="00067FA4">
      <w:pPr>
        <w:spacing w:before="240" w:after="0"/>
        <w:jc w:val="center"/>
        <w:rPr>
          <w:rFonts w:ascii="Arial" w:hAnsi="Arial"/>
          <w:b/>
          <w:lang w:val="en-AU"/>
        </w:rPr>
      </w:pPr>
      <w:r w:rsidRPr="00EE55B4">
        <w:rPr>
          <w:rFonts w:ascii="Arial" w:hAnsi="Arial"/>
          <w:b/>
          <w:lang w:val="en-AU"/>
        </w:rPr>
        <w:t>2</w:t>
      </w:r>
      <w:r w:rsidR="002236C8" w:rsidRPr="00EE55B4">
        <w:rPr>
          <w:rFonts w:ascii="Arial" w:hAnsi="Arial"/>
          <w:b/>
          <w:lang w:val="en-AU"/>
        </w:rPr>
        <w:t>5</w:t>
      </w:r>
      <w:r w:rsidR="00147755">
        <w:rPr>
          <w:rFonts w:ascii="Arial" w:hAnsi="Arial"/>
          <w:b/>
          <w:lang w:val="en-AU"/>
        </w:rPr>
        <w:t>-26</w:t>
      </w:r>
      <w:r w:rsidRPr="00EE55B4">
        <w:rPr>
          <w:rFonts w:ascii="Arial" w:hAnsi="Arial"/>
          <w:b/>
          <w:lang w:val="en-AU"/>
        </w:rPr>
        <w:t xml:space="preserve"> </w:t>
      </w:r>
      <w:r w:rsidR="002236C8" w:rsidRPr="00EE55B4">
        <w:rPr>
          <w:rFonts w:ascii="Arial" w:hAnsi="Arial"/>
          <w:b/>
          <w:lang w:val="en-AU"/>
        </w:rPr>
        <w:t>September</w:t>
      </w:r>
      <w:r w:rsidRPr="00EE55B4">
        <w:rPr>
          <w:rFonts w:ascii="Arial" w:hAnsi="Arial"/>
          <w:b/>
          <w:lang w:val="en-AU"/>
        </w:rPr>
        <w:t xml:space="preserve"> 202</w:t>
      </w:r>
      <w:r w:rsidR="002236C8" w:rsidRPr="00EE55B4">
        <w:rPr>
          <w:rFonts w:ascii="Arial" w:hAnsi="Arial"/>
          <w:b/>
          <w:lang w:val="en-AU"/>
        </w:rPr>
        <w:t>4</w:t>
      </w:r>
      <w:r w:rsidRPr="00EE55B4">
        <w:rPr>
          <w:rFonts w:ascii="Arial" w:hAnsi="Arial"/>
          <w:b/>
          <w:lang w:val="en-AU"/>
        </w:rPr>
        <w:t xml:space="preserve"> (Part II)</w:t>
      </w:r>
    </w:p>
    <w:p w14:paraId="77EF448F" w14:textId="77777777" w:rsidR="005804CC" w:rsidRPr="00EE55B4" w:rsidRDefault="005804CC" w:rsidP="00EC438D">
      <w:pPr>
        <w:spacing w:after="360"/>
        <w:jc w:val="center"/>
        <w:rPr>
          <w:rFonts w:ascii="Arial" w:hAnsi="Arial" w:cs="Arial"/>
          <w:b/>
          <w:szCs w:val="22"/>
          <w:lang w:val="en-AU"/>
        </w:rPr>
      </w:pPr>
      <w:r w:rsidRPr="00EE55B4">
        <w:rPr>
          <w:rFonts w:ascii="Arial" w:hAnsi="Arial"/>
          <w:b/>
          <w:lang w:val="en-AU"/>
        </w:rPr>
        <w:t>Online</w:t>
      </w:r>
    </w:p>
    <w:p w14:paraId="08046E56" w14:textId="383ECB81" w:rsidR="003C523E" w:rsidRPr="00EE55B4" w:rsidRDefault="003C523E" w:rsidP="009F265A">
      <w:pPr>
        <w:spacing w:after="1200"/>
        <w:rPr>
          <w:rFonts w:ascii="Arial" w:hAnsi="Arial" w:cs="Arial"/>
          <w:b/>
          <w:szCs w:val="22"/>
          <w:lang w:val="en-AU"/>
        </w:rPr>
      </w:pPr>
    </w:p>
    <w:p w14:paraId="2D09841A" w14:textId="3B7C88EC" w:rsidR="00851458" w:rsidRDefault="00B007E5" w:rsidP="005804CC">
      <w:pPr>
        <w:spacing w:before="600" w:after="1200"/>
        <w:jc w:val="center"/>
        <w:rPr>
          <w:rFonts w:ascii="Arial" w:hAnsi="Arial"/>
          <w:b/>
          <w:lang w:val="en-AU" w:eastAsia="ko-KR"/>
        </w:rPr>
      </w:pPr>
      <w:r w:rsidRPr="00EE55B4">
        <w:rPr>
          <w:rFonts w:ascii="Arial" w:hAnsi="Arial"/>
          <w:b/>
          <w:lang w:val="en-AU" w:eastAsia="ko-KR"/>
        </w:rPr>
        <w:t>Draft guidance note</w:t>
      </w:r>
      <w:r w:rsidR="00701184">
        <w:rPr>
          <w:rFonts w:ascii="Arial" w:hAnsi="Arial"/>
          <w:b/>
          <w:lang w:val="en-AU" w:eastAsia="ko-KR"/>
        </w:rPr>
        <w:t xml:space="preserve"> on living heritage </w:t>
      </w:r>
      <w:r w:rsidR="0087347C">
        <w:rPr>
          <w:rFonts w:ascii="Arial" w:hAnsi="Arial"/>
          <w:b/>
          <w:lang w:val="en-AU" w:eastAsia="ko-KR"/>
        </w:rPr>
        <w:t>and climate action</w:t>
      </w:r>
    </w:p>
    <w:bookmarkEnd w:id="1"/>
    <w:p w14:paraId="444D1949" w14:textId="65FFAB28" w:rsidR="0017455E" w:rsidRPr="00E65EF0" w:rsidRDefault="00851458" w:rsidP="0017455E">
      <w:pPr>
        <w:pStyle w:val="Heading11"/>
        <w:rPr>
          <w:rFonts w:ascii="Arial" w:hAnsi="Arial" w:cs="Arial"/>
          <w:b/>
          <w:bCs/>
          <w:color w:val="auto"/>
          <w:sz w:val="22"/>
          <w:szCs w:val="22"/>
          <w:lang w:val="en-AU"/>
        </w:rPr>
      </w:pPr>
      <w:r w:rsidRPr="00371FC5">
        <w:rPr>
          <w:lang w:val="en-AU"/>
        </w:rPr>
        <w:br w:type="page"/>
      </w:r>
      <w:r w:rsidR="004F4635" w:rsidRPr="00371FC5">
        <w:rPr>
          <w:rFonts w:ascii="Arial" w:hAnsi="Arial" w:cs="Arial"/>
          <w:b/>
          <w:bCs/>
          <w:color w:val="auto"/>
          <w:sz w:val="22"/>
          <w:szCs w:val="22"/>
          <w:lang w:val="en-AU"/>
        </w:rPr>
        <w:lastRenderedPageBreak/>
        <w:t>INTRODUC</w:t>
      </w:r>
      <w:r w:rsidR="004F4635" w:rsidRPr="00E65EF0">
        <w:rPr>
          <w:rFonts w:ascii="Arial" w:hAnsi="Arial" w:cs="Arial"/>
          <w:b/>
          <w:bCs/>
          <w:color w:val="auto"/>
          <w:sz w:val="22"/>
          <w:szCs w:val="22"/>
          <w:lang w:val="en-AU"/>
        </w:rPr>
        <w:t>TION TO THE GUIDANCE NOTE</w:t>
      </w:r>
      <w:r w:rsidR="0017455E" w:rsidRPr="00E65EF0">
        <w:rPr>
          <w:rStyle w:val="FootnoteReference"/>
          <w:rFonts w:ascii="Arial" w:hAnsi="Arial" w:cs="Arial"/>
          <w:color w:val="auto"/>
          <w:sz w:val="22"/>
          <w:szCs w:val="22"/>
        </w:rPr>
        <w:footnoteReference w:id="2"/>
      </w:r>
    </w:p>
    <w:p w14:paraId="4D7335B0" w14:textId="77777777" w:rsidR="00C9450E" w:rsidRDefault="00C9450E" w:rsidP="00C9450E">
      <w:pPr>
        <w:pStyle w:val="COMPara"/>
        <w:jc w:val="both"/>
      </w:pPr>
    </w:p>
    <w:p w14:paraId="2AFC924B" w14:textId="63D4F4D6" w:rsidR="004F4635" w:rsidRPr="004F4635" w:rsidRDefault="004F4635" w:rsidP="00C9450E">
      <w:pPr>
        <w:pStyle w:val="COMPara"/>
        <w:jc w:val="both"/>
        <w:rPr>
          <w:b/>
          <w:bCs/>
        </w:rPr>
      </w:pPr>
      <w:r w:rsidRPr="004F4635">
        <w:rPr>
          <w:b/>
          <w:bCs/>
        </w:rPr>
        <w:t>A. Scope</w:t>
      </w:r>
      <w:r w:rsidR="00E4418F">
        <w:rPr>
          <w:b/>
          <w:bCs/>
        </w:rPr>
        <w:t xml:space="preserve"> of the </w:t>
      </w:r>
      <w:r w:rsidR="00A431EE">
        <w:rPr>
          <w:b/>
          <w:bCs/>
        </w:rPr>
        <w:t>G</w:t>
      </w:r>
      <w:r w:rsidR="00E4418F">
        <w:rPr>
          <w:b/>
          <w:bCs/>
        </w:rPr>
        <w:t xml:space="preserve">uidance </w:t>
      </w:r>
      <w:r w:rsidR="00A431EE">
        <w:rPr>
          <w:b/>
          <w:bCs/>
        </w:rPr>
        <w:t>N</w:t>
      </w:r>
      <w:r w:rsidR="00E4418F">
        <w:rPr>
          <w:b/>
          <w:bCs/>
        </w:rPr>
        <w:t>ote</w:t>
      </w:r>
    </w:p>
    <w:p w14:paraId="11854C7E" w14:textId="7D2C05FC" w:rsidR="00387BEE" w:rsidRPr="00DE1225" w:rsidRDefault="00F05724" w:rsidP="00F05724">
      <w:pPr>
        <w:pStyle w:val="COMPara"/>
        <w:numPr>
          <w:ilvl w:val="0"/>
          <w:numId w:val="8"/>
        </w:numPr>
        <w:ind w:left="567" w:hanging="567"/>
        <w:jc w:val="both"/>
      </w:pPr>
      <w:r w:rsidRPr="00DE1225">
        <w:t>This introduction provides high-level context for the Guidance Note on</w:t>
      </w:r>
      <w:r w:rsidR="00D006E7" w:rsidRPr="00DE1225">
        <w:t xml:space="preserve"> </w:t>
      </w:r>
      <w:r w:rsidR="00F904F3" w:rsidRPr="00DE1225">
        <w:rPr>
          <w:lang w:val="en-AU"/>
        </w:rPr>
        <w:t>Living</w:t>
      </w:r>
      <w:r w:rsidR="00D006E7" w:rsidRPr="00DE1225">
        <w:rPr>
          <w:lang w:val="en-AU"/>
        </w:rPr>
        <w:t xml:space="preserve"> Heritage </w:t>
      </w:r>
      <w:r w:rsidR="0087347C" w:rsidRPr="00DE1225">
        <w:rPr>
          <w:lang w:val="en-AU"/>
        </w:rPr>
        <w:t>and Climate Action</w:t>
      </w:r>
      <w:r w:rsidR="00387BEE" w:rsidRPr="00DE1225">
        <w:rPr>
          <w:lang w:val="en-AU"/>
        </w:rPr>
        <w:t xml:space="preserve"> (‘the Guidance Note’)</w:t>
      </w:r>
      <w:r w:rsidR="00AA302A" w:rsidRPr="00DE1225">
        <w:t xml:space="preserve">, which </w:t>
      </w:r>
      <w:r w:rsidR="00530B4C" w:rsidRPr="00DE1225">
        <w:t>addresses</w:t>
      </w:r>
      <w:r w:rsidR="00AA302A" w:rsidRPr="00DE1225">
        <w:t xml:space="preserve"> the </w:t>
      </w:r>
      <w:r w:rsidR="0028437E" w:rsidRPr="00DE1225">
        <w:t xml:space="preserve">relationship between </w:t>
      </w:r>
      <w:r w:rsidR="00AA302A" w:rsidRPr="00DE1225">
        <w:t xml:space="preserve">climate change and </w:t>
      </w:r>
      <w:r w:rsidR="0028437E" w:rsidRPr="00DE1225">
        <w:t>living heritage</w:t>
      </w:r>
      <w:r w:rsidR="00AA302A" w:rsidRPr="00DE1225">
        <w:t xml:space="preserve"> from the perspective of the 2003 Convention for the Safeguarding of the Intangible Cultural Heritage (</w:t>
      </w:r>
      <w:r w:rsidR="00387BEE" w:rsidRPr="00DE1225">
        <w:t>‘</w:t>
      </w:r>
      <w:r w:rsidR="00AA302A" w:rsidRPr="00DE1225">
        <w:t>the 2003 Convention</w:t>
      </w:r>
      <w:r w:rsidR="00387BEE" w:rsidRPr="00DE1225">
        <w:t>’</w:t>
      </w:r>
      <w:r w:rsidR="00AA302A" w:rsidRPr="00DE1225">
        <w:t>).</w:t>
      </w:r>
      <w:r w:rsidR="00D006E7" w:rsidRPr="00DE1225">
        <w:t xml:space="preserve"> </w:t>
      </w:r>
      <w:r w:rsidR="00387BEE" w:rsidRPr="00DE1225">
        <w:t xml:space="preserve">The Guidance Note is </w:t>
      </w:r>
      <w:r w:rsidR="0028437E" w:rsidRPr="00DE1225">
        <w:t>directed broadly to the full range of intangible cultural heritage stakeholders, including practitioners, communities, professionals, heritage institutions and States Parties, as well as stakeholders in the fields of cultural heritage, climate change, emergencies and disaster risk reduction.</w:t>
      </w:r>
      <w:r w:rsidR="00275FE4" w:rsidRPr="00DE1225">
        <w:rPr>
          <w:rStyle w:val="FootnoteReference"/>
        </w:rPr>
        <w:footnoteReference w:id="3"/>
      </w:r>
      <w:r w:rsidR="00335D32" w:rsidRPr="00DE1225">
        <w:t xml:space="preserve"> States Parties to the </w:t>
      </w:r>
      <w:r w:rsidR="00335D32" w:rsidRPr="00DE1225">
        <w:rPr>
          <w:lang w:val="en-AU"/>
        </w:rPr>
        <w:t xml:space="preserve">2003 Convention have a critical role to play in promoting strategies for enhancing safeguarding </w:t>
      </w:r>
      <w:r w:rsidR="003B2253" w:rsidRPr="00DE1225">
        <w:rPr>
          <w:lang w:val="en-AU"/>
        </w:rPr>
        <w:t xml:space="preserve">living heritage in the context of climate change </w:t>
      </w:r>
      <w:r w:rsidR="00335D32" w:rsidRPr="00DE1225">
        <w:rPr>
          <w:lang w:val="en-AU"/>
        </w:rPr>
        <w:t xml:space="preserve">and </w:t>
      </w:r>
      <w:r w:rsidR="000F0F1B" w:rsidRPr="00DE1225">
        <w:rPr>
          <w:lang w:val="en-AU"/>
        </w:rPr>
        <w:t>mainstreaming climate change into mitigation and/or adaptation strategies and programmes related to living heritage.</w:t>
      </w:r>
    </w:p>
    <w:p w14:paraId="08595B97" w14:textId="0E002BD5" w:rsidR="00F05724" w:rsidRDefault="00F05724" w:rsidP="00F05724">
      <w:pPr>
        <w:pStyle w:val="COMPara"/>
        <w:numPr>
          <w:ilvl w:val="0"/>
          <w:numId w:val="8"/>
        </w:numPr>
        <w:ind w:left="567" w:hanging="567"/>
        <w:jc w:val="both"/>
      </w:pPr>
      <w:r w:rsidRPr="00F05724">
        <w:rPr>
          <w:lang w:val="en-AU"/>
        </w:rPr>
        <w:t>Th</w:t>
      </w:r>
      <w:r>
        <w:rPr>
          <w:lang w:val="en-AU"/>
        </w:rPr>
        <w:t>e</w:t>
      </w:r>
      <w:r w:rsidRPr="00F05724">
        <w:rPr>
          <w:lang w:val="en-AU"/>
        </w:rPr>
        <w:t xml:space="preserve"> </w:t>
      </w:r>
      <w:r>
        <w:rPr>
          <w:lang w:val="en-AU"/>
        </w:rPr>
        <w:t>Guidance</w:t>
      </w:r>
      <w:r w:rsidRPr="00F05724">
        <w:rPr>
          <w:lang w:val="en-AU"/>
        </w:rPr>
        <w:t xml:space="preserve"> Note </w:t>
      </w:r>
      <w:r>
        <w:rPr>
          <w:lang w:val="en-AU"/>
        </w:rPr>
        <w:t>has been</w:t>
      </w:r>
      <w:r w:rsidRPr="00F05724">
        <w:rPr>
          <w:lang w:val="en-AU"/>
        </w:rPr>
        <w:t xml:space="preserve"> developed as </w:t>
      </w:r>
      <w:r w:rsidR="00530B4C">
        <w:rPr>
          <w:lang w:val="en-AU"/>
        </w:rPr>
        <w:t>one</w:t>
      </w:r>
      <w:r w:rsidRPr="00F05724">
        <w:rPr>
          <w:lang w:val="en-AU"/>
        </w:rPr>
        <w:t xml:space="preserve"> of the thematic initiatives launched by the Secretariat of the 2003 Convention in 2021 on intangible cultural heritage and sustainable development. The thematic initiatives a</w:t>
      </w:r>
      <w:r w:rsidR="0041666E">
        <w:rPr>
          <w:lang w:val="en-AU"/>
        </w:rPr>
        <w:t>lign</w:t>
      </w:r>
      <w:r w:rsidRPr="00F05724">
        <w:rPr>
          <w:lang w:val="en-AU"/>
        </w:rPr>
        <w:t xml:space="preserve"> with UNESCO's Draft Medium-Term Strategy for 2022–2029 (</w:t>
      </w:r>
      <w:hyperlink r:id="rId8" w:history="1">
        <w:r w:rsidRPr="00F05724">
          <w:rPr>
            <w:rStyle w:val="Hyperlink"/>
            <w:lang w:val="en-AU"/>
          </w:rPr>
          <w:t>41C/4</w:t>
        </w:r>
      </w:hyperlink>
      <w:r w:rsidRPr="00F05724">
        <w:rPr>
          <w:lang w:val="en-AU"/>
        </w:rPr>
        <w:t>), the Operational Directives of the Convention (</w:t>
      </w:r>
      <w:hyperlink r:id="rId9" w:history="1">
        <w:r w:rsidRPr="00F05724">
          <w:rPr>
            <w:rStyle w:val="Hyperlink"/>
            <w:lang w:val="en-AU"/>
          </w:rPr>
          <w:t>Chapter VI</w:t>
        </w:r>
      </w:hyperlink>
      <w:r w:rsidRPr="00F05724">
        <w:rPr>
          <w:lang w:val="en-AU"/>
        </w:rPr>
        <w:t xml:space="preserve">) and the </w:t>
      </w:r>
      <w:r w:rsidR="0041666E">
        <w:rPr>
          <w:lang w:val="en-AU"/>
        </w:rPr>
        <w:t xml:space="preserve">decisions of the </w:t>
      </w:r>
      <w:r w:rsidRPr="00F05724">
        <w:rPr>
          <w:lang w:val="en-AU"/>
        </w:rPr>
        <w:t>Intergovernmental Committee</w:t>
      </w:r>
      <w:r w:rsidR="00C46678">
        <w:rPr>
          <w:lang w:val="en-AU"/>
        </w:rPr>
        <w:t xml:space="preserve"> (</w:t>
      </w:r>
      <w:r w:rsidR="0047088C">
        <w:t>Decisions</w:t>
      </w:r>
      <w:r w:rsidR="00E24D5B">
        <w:rPr>
          <w:lang w:val="en-AU"/>
        </w:rPr>
        <w:t xml:space="preserve"> </w:t>
      </w:r>
      <w:hyperlink r:id="rId10" w:history="1">
        <w:r w:rsidR="00E24D5B" w:rsidRPr="00691B3B">
          <w:rPr>
            <w:rStyle w:val="Hyperlink"/>
            <w:lang w:val="en-AU"/>
          </w:rPr>
          <w:t>16.COM 5.b</w:t>
        </w:r>
      </w:hyperlink>
      <w:r w:rsidR="0047088C">
        <w:t>,</w:t>
      </w:r>
      <w:r w:rsidR="00E24D5B">
        <w:rPr>
          <w:color w:val="000000"/>
          <w:shd w:val="clear" w:color="auto" w:fill="FFFFFF"/>
        </w:rPr>
        <w:t> </w:t>
      </w:r>
      <w:hyperlink r:id="rId11" w:history="1">
        <w:r w:rsidR="00E24D5B" w:rsidRPr="00691B3B">
          <w:rPr>
            <w:rStyle w:val="Hyperlink"/>
            <w:lang w:val="en-AU"/>
          </w:rPr>
          <w:t>17.COM 13</w:t>
        </w:r>
      </w:hyperlink>
      <w:r w:rsidR="0047088C">
        <w:rPr>
          <w:color w:val="000000"/>
          <w:shd w:val="clear" w:color="auto" w:fill="FFFFFF"/>
        </w:rPr>
        <w:t xml:space="preserve"> and Decision</w:t>
      </w:r>
      <w:hyperlink r:id="rId12" w:history="1">
        <w:r w:rsidR="00C20276" w:rsidRPr="00691B3B">
          <w:rPr>
            <w:rStyle w:val="Hyperlink"/>
            <w:u w:val="none"/>
            <w:lang w:val="en-AU"/>
          </w:rPr>
          <w:t xml:space="preserve"> </w:t>
        </w:r>
        <w:r w:rsidR="00C20276" w:rsidRPr="00C20276">
          <w:rPr>
            <w:rStyle w:val="Hyperlink"/>
            <w:lang w:val="en-AU"/>
          </w:rPr>
          <w:t>18.COM</w:t>
        </w:r>
        <w:r w:rsidR="0047088C">
          <w:rPr>
            <w:rStyle w:val="Hyperlink"/>
            <w:lang w:val="en-AU"/>
          </w:rPr>
          <w:t xml:space="preserve"> </w:t>
        </w:r>
        <w:r w:rsidR="00C20276" w:rsidRPr="00C20276">
          <w:rPr>
            <w:rStyle w:val="Hyperlink"/>
            <w:lang w:val="en-AU"/>
          </w:rPr>
          <w:t>12</w:t>
        </w:r>
      </w:hyperlink>
      <w:r w:rsidR="00C20276">
        <w:rPr>
          <w:lang w:val="en-AU"/>
        </w:rPr>
        <w:t>)</w:t>
      </w:r>
      <w:r w:rsidR="00C46678">
        <w:rPr>
          <w:lang w:val="en-AU"/>
        </w:rPr>
        <w:t>.</w:t>
      </w:r>
      <w:r w:rsidR="007D6E3D">
        <w:rPr>
          <w:lang w:val="en-AU"/>
        </w:rPr>
        <w:t xml:space="preserve"> </w:t>
      </w:r>
      <w:r w:rsidRPr="00F05724">
        <w:rPr>
          <w:lang w:val="en-AU"/>
        </w:rPr>
        <w:t>The</w:t>
      </w:r>
      <w:r w:rsidR="00AA302A">
        <w:rPr>
          <w:lang w:val="en-AU"/>
        </w:rPr>
        <w:t xml:space="preserve"> Guidance Note</w:t>
      </w:r>
      <w:r w:rsidRPr="00F05724">
        <w:rPr>
          <w:lang w:val="en-AU"/>
        </w:rPr>
        <w:t xml:space="preserve"> also </w:t>
      </w:r>
      <w:r w:rsidR="00371F8E">
        <w:rPr>
          <w:lang w:val="en-AU"/>
        </w:rPr>
        <w:t>build</w:t>
      </w:r>
      <w:r w:rsidR="00AA302A">
        <w:rPr>
          <w:lang w:val="en-AU"/>
        </w:rPr>
        <w:t>s</w:t>
      </w:r>
      <w:r w:rsidR="00371F8E">
        <w:rPr>
          <w:lang w:val="en-AU"/>
        </w:rPr>
        <w:t xml:space="preserve"> on</w:t>
      </w:r>
      <w:r w:rsidRPr="00F05724">
        <w:rPr>
          <w:lang w:val="en-AU"/>
        </w:rPr>
        <w:t xml:space="preserve"> </w:t>
      </w:r>
      <w:r>
        <w:rPr>
          <w:lang w:val="en-AU"/>
        </w:rPr>
        <w:t xml:space="preserve">recent </w:t>
      </w:r>
      <w:r w:rsidR="005B28ED">
        <w:rPr>
          <w:lang w:val="en-AU"/>
        </w:rPr>
        <w:t xml:space="preserve">calls for action on the safeguarding of </w:t>
      </w:r>
      <w:r w:rsidR="00DA3598">
        <w:rPr>
          <w:lang w:val="en-AU"/>
        </w:rPr>
        <w:t>living heritage</w:t>
      </w:r>
      <w:r w:rsidR="005B28ED">
        <w:rPr>
          <w:lang w:val="en-AU"/>
        </w:rPr>
        <w:t xml:space="preserve"> in the context of climate change</w:t>
      </w:r>
      <w:r w:rsidR="00275FE4">
        <w:rPr>
          <w:lang w:val="en-AU"/>
        </w:rPr>
        <w:t xml:space="preserve">, </w:t>
      </w:r>
      <w:bookmarkStart w:id="4" w:name="_Hlk166704636"/>
      <w:r w:rsidR="00275FE4">
        <w:rPr>
          <w:lang w:val="en-AU"/>
        </w:rPr>
        <w:t xml:space="preserve">including the </w:t>
      </w:r>
      <w:hyperlink r:id="rId13" w:history="1">
        <w:r w:rsidR="00F01430" w:rsidRPr="00F01430">
          <w:rPr>
            <w:rStyle w:val="Hyperlink"/>
            <w:lang w:val="en-AU"/>
          </w:rPr>
          <w:t>F</w:t>
        </w:r>
        <w:r w:rsidR="00275FE4" w:rsidRPr="00F01430">
          <w:rPr>
            <w:rStyle w:val="Hyperlink"/>
            <w:lang w:val="en-AU"/>
          </w:rPr>
          <w:t xml:space="preserve">inal </w:t>
        </w:r>
        <w:r w:rsidR="00F01430" w:rsidRPr="00F01430">
          <w:rPr>
            <w:rStyle w:val="Hyperlink"/>
            <w:lang w:val="en-AU"/>
          </w:rPr>
          <w:t>D</w:t>
        </w:r>
        <w:r w:rsidR="00275FE4" w:rsidRPr="00F01430">
          <w:rPr>
            <w:rStyle w:val="Hyperlink"/>
            <w:lang w:val="en-AU"/>
          </w:rPr>
          <w:t>eclaration</w:t>
        </w:r>
      </w:hyperlink>
      <w:r w:rsidR="00275FE4" w:rsidRPr="006810A0">
        <w:rPr>
          <w:lang w:val="en-AU"/>
        </w:rPr>
        <w:t xml:space="preserve"> of </w:t>
      </w:r>
      <w:r w:rsidR="00F01430">
        <w:rPr>
          <w:lang w:val="en-AU"/>
        </w:rPr>
        <w:t xml:space="preserve">the UNESCO World Conference on Cultural </w:t>
      </w:r>
      <w:r w:rsidR="00D45B49">
        <w:rPr>
          <w:lang w:val="en-AU"/>
        </w:rPr>
        <w:t>P</w:t>
      </w:r>
      <w:r w:rsidR="00F01430">
        <w:rPr>
          <w:lang w:val="en-AU"/>
        </w:rPr>
        <w:t>olicies and Sustainable Development (</w:t>
      </w:r>
      <w:r w:rsidR="00275FE4" w:rsidRPr="006810A0">
        <w:rPr>
          <w:lang w:val="en-AU"/>
        </w:rPr>
        <w:t>MONDIACULT 2022</w:t>
      </w:r>
      <w:r w:rsidR="00F01430">
        <w:rPr>
          <w:lang w:val="en-AU"/>
        </w:rPr>
        <w:t>)</w:t>
      </w:r>
      <w:r w:rsidR="00275FE4">
        <w:rPr>
          <w:lang w:val="en-AU"/>
        </w:rPr>
        <w:t xml:space="preserve">, the </w:t>
      </w:r>
      <w:hyperlink r:id="rId14" w:history="1">
        <w:r w:rsidR="00275FE4" w:rsidRPr="008F779C">
          <w:rPr>
            <w:rStyle w:val="Hyperlink"/>
            <w:lang w:val="en-AU"/>
          </w:rPr>
          <w:t>Seoul Vision</w:t>
        </w:r>
      </w:hyperlink>
      <w:r w:rsidR="00275FE4" w:rsidRPr="006810A0">
        <w:rPr>
          <w:b/>
          <w:bCs/>
          <w:lang w:val="en-AU"/>
        </w:rPr>
        <w:t xml:space="preserve"> </w:t>
      </w:r>
      <w:r w:rsidR="00275FE4" w:rsidRPr="006810A0">
        <w:rPr>
          <w:lang w:val="en-AU"/>
        </w:rPr>
        <w:t>for the Future of Safeguarding Living Heritage for Sustainable Development and Peace</w:t>
      </w:r>
      <w:r w:rsidR="00275FE4">
        <w:rPr>
          <w:lang w:val="en-AU"/>
        </w:rPr>
        <w:t>, t</w:t>
      </w:r>
      <w:r w:rsidR="00275FE4" w:rsidRPr="006810A0">
        <w:rPr>
          <w:lang w:val="en-AU"/>
        </w:rPr>
        <w:t xml:space="preserve">he </w:t>
      </w:r>
      <w:hyperlink r:id="rId15" w:history="1">
        <w:r w:rsidR="00D207F6" w:rsidRPr="00D207F6">
          <w:rPr>
            <w:rStyle w:val="Hyperlink"/>
            <w:lang w:val="en-AU"/>
          </w:rPr>
          <w:t>‘</w:t>
        </w:r>
        <w:r w:rsidR="00275FE4" w:rsidRPr="00D207F6">
          <w:rPr>
            <w:rStyle w:val="Hyperlink"/>
            <w:lang w:val="en-AU"/>
          </w:rPr>
          <w:t>Spirit of Naples</w:t>
        </w:r>
        <w:r w:rsidR="00D207F6" w:rsidRPr="00D207F6">
          <w:rPr>
            <w:rStyle w:val="Hyperlink"/>
            <w:lang w:val="en-AU"/>
          </w:rPr>
          <w:t>’</w:t>
        </w:r>
        <w:r w:rsidR="00275FE4" w:rsidRPr="00D207F6">
          <w:rPr>
            <w:rStyle w:val="Hyperlink"/>
            <w:lang w:val="en-AU"/>
          </w:rPr>
          <w:t xml:space="preserve"> Call for Action</w:t>
        </w:r>
      </w:hyperlink>
      <w:r w:rsidR="00D45B49">
        <w:rPr>
          <w:lang w:val="en-AU"/>
        </w:rPr>
        <w:t xml:space="preserve"> concerning cultural heritage in the 21</w:t>
      </w:r>
      <w:r w:rsidR="00D45B49" w:rsidRPr="00F544D6">
        <w:rPr>
          <w:vertAlign w:val="superscript"/>
          <w:lang w:val="en-AU"/>
        </w:rPr>
        <w:t>st</w:t>
      </w:r>
      <w:r w:rsidR="00D45B49">
        <w:rPr>
          <w:lang w:val="en-AU"/>
        </w:rPr>
        <w:t xml:space="preserve"> Century</w:t>
      </w:r>
      <w:r w:rsidR="00275FE4">
        <w:rPr>
          <w:lang w:val="en-AU"/>
        </w:rPr>
        <w:t xml:space="preserve">, </w:t>
      </w:r>
      <w:r w:rsidR="00E55A01">
        <w:rPr>
          <w:lang w:val="en-AU"/>
        </w:rPr>
        <w:t xml:space="preserve">the </w:t>
      </w:r>
      <w:hyperlink r:id="rId16" w:history="1">
        <w:r w:rsidR="00E55A01" w:rsidRPr="00E55A01">
          <w:rPr>
            <w:rStyle w:val="Hyperlink"/>
            <w:lang w:val="en-AU"/>
          </w:rPr>
          <w:t>Declaration</w:t>
        </w:r>
      </w:hyperlink>
      <w:r w:rsidR="00E55A01">
        <w:rPr>
          <w:lang w:val="en-AU"/>
        </w:rPr>
        <w:t xml:space="preserve"> on the Safeguarding of Intangible Cultural Heritage for Climate Action of the ICH NGO Forum </w:t>
      </w:r>
      <w:r w:rsidR="00275FE4">
        <w:t>and the</w:t>
      </w:r>
      <w:r w:rsidR="00275FE4" w:rsidRPr="006810A0">
        <w:t xml:space="preserve"> </w:t>
      </w:r>
      <w:hyperlink r:id="rId17" w:history="1">
        <w:r w:rsidR="00275FE4" w:rsidRPr="00A431EE">
          <w:rPr>
            <w:rStyle w:val="Hyperlink"/>
          </w:rPr>
          <w:t>Emirates Declaration on Cultural-based Climate Action</w:t>
        </w:r>
        <w:bookmarkEnd w:id="4"/>
      </w:hyperlink>
      <w:r w:rsidR="00275FE4">
        <w:t>.</w:t>
      </w:r>
    </w:p>
    <w:p w14:paraId="141471EB" w14:textId="03E78C2F" w:rsidR="004F4635" w:rsidRPr="004F4635" w:rsidRDefault="004F4635" w:rsidP="004F4635">
      <w:pPr>
        <w:pStyle w:val="COMPara"/>
        <w:ind w:left="0" w:firstLine="0"/>
        <w:jc w:val="both"/>
        <w:rPr>
          <w:b/>
          <w:bCs/>
        </w:rPr>
      </w:pPr>
      <w:r w:rsidRPr="004F4635">
        <w:rPr>
          <w:b/>
          <w:bCs/>
        </w:rPr>
        <w:t xml:space="preserve">B. </w:t>
      </w:r>
      <w:r w:rsidR="00F904F3">
        <w:rPr>
          <w:b/>
          <w:bCs/>
        </w:rPr>
        <w:t xml:space="preserve">Development of the </w:t>
      </w:r>
      <w:r w:rsidR="00A431EE">
        <w:rPr>
          <w:b/>
          <w:bCs/>
        </w:rPr>
        <w:t>G</w:t>
      </w:r>
      <w:r w:rsidR="00F904F3">
        <w:rPr>
          <w:b/>
          <w:bCs/>
        </w:rPr>
        <w:t xml:space="preserve">uidance </w:t>
      </w:r>
      <w:r w:rsidR="00A431EE">
        <w:rPr>
          <w:b/>
          <w:bCs/>
        </w:rPr>
        <w:t>N</w:t>
      </w:r>
      <w:r w:rsidR="00F904F3">
        <w:rPr>
          <w:b/>
          <w:bCs/>
        </w:rPr>
        <w:t>ote</w:t>
      </w:r>
    </w:p>
    <w:p w14:paraId="608856C0" w14:textId="432EC52E" w:rsidR="004F4635" w:rsidRPr="00E43025" w:rsidRDefault="0028437E" w:rsidP="004F4635">
      <w:pPr>
        <w:pStyle w:val="COMPara"/>
        <w:numPr>
          <w:ilvl w:val="0"/>
          <w:numId w:val="8"/>
        </w:numPr>
        <w:ind w:left="567" w:hanging="567"/>
        <w:jc w:val="both"/>
      </w:pPr>
      <w:r>
        <w:t>T</w:t>
      </w:r>
      <w:r w:rsidRPr="0028437E">
        <w:t xml:space="preserve">here are currently few global or international policies, guidelines or tools for culture that adequately address or promote the role of </w:t>
      </w:r>
      <w:r>
        <w:t>living</w:t>
      </w:r>
      <w:r w:rsidRPr="0028437E">
        <w:t xml:space="preserve"> heritage in the context of climate change. While </w:t>
      </w:r>
      <w:r>
        <w:t xml:space="preserve">a large body of literature and </w:t>
      </w:r>
      <w:r w:rsidRPr="0028437E">
        <w:t xml:space="preserve">numerous instruments relating to </w:t>
      </w:r>
      <w:r>
        <w:t xml:space="preserve">climate change and </w:t>
      </w:r>
      <w:r w:rsidRPr="0028437E">
        <w:t xml:space="preserve">different forms of local and Indigenous knowledge </w:t>
      </w:r>
      <w:r w:rsidR="00D1200B">
        <w:t>exist</w:t>
      </w:r>
      <w:r w:rsidRPr="0028437E">
        <w:t xml:space="preserve">, they do not refer specifically to the role of </w:t>
      </w:r>
      <w:r>
        <w:t>living heritage</w:t>
      </w:r>
      <w:r w:rsidRPr="0028437E">
        <w:t xml:space="preserve"> from the perspective of the 2003 Convention. </w:t>
      </w:r>
      <w:r w:rsidR="008A7908">
        <w:t>T</w:t>
      </w:r>
      <w:r w:rsidRPr="0028437E">
        <w:t>he 2003 Convention acknowledge</w:t>
      </w:r>
      <w:r w:rsidR="008A7908">
        <w:t>s</w:t>
      </w:r>
      <w:r w:rsidRPr="0028437E">
        <w:t xml:space="preserve"> the potential role of </w:t>
      </w:r>
      <w:r w:rsidR="00C20276">
        <w:t>living</w:t>
      </w:r>
      <w:r w:rsidRPr="0028437E">
        <w:t xml:space="preserve"> heritage to strengthen community-based resilience to natural disasters and climate change in </w:t>
      </w:r>
      <w:r w:rsidR="000D795D">
        <w:t>the</w:t>
      </w:r>
      <w:r w:rsidR="000D795D" w:rsidRPr="0028437E">
        <w:t xml:space="preserve"> </w:t>
      </w:r>
      <w:hyperlink r:id="rId18" w:history="1">
        <w:r w:rsidRPr="001E51C7">
          <w:rPr>
            <w:rStyle w:val="Hyperlink"/>
          </w:rPr>
          <w:t>Operational Directives</w:t>
        </w:r>
      </w:hyperlink>
      <w:r w:rsidRPr="0028437E">
        <w:t xml:space="preserve"> (Chapter VI.3.3) </w:t>
      </w:r>
      <w:r w:rsidR="00C20276">
        <w:t xml:space="preserve">and </w:t>
      </w:r>
      <w:r w:rsidR="008A7908">
        <w:t xml:space="preserve">the </w:t>
      </w:r>
      <w:r w:rsidR="00C20276">
        <w:t xml:space="preserve">recently </w:t>
      </w:r>
      <w:r w:rsidR="00463490">
        <w:t xml:space="preserve">adopted </w:t>
      </w:r>
      <w:r w:rsidR="00C20276" w:rsidRPr="00C20276">
        <w:t xml:space="preserve">Operational Principles and Modalities for Safeguarding Intangible Cultural Heritage in Emergencies </w:t>
      </w:r>
      <w:r w:rsidR="00C20276">
        <w:t>(2020</w:t>
      </w:r>
      <w:r w:rsidR="008A7908">
        <w:t xml:space="preserve">). However, further guidance is needed </w:t>
      </w:r>
      <w:r w:rsidRPr="0028437E">
        <w:t>to engage</w:t>
      </w:r>
      <w:r w:rsidR="00335D32">
        <w:t xml:space="preserve"> in</w:t>
      </w:r>
      <w:r w:rsidRPr="0028437E">
        <w:t xml:space="preserve"> and enhance dialogue between </w:t>
      </w:r>
      <w:r w:rsidR="00C20276" w:rsidRPr="0028437E">
        <w:t xml:space="preserve">the fields of climate change and </w:t>
      </w:r>
      <w:r w:rsidR="00C20276">
        <w:t xml:space="preserve">living </w:t>
      </w:r>
      <w:r w:rsidR="00C20276" w:rsidRPr="0028437E">
        <w:t>heritage</w:t>
      </w:r>
      <w:r w:rsidRPr="0028437E">
        <w:t>.</w:t>
      </w:r>
    </w:p>
    <w:p w14:paraId="193E58D7" w14:textId="07E5C7E8" w:rsidR="004F4635" w:rsidRPr="00F726D8" w:rsidRDefault="00E9262B" w:rsidP="00A42EBD">
      <w:pPr>
        <w:pStyle w:val="COMPara"/>
        <w:numPr>
          <w:ilvl w:val="0"/>
          <w:numId w:val="8"/>
        </w:numPr>
        <w:ind w:left="567" w:hanging="567"/>
        <w:jc w:val="both"/>
      </w:pPr>
      <w:r>
        <w:t>P</w:t>
      </w:r>
      <w:r w:rsidR="00C20276">
        <w:t>reparation for this Guidance Note</w:t>
      </w:r>
      <w:r>
        <w:t xml:space="preserve"> included:</w:t>
      </w:r>
      <w:r w:rsidR="00C20276">
        <w:t xml:space="preserve"> a wide-ranging l</w:t>
      </w:r>
      <w:r w:rsidR="004F4635" w:rsidRPr="003664A2">
        <w:t xml:space="preserve">iterature review </w:t>
      </w:r>
      <w:r w:rsidR="00C20276">
        <w:t>conducted</w:t>
      </w:r>
      <w:r w:rsidR="004F4635">
        <w:t xml:space="preserve"> to characteri</w:t>
      </w:r>
      <w:r w:rsidR="00F749BF">
        <w:t>z</w:t>
      </w:r>
      <w:r w:rsidR="004F4635">
        <w:t>e what is esse</w:t>
      </w:r>
      <w:r w:rsidR="004F4635" w:rsidRPr="003664A2">
        <w:t>ntially a new field for the 2003 Convention</w:t>
      </w:r>
      <w:r>
        <w:t>;</w:t>
      </w:r>
      <w:r>
        <w:rPr>
          <w:rStyle w:val="FootnoteReference"/>
        </w:rPr>
        <w:footnoteReference w:id="4"/>
      </w:r>
      <w:r w:rsidR="00734406">
        <w:t xml:space="preserve"> </w:t>
      </w:r>
      <w:r>
        <w:t xml:space="preserve">a questionnaire issued to </w:t>
      </w:r>
      <w:r w:rsidR="00B85471">
        <w:rPr>
          <w:color w:val="000000"/>
          <w:shd w:val="clear" w:color="auto" w:fill="FFFFFF"/>
        </w:rPr>
        <w:t xml:space="preserve">stakeholders of the </w:t>
      </w:r>
      <w:r w:rsidR="008F0EE9">
        <w:rPr>
          <w:color w:val="000000"/>
          <w:shd w:val="clear" w:color="auto" w:fill="FFFFFF"/>
        </w:rPr>
        <w:t xml:space="preserve">2003 </w:t>
      </w:r>
      <w:r w:rsidR="00B85471">
        <w:rPr>
          <w:color w:val="000000"/>
          <w:shd w:val="clear" w:color="auto" w:fill="FFFFFF"/>
        </w:rPr>
        <w:t>Convention, including national authorities, accredited non-governmental organizations, category 2 centres and contact persons for elements inscribed on the Lists</w:t>
      </w:r>
      <w:r>
        <w:t xml:space="preserve">, with the substantial number of responses contributing to the definition of key </w:t>
      </w:r>
      <w:r>
        <w:lastRenderedPageBreak/>
        <w:t>challenges;</w:t>
      </w:r>
      <w:r>
        <w:rPr>
          <w:rStyle w:val="FootnoteReference"/>
        </w:rPr>
        <w:footnoteReference w:id="5"/>
      </w:r>
      <w:r w:rsidR="004F4635" w:rsidRPr="003664A2">
        <w:t xml:space="preserve"> </w:t>
      </w:r>
      <w:r>
        <w:t xml:space="preserve">and a desk review of </w:t>
      </w:r>
      <w:r w:rsidRPr="00E9262B">
        <w:rPr>
          <w:lang w:val="en-AU"/>
        </w:rPr>
        <w:t>policy frameworks t</w:t>
      </w:r>
      <w:r>
        <w:rPr>
          <w:lang w:val="en-AU"/>
        </w:rPr>
        <w:t>hat engage with</w:t>
      </w:r>
      <w:r w:rsidRPr="00E9262B">
        <w:rPr>
          <w:lang w:val="en-AU"/>
        </w:rPr>
        <w:t xml:space="preserve"> </w:t>
      </w:r>
      <w:r>
        <w:rPr>
          <w:lang w:val="en-AU"/>
        </w:rPr>
        <w:t xml:space="preserve">both </w:t>
      </w:r>
      <w:r w:rsidRPr="00E9262B">
        <w:rPr>
          <w:lang w:val="en-AU"/>
        </w:rPr>
        <w:t xml:space="preserve">climate change and </w:t>
      </w:r>
      <w:r>
        <w:rPr>
          <w:lang w:val="en-AU"/>
        </w:rPr>
        <w:t>living</w:t>
      </w:r>
      <w:r w:rsidRPr="00E9262B">
        <w:rPr>
          <w:lang w:val="en-AU"/>
        </w:rPr>
        <w:t xml:space="preserve"> heritage</w:t>
      </w:r>
      <w:r w:rsidR="00D43C09">
        <w:rPr>
          <w:lang w:val="en-AU"/>
        </w:rPr>
        <w:t>.</w:t>
      </w:r>
      <w:r>
        <w:rPr>
          <w:rStyle w:val="FootnoteReference"/>
          <w:lang w:val="en-AU"/>
        </w:rPr>
        <w:footnoteReference w:id="6"/>
      </w:r>
      <w:r>
        <w:rPr>
          <w:lang w:val="en-AU"/>
        </w:rPr>
        <w:t xml:space="preserve"> </w:t>
      </w:r>
      <w:r w:rsidR="00D44DE5">
        <w:rPr>
          <w:lang w:val="en-AU"/>
        </w:rPr>
        <w:t>The</w:t>
      </w:r>
      <w:r>
        <w:rPr>
          <w:lang w:val="en-AU"/>
        </w:rPr>
        <w:t xml:space="preserve"> dossier of preliminary reports </w:t>
      </w:r>
      <w:r w:rsidR="00D44DE5">
        <w:rPr>
          <w:lang w:val="en-AU"/>
        </w:rPr>
        <w:t xml:space="preserve">on this process </w:t>
      </w:r>
      <w:r w:rsidR="00ED542D">
        <w:rPr>
          <w:lang w:val="en-AU"/>
        </w:rPr>
        <w:t>has been</w:t>
      </w:r>
      <w:r>
        <w:rPr>
          <w:lang w:val="en-AU"/>
        </w:rPr>
        <w:t xml:space="preserve"> subjected to extensive peer review.</w:t>
      </w:r>
      <w:r>
        <w:rPr>
          <w:rStyle w:val="FootnoteReference"/>
          <w:lang w:val="en-AU"/>
        </w:rPr>
        <w:footnoteReference w:id="7"/>
      </w:r>
    </w:p>
    <w:p w14:paraId="46040C63" w14:textId="38D299CF" w:rsidR="004F4635" w:rsidRPr="004F4635" w:rsidRDefault="004F4635" w:rsidP="004F4635">
      <w:pPr>
        <w:pStyle w:val="COMPara"/>
        <w:ind w:left="0" w:firstLine="0"/>
        <w:jc w:val="both"/>
        <w:rPr>
          <w:b/>
          <w:bCs/>
        </w:rPr>
      </w:pPr>
      <w:r w:rsidRPr="004F4635">
        <w:rPr>
          <w:b/>
          <w:bCs/>
        </w:rPr>
        <w:t xml:space="preserve">C. Terms and </w:t>
      </w:r>
      <w:r w:rsidR="00F904F3">
        <w:rPr>
          <w:b/>
          <w:bCs/>
        </w:rPr>
        <w:t>c</w:t>
      </w:r>
      <w:r w:rsidRPr="004F4635">
        <w:rPr>
          <w:b/>
          <w:bCs/>
        </w:rPr>
        <w:t>oncepts</w:t>
      </w:r>
    </w:p>
    <w:p w14:paraId="404B2847" w14:textId="14FA51B4" w:rsidR="0086047D" w:rsidRPr="0086047D" w:rsidRDefault="004264D6" w:rsidP="00785357">
      <w:pPr>
        <w:pStyle w:val="COMPara"/>
        <w:numPr>
          <w:ilvl w:val="0"/>
          <w:numId w:val="8"/>
        </w:numPr>
        <w:ind w:left="567" w:hanging="540"/>
        <w:jc w:val="both"/>
      </w:pPr>
      <w:r w:rsidRPr="004264D6">
        <w:t xml:space="preserve">Living heritage or </w:t>
      </w:r>
      <w:r w:rsidR="00ED542D">
        <w:rPr>
          <w:bCs/>
          <w:lang w:val="en-AU"/>
        </w:rPr>
        <w:t>i</w:t>
      </w:r>
      <w:r w:rsidR="00785357" w:rsidRPr="00785357">
        <w:rPr>
          <w:bCs/>
          <w:lang w:val="en-AU"/>
        </w:rPr>
        <w:t>ntangible cultural heritage</w:t>
      </w:r>
      <w:r>
        <w:rPr>
          <w:bCs/>
          <w:lang w:val="en-AU"/>
        </w:rPr>
        <w:t xml:space="preserve"> </w:t>
      </w:r>
      <w:r w:rsidR="00785357" w:rsidRPr="00785357">
        <w:rPr>
          <w:bCs/>
          <w:lang w:val="en-AU"/>
        </w:rPr>
        <w:t>is defined by the 2003 Convention as ‘the practices, representations, expressions, knowledge, skills – as well as the instruments, objects, artefacts and cultural spaces associated therewith – that communities, groups and, in some cases, individuals recognize as part of their cultural heritage’</w:t>
      </w:r>
      <w:r w:rsidR="00785357" w:rsidRPr="00D9602A">
        <w:t>.</w:t>
      </w:r>
      <w:r w:rsidR="00785357" w:rsidRPr="00D9602A">
        <w:rPr>
          <w:rStyle w:val="FootnoteReference"/>
        </w:rPr>
        <w:footnoteReference w:id="8"/>
      </w:r>
      <w:r w:rsidR="00785357" w:rsidRPr="00785357">
        <w:rPr>
          <w:bCs/>
          <w:lang w:val="en-AU"/>
        </w:rPr>
        <w:t xml:space="preserve"> </w:t>
      </w:r>
      <w:r w:rsidR="00DA3598">
        <w:rPr>
          <w:bCs/>
          <w:lang w:val="en-AU"/>
        </w:rPr>
        <w:t>Living heritage</w:t>
      </w:r>
      <w:r w:rsidR="00785357" w:rsidRPr="00785357">
        <w:rPr>
          <w:bCs/>
          <w:lang w:val="en-AU"/>
        </w:rPr>
        <w:t xml:space="preserve"> encompasses practice</w:t>
      </w:r>
      <w:r w:rsidR="00ED542D">
        <w:rPr>
          <w:bCs/>
          <w:lang w:val="en-AU"/>
        </w:rPr>
        <w:t>s</w:t>
      </w:r>
      <w:r w:rsidR="00785357" w:rsidRPr="00785357">
        <w:rPr>
          <w:bCs/>
          <w:lang w:val="en-AU"/>
        </w:rPr>
        <w:t xml:space="preserve"> </w:t>
      </w:r>
      <w:r w:rsidR="00ED542D">
        <w:rPr>
          <w:bCs/>
          <w:lang w:val="en-AU"/>
        </w:rPr>
        <w:t>along with</w:t>
      </w:r>
      <w:r w:rsidR="00785357" w:rsidRPr="00785357">
        <w:rPr>
          <w:bCs/>
          <w:lang w:val="en-AU"/>
        </w:rPr>
        <w:t xml:space="preserve"> forms of knowledge, the processes of production and their products, the associated environmental contexts, material spaces and resources, and the modes of </w:t>
      </w:r>
      <w:r w:rsidR="00ED542D">
        <w:rPr>
          <w:bCs/>
          <w:lang w:val="en-AU"/>
        </w:rPr>
        <w:t xml:space="preserve">governance and </w:t>
      </w:r>
      <w:r w:rsidR="00785357" w:rsidRPr="00785357">
        <w:rPr>
          <w:bCs/>
          <w:lang w:val="en-AU"/>
        </w:rPr>
        <w:t xml:space="preserve">communication that communities use to practice their heritage and transmit it </w:t>
      </w:r>
      <w:r w:rsidR="009F685A">
        <w:rPr>
          <w:bCs/>
          <w:lang w:val="en-AU"/>
        </w:rPr>
        <w:t>between generations or to other communities</w:t>
      </w:r>
      <w:r w:rsidR="00785357" w:rsidRPr="007D6E3D">
        <w:rPr>
          <w:bCs/>
          <w:lang w:val="en-AU"/>
        </w:rPr>
        <w:t>.</w:t>
      </w:r>
      <w:r w:rsidR="003A5660">
        <w:rPr>
          <w:rStyle w:val="FootnoteReference"/>
          <w:bCs/>
          <w:lang w:val="en-AU"/>
        </w:rPr>
        <w:footnoteReference w:id="9"/>
      </w:r>
    </w:p>
    <w:p w14:paraId="3D27FC26" w14:textId="4E56F26C" w:rsidR="0086047D" w:rsidRPr="00DF1A31" w:rsidRDefault="00785357" w:rsidP="00CC24BF">
      <w:pPr>
        <w:pStyle w:val="COMPara"/>
        <w:numPr>
          <w:ilvl w:val="0"/>
          <w:numId w:val="8"/>
        </w:numPr>
        <w:ind w:left="567" w:hanging="540"/>
        <w:jc w:val="both"/>
      </w:pPr>
      <w:r w:rsidRPr="00785357">
        <w:rPr>
          <w:bCs/>
          <w:lang w:val="en-AU"/>
        </w:rPr>
        <w:t>The 2003 Convention highlights the central role of communities in all safeguarding actions, emphasizing their primary role in practicing</w:t>
      </w:r>
      <w:r w:rsidR="003A5660">
        <w:rPr>
          <w:bCs/>
          <w:lang w:val="en-AU"/>
        </w:rPr>
        <w:t xml:space="preserve">, </w:t>
      </w:r>
      <w:r w:rsidR="002C56B1">
        <w:rPr>
          <w:bCs/>
          <w:lang w:val="en-AU"/>
        </w:rPr>
        <w:t>adapting,</w:t>
      </w:r>
      <w:r w:rsidRPr="00785357">
        <w:rPr>
          <w:bCs/>
          <w:lang w:val="en-AU"/>
        </w:rPr>
        <w:t xml:space="preserve"> and </w:t>
      </w:r>
      <w:r w:rsidR="003A5660">
        <w:rPr>
          <w:bCs/>
          <w:lang w:val="en-AU"/>
        </w:rPr>
        <w:t>transmitting</w:t>
      </w:r>
      <w:r w:rsidRPr="00785357">
        <w:rPr>
          <w:bCs/>
          <w:lang w:val="en-AU"/>
        </w:rPr>
        <w:t xml:space="preserve"> their </w:t>
      </w:r>
      <w:r w:rsidR="00DA3598">
        <w:rPr>
          <w:bCs/>
          <w:lang w:val="en-AU"/>
        </w:rPr>
        <w:t>living heritage</w:t>
      </w:r>
      <w:r w:rsidRPr="00785357">
        <w:rPr>
          <w:bCs/>
          <w:lang w:val="en-AU"/>
        </w:rPr>
        <w:t xml:space="preserve"> to future generations.</w:t>
      </w:r>
      <w:r w:rsidR="00ED542D">
        <w:rPr>
          <w:rStyle w:val="FootnoteReference"/>
          <w:bCs/>
          <w:lang w:val="en-AU"/>
        </w:rPr>
        <w:footnoteReference w:id="10"/>
      </w:r>
      <w:r w:rsidRPr="00785357">
        <w:rPr>
          <w:bCs/>
          <w:lang w:val="en-AU"/>
        </w:rPr>
        <w:t xml:space="preserve"> </w:t>
      </w:r>
      <w:r w:rsidR="00DA3598">
        <w:rPr>
          <w:bCs/>
          <w:lang w:val="en-AU"/>
        </w:rPr>
        <w:t>Living heritage</w:t>
      </w:r>
      <w:r w:rsidRPr="00785357">
        <w:rPr>
          <w:bCs/>
          <w:lang w:val="en-AU"/>
        </w:rPr>
        <w:t xml:space="preserve"> is inseparable from the social, cultural and economic lives of communities and exists only in its enactment by the communities themselves. Each community </w:t>
      </w:r>
      <w:r w:rsidR="00335D32">
        <w:rPr>
          <w:bCs/>
          <w:lang w:val="en-AU"/>
        </w:rPr>
        <w:t>determines</w:t>
      </w:r>
      <w:r w:rsidRPr="00785357">
        <w:rPr>
          <w:bCs/>
          <w:lang w:val="en-AU"/>
        </w:rPr>
        <w:t xml:space="preserve"> the value of its own </w:t>
      </w:r>
      <w:r w:rsidR="00DA3598">
        <w:rPr>
          <w:bCs/>
          <w:lang w:val="en-AU"/>
        </w:rPr>
        <w:t>living heritage</w:t>
      </w:r>
      <w:r w:rsidRPr="00785357">
        <w:rPr>
          <w:bCs/>
          <w:lang w:val="en-AU"/>
        </w:rPr>
        <w:t xml:space="preserve">, and the social and cultural meanings that communities assign to their </w:t>
      </w:r>
      <w:r w:rsidR="00DA3598">
        <w:rPr>
          <w:bCs/>
          <w:lang w:val="en-AU"/>
        </w:rPr>
        <w:t>living heritage</w:t>
      </w:r>
      <w:r w:rsidRPr="00785357">
        <w:rPr>
          <w:bCs/>
          <w:lang w:val="en-AU"/>
        </w:rPr>
        <w:t xml:space="preserve"> provide a foundation for their identity and wellbeing. The 2003 Convention places particular emphasis on the dynamism and flexibility of </w:t>
      </w:r>
      <w:r w:rsidR="00DA3598">
        <w:rPr>
          <w:bCs/>
          <w:lang w:val="en-AU"/>
        </w:rPr>
        <w:t>living heritage</w:t>
      </w:r>
      <w:r w:rsidRPr="00785357">
        <w:rPr>
          <w:bCs/>
          <w:lang w:val="en-AU"/>
        </w:rPr>
        <w:t xml:space="preserve">, as embedded in the notion of safeguarding, which recognizes the capacity of communities to transmit and recreate their </w:t>
      </w:r>
      <w:r w:rsidR="00DA3598">
        <w:rPr>
          <w:bCs/>
          <w:lang w:val="en-AU"/>
        </w:rPr>
        <w:t>living heritage</w:t>
      </w:r>
      <w:r w:rsidRPr="00785357">
        <w:rPr>
          <w:bCs/>
          <w:lang w:val="en-AU"/>
        </w:rPr>
        <w:t xml:space="preserve"> in response to their environment, their interaction with </w:t>
      </w:r>
      <w:r w:rsidR="003A5660">
        <w:rPr>
          <w:bCs/>
          <w:lang w:val="en-AU"/>
        </w:rPr>
        <w:t>local places</w:t>
      </w:r>
      <w:r w:rsidR="00335D32">
        <w:rPr>
          <w:bCs/>
          <w:lang w:val="en-AU"/>
        </w:rPr>
        <w:t>,</w:t>
      </w:r>
      <w:r w:rsidRPr="00785357">
        <w:rPr>
          <w:bCs/>
          <w:lang w:val="en-AU"/>
        </w:rPr>
        <w:t xml:space="preserve"> and their history.</w:t>
      </w:r>
      <w:r w:rsidR="008A7908">
        <w:rPr>
          <w:bCs/>
          <w:lang w:val="en-AU"/>
        </w:rPr>
        <w:t xml:space="preserve"> </w:t>
      </w:r>
      <w:r w:rsidR="00CC24BF" w:rsidRPr="00F544D6">
        <w:rPr>
          <w:lang w:val="en-AU"/>
        </w:rPr>
        <w:t>The concept of living heritage under the 2003 Convention, which is shaped by communities, dynamic and unrestricted by time and space, and embedded within various contexts, is well-suited to significantly contribute to three key responses to climate change: adaptation, mitigation, and safeguarding.</w:t>
      </w:r>
      <w:r w:rsidR="00CC24BF" w:rsidRPr="00F544D6">
        <w:rPr>
          <w:rFonts w:ascii="Segoe UI" w:hAnsi="Segoe UI" w:cs="Segoe UI"/>
          <w:snapToGrid/>
          <w:sz w:val="18"/>
          <w:szCs w:val="18"/>
          <w:lang w:val="en-US" w:eastAsia="fr-FR"/>
        </w:rPr>
        <w:t xml:space="preserve"> </w:t>
      </w:r>
    </w:p>
    <w:p w14:paraId="7346DD67" w14:textId="21DDE326" w:rsidR="00DF1A31" w:rsidRPr="00DF1A31" w:rsidRDefault="00ED542D" w:rsidP="00785357">
      <w:pPr>
        <w:pStyle w:val="COMPara"/>
        <w:numPr>
          <w:ilvl w:val="0"/>
          <w:numId w:val="8"/>
        </w:numPr>
        <w:ind w:left="567" w:hanging="540"/>
        <w:jc w:val="both"/>
        <w:rPr>
          <w:i/>
          <w:iCs/>
        </w:rPr>
      </w:pPr>
      <w:r>
        <w:rPr>
          <w:bCs/>
          <w:lang w:val="en-AU"/>
        </w:rPr>
        <w:t xml:space="preserve">Living </w:t>
      </w:r>
      <w:r w:rsidRPr="00785357">
        <w:rPr>
          <w:bCs/>
          <w:lang w:val="en-AU"/>
        </w:rPr>
        <w:t>heritage</w:t>
      </w:r>
      <w:r>
        <w:rPr>
          <w:lang w:val="en-AU"/>
        </w:rPr>
        <w:t xml:space="preserve"> presents a comprehensive or holistic </w:t>
      </w:r>
      <w:r w:rsidR="00334A44">
        <w:rPr>
          <w:lang w:val="en-AU"/>
        </w:rPr>
        <w:t>concept of</w:t>
      </w:r>
      <w:r>
        <w:rPr>
          <w:lang w:val="en-AU"/>
        </w:rPr>
        <w:t xml:space="preserve"> cultural practices and forms of knowledge</w:t>
      </w:r>
      <w:r w:rsidRPr="00ED542D">
        <w:rPr>
          <w:lang w:val="en-AU"/>
        </w:rPr>
        <w:t xml:space="preserve"> </w:t>
      </w:r>
      <w:r>
        <w:rPr>
          <w:lang w:val="en-AU"/>
        </w:rPr>
        <w:t xml:space="preserve">that are </w:t>
      </w:r>
      <w:r w:rsidRPr="00ED542D">
        <w:rPr>
          <w:lang w:val="en-AU"/>
        </w:rPr>
        <w:t xml:space="preserve">recognized by communities as part of their </w:t>
      </w:r>
      <w:r>
        <w:rPr>
          <w:bCs/>
          <w:lang w:val="en-AU"/>
        </w:rPr>
        <w:t>i</w:t>
      </w:r>
      <w:r w:rsidRPr="00785357">
        <w:rPr>
          <w:bCs/>
          <w:lang w:val="en-AU"/>
        </w:rPr>
        <w:t xml:space="preserve">ntangible cultural </w:t>
      </w:r>
      <w:r w:rsidRPr="00ED542D">
        <w:rPr>
          <w:lang w:val="en-AU"/>
        </w:rPr>
        <w:t>heritage</w:t>
      </w:r>
      <w:r>
        <w:rPr>
          <w:lang w:val="en-AU"/>
        </w:rPr>
        <w:t>. Living heritage embraces and encompasses the full range of local knowledge systems, including</w:t>
      </w:r>
      <w:r w:rsidRPr="00ED542D">
        <w:rPr>
          <w:lang w:val="en-AU"/>
        </w:rPr>
        <w:t xml:space="preserve"> Indigenous knowledge, Indigenous technical knowledge, urban knowledge</w:t>
      </w:r>
      <w:r>
        <w:rPr>
          <w:lang w:val="en-AU"/>
        </w:rPr>
        <w:t>, tacit knowledge</w:t>
      </w:r>
      <w:r w:rsidRPr="00ED542D">
        <w:rPr>
          <w:lang w:val="en-AU"/>
        </w:rPr>
        <w:t xml:space="preserve"> and traditional ecological knowledge (TEK). </w:t>
      </w:r>
      <w:r>
        <w:rPr>
          <w:lang w:val="en-AU"/>
        </w:rPr>
        <w:t>These l</w:t>
      </w:r>
      <w:r w:rsidRPr="00ED542D">
        <w:rPr>
          <w:lang w:val="en-AU"/>
        </w:rPr>
        <w:t>ocal knowledge systems, and Indigenous knowledge in particular, have had a long and intensive engagement with science-based approaches to environmental transformation and climate change through programmes such as the UNESCO Local and Indigenous Knowledge Systems (</w:t>
      </w:r>
      <w:hyperlink r:id="rId19" w:history="1">
        <w:r w:rsidRPr="00454EC2">
          <w:rPr>
            <w:rStyle w:val="Hyperlink"/>
            <w:lang w:val="en-AU"/>
          </w:rPr>
          <w:t>LINKS</w:t>
        </w:r>
      </w:hyperlink>
      <w:r w:rsidRPr="00ED542D">
        <w:rPr>
          <w:lang w:val="en-AU"/>
        </w:rPr>
        <w:t>) programme, the International Indigenous Peoples Forum on Climate Change (</w:t>
      </w:r>
      <w:hyperlink r:id="rId20" w:history="1">
        <w:r w:rsidRPr="00525633">
          <w:rPr>
            <w:rStyle w:val="Hyperlink"/>
            <w:lang w:val="en-AU"/>
          </w:rPr>
          <w:t>IIPFCC</w:t>
        </w:r>
      </w:hyperlink>
      <w:r w:rsidRPr="00ED542D">
        <w:rPr>
          <w:lang w:val="en-AU"/>
        </w:rPr>
        <w:t>), and the Local Indicators of Climate Change Impacts (</w:t>
      </w:r>
      <w:hyperlink r:id="rId21" w:history="1">
        <w:r w:rsidRPr="007657F4">
          <w:rPr>
            <w:rStyle w:val="Hyperlink"/>
            <w:lang w:val="en-AU"/>
          </w:rPr>
          <w:t>LICCI</w:t>
        </w:r>
      </w:hyperlink>
      <w:r w:rsidRPr="00ED542D">
        <w:rPr>
          <w:lang w:val="en-AU"/>
        </w:rPr>
        <w:t>) project.</w:t>
      </w:r>
    </w:p>
    <w:p w14:paraId="519A3A16" w14:textId="7463DBDB" w:rsidR="0076393E" w:rsidRDefault="00CF63A1" w:rsidP="0076393E">
      <w:pPr>
        <w:pStyle w:val="COMPara"/>
        <w:numPr>
          <w:ilvl w:val="0"/>
          <w:numId w:val="8"/>
        </w:numPr>
        <w:ind w:left="567" w:hanging="567"/>
        <w:jc w:val="both"/>
        <w:rPr>
          <w:lang w:val="en-AU"/>
        </w:rPr>
      </w:pPr>
      <w:r w:rsidRPr="00CF63A1">
        <w:t xml:space="preserve">Climate change </w:t>
      </w:r>
      <w:r>
        <w:t xml:space="preserve">is indicated by detectable and persistent change in the </w:t>
      </w:r>
      <w:r w:rsidR="00115BBD">
        <w:t xml:space="preserve">average </w:t>
      </w:r>
      <w:r>
        <w:t xml:space="preserve">or variability of the climate. In </w:t>
      </w:r>
      <w:r w:rsidRPr="00CF63A1">
        <w:t xml:space="preserve">Intergovernmental Panel on Climate Change </w:t>
      </w:r>
      <w:r>
        <w:t xml:space="preserve">(IPCC) usage, climate change can result from either natural variability or human activity, while the </w:t>
      </w:r>
      <w:r w:rsidRPr="00CF63A1">
        <w:t>United Nations Framework Convention on Climate Change</w:t>
      </w:r>
      <w:r>
        <w:t xml:space="preserve"> (UNFCCC) </w:t>
      </w:r>
      <w:r w:rsidR="002565C7">
        <w:t>addresses that component of</w:t>
      </w:r>
      <w:r>
        <w:t xml:space="preserve"> climate change </w:t>
      </w:r>
      <w:r w:rsidR="002565C7">
        <w:t xml:space="preserve">that </w:t>
      </w:r>
      <w:r w:rsidR="002565C7">
        <w:lastRenderedPageBreak/>
        <w:t>can be</w:t>
      </w:r>
      <w:r>
        <w:t xml:space="preserve"> linked either directly or indirectly to human activity, </w:t>
      </w:r>
      <w:r w:rsidR="00CE7EF6">
        <w:t xml:space="preserve">and </w:t>
      </w:r>
      <w:r w:rsidR="002565C7">
        <w:t xml:space="preserve">that </w:t>
      </w:r>
      <w:r w:rsidR="00CE7EF6">
        <w:t>exceed</w:t>
      </w:r>
      <w:r w:rsidR="002565C7">
        <w:t>s</w:t>
      </w:r>
      <w:r w:rsidR="00CE7EF6">
        <w:t xml:space="preserve"> </w:t>
      </w:r>
      <w:r>
        <w:t>natural variability.</w:t>
      </w:r>
      <w:r w:rsidR="00CE7EF6">
        <w:t xml:space="preserve"> </w:t>
      </w:r>
      <w:r w:rsidR="002565C7">
        <w:t>The impacts of climate change on living heritage are multiple and diverse, consisting of both direct and indirect impacts, operating over a wide range of time scales from slow to rapid. These impacts also contribute</w:t>
      </w:r>
      <w:r w:rsidR="00CE7EF6">
        <w:t xml:space="preserve"> to a complex and compounding series of other, non-climate threats and pressures</w:t>
      </w:r>
      <w:r w:rsidR="002565C7">
        <w:t xml:space="preserve">, </w:t>
      </w:r>
      <w:r w:rsidR="00CE7EF6">
        <w:t xml:space="preserve">including conflict, disease, poverty and </w:t>
      </w:r>
      <w:r w:rsidR="002565C7">
        <w:t>other forms of emergency,</w:t>
      </w:r>
      <w:r w:rsidR="00CE7EF6">
        <w:t xml:space="preserve"> which act together to exacerbate critical risks for the viability of </w:t>
      </w:r>
      <w:r w:rsidR="00DA3598">
        <w:t>living heritage</w:t>
      </w:r>
      <w:r w:rsidR="004264D6" w:rsidRPr="00CE7EF6">
        <w:rPr>
          <w:lang w:val="en-AU"/>
        </w:rPr>
        <w:t>.</w:t>
      </w:r>
    </w:p>
    <w:p w14:paraId="7F42CF76" w14:textId="12D906D0" w:rsidR="002565C7" w:rsidRPr="00C6511F" w:rsidRDefault="00BB3D37" w:rsidP="00F544D6">
      <w:pPr>
        <w:pStyle w:val="1GAPara"/>
        <w:jc w:val="both"/>
        <w:rPr>
          <w:lang w:val="en-AU"/>
        </w:rPr>
      </w:pPr>
      <w:r w:rsidRPr="00C6511F">
        <w:rPr>
          <w:lang w:val="en-AU"/>
        </w:rPr>
        <w:t>Climate change adaptation is defined by the IPCC as ‘the process of adjustment to actual or expected climate and its effects in order to moderate harm or take advantage of beneficial opportunities’; it ‘can be anticipatory or reactive, as well as incremental and/or transformational.’</w:t>
      </w:r>
      <w:r w:rsidR="0088468D" w:rsidRPr="00465648">
        <w:rPr>
          <w:rStyle w:val="FootnoteReference"/>
          <w:lang w:val="en-AU"/>
        </w:rPr>
        <w:footnoteReference w:id="11"/>
      </w:r>
      <w:r w:rsidRPr="00C6511F">
        <w:rPr>
          <w:lang w:val="en-AU"/>
        </w:rPr>
        <w:t xml:space="preserve"> At every scale, adaptation decisions are influenced by considerations of institutional, national or local culture: </w:t>
      </w:r>
      <w:r w:rsidR="00465648" w:rsidRPr="00C6511F">
        <w:rPr>
          <w:lang w:val="en-AU"/>
        </w:rPr>
        <w:t>‘</w:t>
      </w:r>
      <w:r w:rsidRPr="00C6511F">
        <w:rPr>
          <w:lang w:val="en-AU"/>
        </w:rPr>
        <w:t>the identification of risks, decisions about responses, and means of implementation are all mediated by culture’</w:t>
      </w:r>
      <w:r w:rsidR="00465648" w:rsidRPr="00C6511F">
        <w:rPr>
          <w:lang w:val="en-AU"/>
        </w:rPr>
        <w:t>.</w:t>
      </w:r>
      <w:r w:rsidR="00465648" w:rsidRPr="00465648">
        <w:rPr>
          <w:rStyle w:val="FootnoteReference"/>
          <w:lang w:val="en-AU"/>
        </w:rPr>
        <w:footnoteReference w:id="12"/>
      </w:r>
      <w:r w:rsidR="00C6511F" w:rsidRPr="00F544D6">
        <w:rPr>
          <w:lang w:val="en-US"/>
        </w:rPr>
        <w:t xml:space="preserve"> </w:t>
      </w:r>
      <w:r w:rsidR="00465648" w:rsidRPr="00F544D6">
        <w:rPr>
          <w:lang w:val="en-US"/>
        </w:rPr>
        <w:t xml:space="preserve">The IPCC definition </w:t>
      </w:r>
      <w:r w:rsidR="00465648" w:rsidRPr="00C6511F">
        <w:rPr>
          <w:lang w:val="en-AU"/>
        </w:rPr>
        <w:t xml:space="preserve">of mitigation </w:t>
      </w:r>
      <w:r w:rsidR="008E6485" w:rsidRPr="00C6511F">
        <w:rPr>
          <w:lang w:val="en-AU"/>
        </w:rPr>
        <w:t>refers</w:t>
      </w:r>
      <w:r w:rsidR="00465648" w:rsidRPr="00C6511F">
        <w:rPr>
          <w:lang w:val="en-AU"/>
        </w:rPr>
        <w:t xml:space="preserve"> solely to </w:t>
      </w:r>
      <w:r w:rsidR="008E6485" w:rsidRPr="00C6511F">
        <w:rPr>
          <w:lang w:val="en-AU"/>
        </w:rPr>
        <w:t xml:space="preserve">actions that limit or </w:t>
      </w:r>
      <w:r w:rsidR="00465648" w:rsidRPr="00C6511F">
        <w:rPr>
          <w:lang w:val="en-AU"/>
        </w:rPr>
        <w:t>reduc</w:t>
      </w:r>
      <w:r w:rsidR="008E6485" w:rsidRPr="00C6511F">
        <w:rPr>
          <w:lang w:val="en-AU"/>
        </w:rPr>
        <w:t>e</w:t>
      </w:r>
      <w:r w:rsidR="00465648" w:rsidRPr="00C6511F">
        <w:rPr>
          <w:lang w:val="en-AU"/>
        </w:rPr>
        <w:t xml:space="preserve"> emissions</w:t>
      </w:r>
      <w:r w:rsidR="008E6485" w:rsidRPr="00C6511F">
        <w:rPr>
          <w:lang w:val="en-AU"/>
        </w:rPr>
        <w:t xml:space="preserve"> of greenhouse gases</w:t>
      </w:r>
      <w:r w:rsidR="00F93C7E" w:rsidRPr="00C6511F">
        <w:rPr>
          <w:lang w:val="en-AU"/>
        </w:rPr>
        <w:t xml:space="preserve"> or the presence of gases in the atmosphere</w:t>
      </w:r>
      <w:r w:rsidR="00465648" w:rsidRPr="00C6511F">
        <w:rPr>
          <w:lang w:val="en-AU"/>
        </w:rPr>
        <w:t>, and not to the reduction of impacts from climate change</w:t>
      </w:r>
      <w:r w:rsidR="00F93C7E" w:rsidRPr="00C6511F">
        <w:rPr>
          <w:lang w:val="en-AU"/>
        </w:rPr>
        <w:t>:</w:t>
      </w:r>
      <w:r w:rsidR="008E6485" w:rsidRPr="00C6511F">
        <w:rPr>
          <w:lang w:val="en-AU"/>
        </w:rPr>
        <w:t xml:space="preserve"> </w:t>
      </w:r>
      <w:r w:rsidR="004D123D" w:rsidRPr="00C6511F">
        <w:rPr>
          <w:lang w:val="en-AU"/>
        </w:rPr>
        <w:t>‘Effective mitigation strategies require an understanding of mechanisms that underpin release of emissions, and the technical, policy and societal options for influencing these</w:t>
      </w:r>
      <w:r w:rsidR="008E6485" w:rsidRPr="00C6511F">
        <w:rPr>
          <w:lang w:val="en-AU"/>
        </w:rPr>
        <w:t>.’</w:t>
      </w:r>
      <w:r w:rsidR="008E6485">
        <w:rPr>
          <w:rStyle w:val="FootnoteReference"/>
          <w:lang w:val="en-AU"/>
        </w:rPr>
        <w:footnoteReference w:id="13"/>
      </w:r>
    </w:p>
    <w:p w14:paraId="55E6BC3F" w14:textId="1B75E9AD" w:rsidR="004F4635" w:rsidRPr="00CE7EF6" w:rsidRDefault="004F4635" w:rsidP="004F4635">
      <w:pPr>
        <w:pStyle w:val="COMPara"/>
        <w:ind w:left="0" w:firstLine="0"/>
        <w:jc w:val="both"/>
        <w:rPr>
          <w:lang w:val="en-AU"/>
        </w:rPr>
      </w:pPr>
      <w:r>
        <w:rPr>
          <w:b/>
          <w:bCs/>
        </w:rPr>
        <w:t xml:space="preserve">D. Roles and </w:t>
      </w:r>
      <w:r w:rsidR="00F904F3">
        <w:rPr>
          <w:b/>
          <w:bCs/>
        </w:rPr>
        <w:t>r</w:t>
      </w:r>
      <w:r>
        <w:rPr>
          <w:b/>
          <w:bCs/>
        </w:rPr>
        <w:t xml:space="preserve">isks for </w:t>
      </w:r>
      <w:r w:rsidR="00F904F3">
        <w:rPr>
          <w:b/>
          <w:bCs/>
        </w:rPr>
        <w:t>living</w:t>
      </w:r>
      <w:r>
        <w:rPr>
          <w:b/>
          <w:bCs/>
        </w:rPr>
        <w:t xml:space="preserve"> </w:t>
      </w:r>
      <w:r w:rsidR="00F904F3">
        <w:rPr>
          <w:b/>
          <w:bCs/>
        </w:rPr>
        <w:t>h</w:t>
      </w:r>
      <w:r>
        <w:rPr>
          <w:b/>
          <w:bCs/>
        </w:rPr>
        <w:t>eritage</w:t>
      </w:r>
      <w:r w:rsidR="00E4418F">
        <w:rPr>
          <w:b/>
          <w:bCs/>
        </w:rPr>
        <w:t xml:space="preserve"> in the climate emergency</w:t>
      </w:r>
    </w:p>
    <w:p w14:paraId="0DDC2C7C" w14:textId="4FB80CB9" w:rsidR="00371FC5" w:rsidRDefault="00DA3598" w:rsidP="00541D33">
      <w:pPr>
        <w:pStyle w:val="COMPara"/>
        <w:numPr>
          <w:ilvl w:val="0"/>
          <w:numId w:val="8"/>
        </w:numPr>
        <w:ind w:left="567" w:hanging="567"/>
        <w:jc w:val="both"/>
      </w:pPr>
      <w:r>
        <w:rPr>
          <w:bCs/>
          <w:lang w:val="en-AU"/>
        </w:rPr>
        <w:t>Living heritage</w:t>
      </w:r>
      <w:r w:rsidR="00CC7421" w:rsidRPr="00CC7421">
        <w:rPr>
          <w:bCs/>
          <w:lang w:val="en-AU"/>
        </w:rPr>
        <w:t xml:space="preserve"> has a dual function in all emergencies, including climate change. </w:t>
      </w:r>
      <w:r>
        <w:rPr>
          <w:bCs/>
          <w:lang w:val="en-AU"/>
        </w:rPr>
        <w:t>Living heritage</w:t>
      </w:r>
      <w:r w:rsidR="00CC7421" w:rsidRPr="00CC7421">
        <w:rPr>
          <w:bCs/>
          <w:lang w:val="en-AU"/>
        </w:rPr>
        <w:t xml:space="preserve"> can play an important </w:t>
      </w:r>
      <w:r w:rsidR="00F93C7E">
        <w:rPr>
          <w:bCs/>
          <w:lang w:val="en-AU"/>
        </w:rPr>
        <w:t xml:space="preserve">positive </w:t>
      </w:r>
      <w:r w:rsidR="00CC7421" w:rsidRPr="00CC7421">
        <w:rPr>
          <w:bCs/>
          <w:lang w:val="en-AU"/>
        </w:rPr>
        <w:t xml:space="preserve">role as a source of resilience, recovery, preparedness and prevention measures to </w:t>
      </w:r>
      <w:r w:rsidR="00F93C7E">
        <w:rPr>
          <w:bCs/>
          <w:lang w:val="en-AU"/>
        </w:rPr>
        <w:t xml:space="preserve">manage and </w:t>
      </w:r>
      <w:r w:rsidR="00CC7421" w:rsidRPr="00CC7421">
        <w:rPr>
          <w:bCs/>
          <w:lang w:val="en-AU"/>
        </w:rPr>
        <w:t xml:space="preserve">reduce vulnerability and exposure to risks associated with climate change, </w:t>
      </w:r>
      <w:r w:rsidR="00F93C7E">
        <w:rPr>
          <w:bCs/>
          <w:lang w:val="en-AU"/>
        </w:rPr>
        <w:t>as well as in</w:t>
      </w:r>
      <w:r w:rsidR="00CC7421" w:rsidRPr="00CC7421">
        <w:rPr>
          <w:bCs/>
          <w:lang w:val="en-AU"/>
        </w:rPr>
        <w:t xml:space="preserve"> the mitigation of carbon emissions. At the same time, the viability of </w:t>
      </w:r>
      <w:r>
        <w:rPr>
          <w:bCs/>
          <w:lang w:val="en-AU"/>
        </w:rPr>
        <w:t>living heritage</w:t>
      </w:r>
      <w:r w:rsidR="00CC7421" w:rsidRPr="00CC7421">
        <w:rPr>
          <w:bCs/>
          <w:lang w:val="en-AU"/>
        </w:rPr>
        <w:t xml:space="preserve"> and its bearers, and the resources they require are also fundamentally at risk from </w:t>
      </w:r>
      <w:r w:rsidR="00937A5E">
        <w:rPr>
          <w:bCs/>
          <w:lang w:val="en-AU"/>
        </w:rPr>
        <w:t xml:space="preserve">or vulnerable to </w:t>
      </w:r>
      <w:r w:rsidR="00CC7421" w:rsidRPr="00CC7421">
        <w:rPr>
          <w:bCs/>
          <w:lang w:val="en-AU"/>
        </w:rPr>
        <w:t xml:space="preserve">climate change </w:t>
      </w:r>
      <w:r w:rsidR="00937A5E">
        <w:rPr>
          <w:bCs/>
          <w:lang w:val="en-AU"/>
        </w:rPr>
        <w:t xml:space="preserve">impacts, either </w:t>
      </w:r>
      <w:r w:rsidR="00CC7421" w:rsidRPr="00CC7421">
        <w:rPr>
          <w:bCs/>
          <w:lang w:val="en-AU"/>
        </w:rPr>
        <w:t xml:space="preserve">directly or from the multiplier effects of climate change on other conditions for </w:t>
      </w:r>
      <w:r w:rsidR="00F93C7E">
        <w:rPr>
          <w:bCs/>
          <w:lang w:val="en-AU"/>
        </w:rPr>
        <w:t>vulnerability</w:t>
      </w:r>
      <w:r w:rsidR="00CC7421" w:rsidRPr="00CC7421">
        <w:rPr>
          <w:bCs/>
          <w:lang w:val="en-AU"/>
        </w:rPr>
        <w:t xml:space="preserve">. Distinguishing clearly between these roles and risks, and understanding precisely how and when </w:t>
      </w:r>
      <w:r>
        <w:rPr>
          <w:bCs/>
          <w:lang w:val="en-AU"/>
        </w:rPr>
        <w:t>living heritage</w:t>
      </w:r>
      <w:r w:rsidR="00CC7421" w:rsidRPr="00CC7421">
        <w:rPr>
          <w:bCs/>
          <w:lang w:val="en-AU"/>
        </w:rPr>
        <w:t xml:space="preserve"> becomes vulnerable or can be harnessed </w:t>
      </w:r>
      <w:r w:rsidR="00CC7421" w:rsidRPr="00E91A25">
        <w:rPr>
          <w:bCs/>
          <w:lang w:val="en-AU"/>
        </w:rPr>
        <w:t xml:space="preserve">as a positive force to address climate change-related challenges, are important areas for </w:t>
      </w:r>
      <w:r w:rsidR="00937A5E">
        <w:rPr>
          <w:bCs/>
          <w:lang w:val="en-AU"/>
        </w:rPr>
        <w:t>consideration in designing relevant policies and actions</w:t>
      </w:r>
      <w:r w:rsidR="00E91A25" w:rsidRPr="00E91A25">
        <w:t>.</w:t>
      </w:r>
      <w:r w:rsidR="003E1A21">
        <w:rPr>
          <w:rStyle w:val="FootnoteReference"/>
        </w:rPr>
        <w:footnoteReference w:id="14"/>
      </w:r>
    </w:p>
    <w:p w14:paraId="35562645" w14:textId="64B7E9C2" w:rsidR="00CC7421" w:rsidRDefault="00DA3598" w:rsidP="00541D33">
      <w:pPr>
        <w:pStyle w:val="COMPara"/>
        <w:numPr>
          <w:ilvl w:val="0"/>
          <w:numId w:val="8"/>
        </w:numPr>
        <w:ind w:left="567" w:hanging="567"/>
        <w:jc w:val="both"/>
      </w:pPr>
      <w:r>
        <w:t>Living heritage</w:t>
      </w:r>
      <w:r w:rsidR="000A71BF">
        <w:t xml:space="preserve"> can</w:t>
      </w:r>
      <w:r w:rsidR="00CC7421" w:rsidRPr="00CC7421">
        <w:t xml:space="preserve"> play a critical </w:t>
      </w:r>
      <w:r w:rsidR="000A71BF" w:rsidRPr="00CC7421">
        <w:t xml:space="preserve">positive </w:t>
      </w:r>
      <w:r w:rsidR="00CC7421" w:rsidRPr="00CC7421">
        <w:t xml:space="preserve">role in the climate emergency through: </w:t>
      </w:r>
      <w:r w:rsidR="00CC7421" w:rsidRPr="00334A44">
        <w:t>identifying, assessing and monitoring climate change; limiting climate-related impacts; promoting and facilitating societal and environmental adaptation to climate change; and contributing directly to the mitigation of carbon emissions.</w:t>
      </w:r>
      <w:r w:rsidR="00CC7421" w:rsidRPr="00CC7421">
        <w:t xml:space="preserve"> </w:t>
      </w:r>
      <w:r>
        <w:t>Living heritage</w:t>
      </w:r>
      <w:r w:rsidR="00CC7421" w:rsidRPr="00CC7421">
        <w:t xml:space="preserve"> also provides a crucial frame for new dialogue and exchange on climate change policy and insights with scientific knowledge systems. Drawing on </w:t>
      </w:r>
      <w:r w:rsidR="005A1AA8">
        <w:t xml:space="preserve">the </w:t>
      </w:r>
      <w:r w:rsidR="00CC7421" w:rsidRPr="00CC7421">
        <w:t xml:space="preserve">knowledge </w:t>
      </w:r>
      <w:r w:rsidR="005A1AA8">
        <w:t>embedded in</w:t>
      </w:r>
      <w:r w:rsidR="00CC7421" w:rsidRPr="00CC7421">
        <w:t xml:space="preserve"> </w:t>
      </w:r>
      <w:r>
        <w:t>living heritage</w:t>
      </w:r>
      <w:r w:rsidR="00CC7421" w:rsidRPr="00CC7421">
        <w:t xml:space="preserve">, observations of changes </w:t>
      </w:r>
      <w:r w:rsidR="000A71BF">
        <w:t>in</w:t>
      </w:r>
      <w:r w:rsidR="00CC7421" w:rsidRPr="00CC7421">
        <w:t xml:space="preserve"> local environment</w:t>
      </w:r>
      <w:r w:rsidR="000A71BF">
        <w:t>s</w:t>
      </w:r>
      <w:r w:rsidR="00CC7421" w:rsidRPr="00CC7421">
        <w:t xml:space="preserve"> constitute a global monitoring network that covers almost every ecological zone. Profound engagement by communities with </w:t>
      </w:r>
      <w:r w:rsidR="000A71BF">
        <w:t xml:space="preserve">their </w:t>
      </w:r>
      <w:r w:rsidR="00CC7421" w:rsidRPr="00CC7421">
        <w:t xml:space="preserve">local conditions over long periods of time has generated bodies of knowledge and techniques for identifying, assessing and monitoring change and impact, which are focused on community wellbeing and may be complementary to scientific knowledge. </w:t>
      </w:r>
      <w:r>
        <w:t>Living heritage</w:t>
      </w:r>
      <w:r w:rsidR="00CC7421" w:rsidRPr="00CC7421">
        <w:t xml:space="preserve"> informs all aspects of societal adaptation to climate change, as it does for social and environmental transformations more generally. </w:t>
      </w:r>
      <w:r>
        <w:t>Living heritage</w:t>
      </w:r>
      <w:r w:rsidR="00CC7421" w:rsidRPr="00CC7421">
        <w:t xml:space="preserve"> provides the means and the frames for identifying risk and preparing to limit impacts. It is a primary resource in the immediate response to emergencies, providing a platform for social, environmental and psychological recovery, the material and immaterial means for assistance and support to those impacted, and the rebuilding of social cohesion in the aftermath of </w:t>
      </w:r>
      <w:r w:rsidR="00E15CAE">
        <w:t>emergency</w:t>
      </w:r>
      <w:r w:rsidR="00CC7421" w:rsidRPr="00CC7421">
        <w:t>.</w:t>
      </w:r>
    </w:p>
    <w:p w14:paraId="50532E1C" w14:textId="76047E31" w:rsidR="00ED542D" w:rsidRPr="00ED542D" w:rsidRDefault="008E0C2E" w:rsidP="00CE7EF6">
      <w:pPr>
        <w:pStyle w:val="COMPara"/>
        <w:numPr>
          <w:ilvl w:val="0"/>
          <w:numId w:val="8"/>
        </w:numPr>
        <w:ind w:left="567" w:hanging="567"/>
        <w:jc w:val="both"/>
      </w:pPr>
      <w:r w:rsidRPr="00AA302A">
        <w:rPr>
          <w:lang w:val="en-AU"/>
        </w:rPr>
        <w:t xml:space="preserve">While climate change is a global phenomenon, its effects are highly variable around the world, and our experiences of its impacts and consequences are mostly local and specific to the conditions and vulnerabilities of particular places and </w:t>
      </w:r>
      <w:r w:rsidR="000A71BF">
        <w:rPr>
          <w:lang w:val="en-AU"/>
        </w:rPr>
        <w:t>communities</w:t>
      </w:r>
      <w:r w:rsidRPr="00AA302A">
        <w:rPr>
          <w:lang w:val="en-AU"/>
        </w:rPr>
        <w:t xml:space="preserve">. </w:t>
      </w:r>
      <w:r w:rsidR="00DA3598">
        <w:rPr>
          <w:lang w:val="en-AU"/>
        </w:rPr>
        <w:t>Living heritage</w:t>
      </w:r>
      <w:r w:rsidRPr="00AA302A">
        <w:rPr>
          <w:lang w:val="en-AU"/>
        </w:rPr>
        <w:t xml:space="preserve"> that relates to changes in local environments or the site-specific management of impacts thus provides a </w:t>
      </w:r>
      <w:r w:rsidRPr="00AA302A">
        <w:rPr>
          <w:lang w:val="en-AU"/>
        </w:rPr>
        <w:lastRenderedPageBreak/>
        <w:t xml:space="preserve">highly relevant and significant resource for climate change adaptation strategies in the past and present, and for planning future responses. Practical experience of climate change at a local level </w:t>
      </w:r>
      <w:r w:rsidR="00335D32">
        <w:rPr>
          <w:lang w:val="en-AU"/>
        </w:rPr>
        <w:t>can</w:t>
      </w:r>
      <w:r w:rsidRPr="00AA302A">
        <w:rPr>
          <w:lang w:val="en-AU"/>
        </w:rPr>
        <w:t xml:space="preserve"> relate to localised or regional environmental change and weather extremes</w:t>
      </w:r>
      <w:r w:rsidR="00335D32">
        <w:rPr>
          <w:lang w:val="en-AU"/>
        </w:rPr>
        <w:t xml:space="preserve">, as well as </w:t>
      </w:r>
      <w:r w:rsidRPr="00AA302A">
        <w:rPr>
          <w:lang w:val="en-AU"/>
        </w:rPr>
        <w:t xml:space="preserve">hazard emergencies such as floods, droughts or cyclones. A vast body of local knowledge and experience of these </w:t>
      </w:r>
      <w:r w:rsidR="000A71BF">
        <w:rPr>
          <w:lang w:val="en-AU"/>
        </w:rPr>
        <w:t xml:space="preserve">changes and </w:t>
      </w:r>
      <w:r w:rsidRPr="00AA302A">
        <w:rPr>
          <w:lang w:val="en-AU"/>
        </w:rPr>
        <w:t xml:space="preserve">hazards is increasingly informing risk reduction strategies. </w:t>
      </w:r>
    </w:p>
    <w:p w14:paraId="16406CC9" w14:textId="135EDA39" w:rsidR="00CE7EF6" w:rsidRDefault="008E0C2E" w:rsidP="00CE7EF6">
      <w:pPr>
        <w:pStyle w:val="COMPara"/>
        <w:numPr>
          <w:ilvl w:val="0"/>
          <w:numId w:val="8"/>
        </w:numPr>
        <w:ind w:left="567" w:hanging="567"/>
        <w:jc w:val="both"/>
      </w:pPr>
      <w:r w:rsidRPr="007D6E3D">
        <w:rPr>
          <w:lang w:val="en-AU"/>
        </w:rPr>
        <w:t xml:space="preserve">Adaptation to climate change is both a process of adjustment to limit harm from a changing climate and a chance to identify and take advantage of new opportunities. Both aspects of climate change adaptation can be strongly influenced by </w:t>
      </w:r>
      <w:r w:rsidR="000C7DCB">
        <w:rPr>
          <w:lang w:val="en-AU"/>
        </w:rPr>
        <w:t>living heritage</w:t>
      </w:r>
      <w:r w:rsidRPr="007D6E3D">
        <w:rPr>
          <w:lang w:val="en-AU"/>
        </w:rPr>
        <w:t xml:space="preserve">: adaptive choices are influenced and shaped by local culture and history, as well as the values expressed by communities through their </w:t>
      </w:r>
      <w:r w:rsidR="00DA3598">
        <w:rPr>
          <w:lang w:val="en-AU"/>
        </w:rPr>
        <w:t>living heritage</w:t>
      </w:r>
      <w:r w:rsidRPr="007D6E3D">
        <w:rPr>
          <w:lang w:val="en-AU"/>
        </w:rPr>
        <w:t>; and policies are largely implemented by local or regional agents operating under particular social and cultural conditions</w:t>
      </w:r>
      <w:r w:rsidR="000A71BF">
        <w:rPr>
          <w:lang w:val="en-AU"/>
        </w:rPr>
        <w:t xml:space="preserve">. </w:t>
      </w:r>
      <w:r w:rsidR="00334A44">
        <w:rPr>
          <w:lang w:val="en-AU"/>
        </w:rPr>
        <w:t xml:space="preserve">Living heritage </w:t>
      </w:r>
      <w:r w:rsidR="001A65D4">
        <w:rPr>
          <w:lang w:val="en-AU"/>
        </w:rPr>
        <w:t xml:space="preserve">reflects social values, beliefs and worldviews that shape and reaffirm our relationship to the natural world, often fostering respect, custodianship and reciprocity. </w:t>
      </w:r>
      <w:r w:rsidR="000A71BF">
        <w:rPr>
          <w:lang w:val="en-AU"/>
        </w:rPr>
        <w:t>Creating and supporting the conditions for effective communication and learning from local communities and Indigenous Peoples will be an essential step in climate change adaptation strategies.</w:t>
      </w:r>
    </w:p>
    <w:p w14:paraId="1BD44498" w14:textId="123A9D0C" w:rsidR="00CE7EF6" w:rsidRDefault="008724DB" w:rsidP="00CE7EF6">
      <w:pPr>
        <w:pStyle w:val="COMPara"/>
        <w:numPr>
          <w:ilvl w:val="0"/>
          <w:numId w:val="8"/>
        </w:numPr>
        <w:ind w:left="567" w:hanging="567"/>
        <w:jc w:val="both"/>
      </w:pPr>
      <w:bookmarkStart w:id="5" w:name="_Hlk166790288"/>
      <w:r w:rsidRPr="008724DB">
        <w:rPr>
          <w:lang w:val="en-AU"/>
        </w:rPr>
        <w:t>Climate change</w:t>
      </w:r>
      <w:r w:rsidR="00E91A25" w:rsidRPr="008724DB">
        <w:rPr>
          <w:lang w:val="en-AU"/>
        </w:rPr>
        <w:t xml:space="preserve"> m</w:t>
      </w:r>
      <w:r w:rsidR="00CE7EF6" w:rsidRPr="008724DB">
        <w:rPr>
          <w:lang w:val="en-AU"/>
        </w:rPr>
        <w:t>itigation</w:t>
      </w:r>
      <w:r w:rsidRPr="008724DB">
        <w:rPr>
          <w:lang w:val="en-AU"/>
        </w:rPr>
        <w:t xml:space="preserve"> is an a</w:t>
      </w:r>
      <w:r w:rsidR="00E91A25" w:rsidRPr="008724DB">
        <w:rPr>
          <w:lang w:val="en-AU"/>
        </w:rPr>
        <w:t xml:space="preserve">rea of expanding interest in which </w:t>
      </w:r>
      <w:r>
        <w:rPr>
          <w:lang w:val="en-AU"/>
        </w:rPr>
        <w:t>living heritage already plays</w:t>
      </w:r>
      <w:r w:rsidR="00E91A25" w:rsidRPr="008724DB">
        <w:rPr>
          <w:lang w:val="en-AU"/>
        </w:rPr>
        <w:t xml:space="preserve"> a significant role.</w:t>
      </w:r>
      <w:r w:rsidR="000F6B42" w:rsidRPr="000F6B42">
        <w:t xml:space="preserve"> </w:t>
      </w:r>
      <w:r w:rsidR="0079502C">
        <w:t>Local communities and Indigenous Peoples are among the most vulnerable to the effects of climate change, although they</w:t>
      </w:r>
      <w:r w:rsidR="003C3269">
        <w:t xml:space="preserve"> </w:t>
      </w:r>
      <w:r>
        <w:t>are rarely if ever major sources of emission</w:t>
      </w:r>
      <w:r w:rsidR="00335D32">
        <w:t>s</w:t>
      </w:r>
      <w:r w:rsidR="0079502C">
        <w:t xml:space="preserve">. </w:t>
      </w:r>
      <w:r w:rsidR="00EA521B">
        <w:t>T</w:t>
      </w:r>
      <w:r w:rsidR="000F6B42" w:rsidRPr="000F6B42">
        <w:rPr>
          <w:lang w:val="en-AU"/>
        </w:rPr>
        <w:t xml:space="preserve">he knowledge embedded in </w:t>
      </w:r>
      <w:r>
        <w:rPr>
          <w:lang w:val="en-AU"/>
        </w:rPr>
        <w:t>local and Indigenous fire management regimes,</w:t>
      </w:r>
      <w:r w:rsidRPr="000F6B42">
        <w:rPr>
          <w:lang w:val="en-AU"/>
        </w:rPr>
        <w:t xml:space="preserve"> </w:t>
      </w:r>
      <w:r w:rsidR="000F6B42" w:rsidRPr="000F6B42">
        <w:rPr>
          <w:lang w:val="en-AU"/>
        </w:rPr>
        <w:t>low carbon agricultural heritage systems</w:t>
      </w:r>
      <w:r>
        <w:rPr>
          <w:lang w:val="en-AU"/>
        </w:rPr>
        <w:t>, and the</w:t>
      </w:r>
      <w:r w:rsidR="000F6B42">
        <w:rPr>
          <w:lang w:val="en-AU"/>
        </w:rPr>
        <w:t xml:space="preserve"> management of natural carbon sinks</w:t>
      </w:r>
      <w:r>
        <w:rPr>
          <w:lang w:val="en-AU"/>
        </w:rPr>
        <w:t xml:space="preserve"> makes a significant contribution to greenhouse gas </w:t>
      </w:r>
      <w:r w:rsidR="004467FA">
        <w:rPr>
          <w:lang w:val="en-AU"/>
        </w:rPr>
        <w:t>reduction and</w:t>
      </w:r>
      <w:r>
        <w:rPr>
          <w:lang w:val="en-AU"/>
        </w:rPr>
        <w:t xml:space="preserve"> has considerable potential for up-scaling.</w:t>
      </w:r>
    </w:p>
    <w:bookmarkEnd w:id="5"/>
    <w:p w14:paraId="2CC65DFD" w14:textId="621EB101" w:rsidR="00DC7419" w:rsidRDefault="00CC7421" w:rsidP="000C7DCB">
      <w:pPr>
        <w:pStyle w:val="COMPara"/>
        <w:numPr>
          <w:ilvl w:val="0"/>
          <w:numId w:val="8"/>
        </w:numPr>
        <w:ind w:left="567" w:hanging="567"/>
        <w:jc w:val="both"/>
      </w:pPr>
      <w:r w:rsidRPr="00CC7421">
        <w:t xml:space="preserve">The risks posed to </w:t>
      </w:r>
      <w:r w:rsidR="00DA3598">
        <w:t>living heritage</w:t>
      </w:r>
      <w:r w:rsidRPr="00CC7421">
        <w:t xml:space="preserve"> by climate change and related emergencies range from the catastrophic degradation, destruction and disappearance of places, practices and practitioners to slower but equally dangerous processes such as habitat loss, disruption of knowledge transmission, increasing precarity of community livelihoods, and dislocation of populations. The often inter-connected and compounding nature of these specific risks to </w:t>
      </w:r>
      <w:r w:rsidR="00DA3598">
        <w:t>living heritage</w:t>
      </w:r>
      <w:r w:rsidRPr="00CC7421">
        <w:t xml:space="preserve"> is poorly mapped and </w:t>
      </w:r>
      <w:r w:rsidR="00DC7419">
        <w:t>modelled</w:t>
      </w:r>
      <w:r w:rsidRPr="00CC7421">
        <w:t xml:space="preserve">. </w:t>
      </w:r>
      <w:r w:rsidR="00DC7419" w:rsidRPr="00CC7421">
        <w:t xml:space="preserve">The loss or transformation of habitats, built structures, spaces for practice and resources strikes deeply at livelihoods, identity and spirituality. It threatens the capacity of a community to govern and reproduce itself and to ensure the transmission of its </w:t>
      </w:r>
      <w:r w:rsidR="00DC7419">
        <w:t>living heritage</w:t>
      </w:r>
      <w:r w:rsidR="00DC7419" w:rsidRPr="00CC7421">
        <w:t xml:space="preserve"> to future generations.</w:t>
      </w:r>
      <w:r w:rsidR="000C7DCB">
        <w:t xml:space="preserve"> </w:t>
      </w:r>
      <w:r w:rsidRPr="00CC7421">
        <w:t xml:space="preserve">Threats to place present an acute risk to the viability of </w:t>
      </w:r>
      <w:r w:rsidR="00DA3598">
        <w:t>living heritage</w:t>
      </w:r>
      <w:r w:rsidRPr="00CC7421">
        <w:t xml:space="preserve">, through either the loss of place or the displacement or out-migration of bearers. The displacement of a community and related loss of relevant contexts, regardless of cause and whether rapid or slow, is a paramount threat to </w:t>
      </w:r>
      <w:r w:rsidR="00DA3598">
        <w:t>living heritage</w:t>
      </w:r>
      <w:r w:rsidRPr="00CC7421">
        <w:t xml:space="preserve"> transmission. </w:t>
      </w:r>
      <w:r w:rsidR="00DC7419">
        <w:t>Living heritage</w:t>
      </w:r>
      <w:r w:rsidR="00DC7419" w:rsidRPr="00CC7421">
        <w:t xml:space="preserve"> may travel with mobile </w:t>
      </w:r>
      <w:r w:rsidR="00DC7419">
        <w:t xml:space="preserve">or displaced </w:t>
      </w:r>
      <w:r w:rsidR="00DC7419" w:rsidRPr="00CC7421">
        <w:t>communities</w:t>
      </w:r>
      <w:r w:rsidR="00B2485A">
        <w:t>,</w:t>
      </w:r>
      <w:r w:rsidR="00DC7419" w:rsidRPr="00CC7421">
        <w:t xml:space="preserve"> but the transformations involved in such processes are not well understood</w:t>
      </w:r>
      <w:r w:rsidR="00335D32">
        <w:t xml:space="preserve"> yet</w:t>
      </w:r>
      <w:r w:rsidR="00DC7419" w:rsidRPr="00CC7421">
        <w:t>.</w:t>
      </w:r>
    </w:p>
    <w:p w14:paraId="02817899" w14:textId="4E7960D5" w:rsidR="00DC7419" w:rsidRDefault="00CC7421" w:rsidP="00541D33">
      <w:pPr>
        <w:pStyle w:val="COMPara"/>
        <w:numPr>
          <w:ilvl w:val="0"/>
          <w:numId w:val="8"/>
        </w:numPr>
        <w:ind w:left="567" w:hanging="567"/>
        <w:jc w:val="both"/>
      </w:pPr>
      <w:r w:rsidRPr="00CC7421">
        <w:t xml:space="preserve">Climate change represents a threat to the stability and sustainability of the local livelihoods that enable community transmission of </w:t>
      </w:r>
      <w:r w:rsidR="00DA3598">
        <w:t>living heritage</w:t>
      </w:r>
      <w:r w:rsidRPr="00CC7421">
        <w:t>. Aspects of livelihood</w:t>
      </w:r>
      <w:r w:rsidR="00083C39">
        <w:t>s</w:t>
      </w:r>
      <w:r w:rsidRPr="00CC7421">
        <w:t xml:space="preserve"> under threat include subsistence systems, dwellings and habitats, cultural resources and raw materials, foodstuffs and foodways, wild and domesticated plants and animals, market access, diverse economies and income generation in all its forms. </w:t>
      </w:r>
    </w:p>
    <w:p w14:paraId="7B0FB1F4" w14:textId="511089C0" w:rsidR="00CC7421" w:rsidRDefault="00DA3598" w:rsidP="00541D33">
      <w:pPr>
        <w:pStyle w:val="COMPara"/>
        <w:numPr>
          <w:ilvl w:val="0"/>
          <w:numId w:val="8"/>
        </w:numPr>
        <w:ind w:left="567" w:hanging="567"/>
        <w:jc w:val="both"/>
      </w:pPr>
      <w:r>
        <w:t>Living heritage</w:t>
      </w:r>
      <w:r w:rsidR="00CC7421" w:rsidRPr="00CC7421">
        <w:t xml:space="preserve"> can also be threatened by responses to climate change and related emergencies. Even well-intended policies and assistance can undermine the practice and viability of </w:t>
      </w:r>
      <w:r>
        <w:t>living heritage</w:t>
      </w:r>
      <w:r w:rsidR="00CC7421" w:rsidRPr="00CC7421">
        <w:t xml:space="preserve"> through imposed interventions such as relocation, inappropriate aid and development policy, practice and provision, and the denigration of local knowledge systems or their selective use in formal risk reduction strategies.</w:t>
      </w:r>
    </w:p>
    <w:p w14:paraId="7F5945F4" w14:textId="3957AF11" w:rsidR="00FC1B83" w:rsidRDefault="003C0169" w:rsidP="00FC1B83">
      <w:pPr>
        <w:pStyle w:val="COMPara"/>
        <w:numPr>
          <w:ilvl w:val="0"/>
          <w:numId w:val="8"/>
        </w:numPr>
        <w:ind w:left="567" w:hanging="567"/>
        <w:jc w:val="both"/>
      </w:pPr>
      <w:r w:rsidRPr="00D91C20">
        <w:t xml:space="preserve">Measures to integrate climate change issues and living heritage should be led by the communities concerned, assisted where necessary by different stakeholders, including </w:t>
      </w:r>
      <w:r w:rsidR="005E469F" w:rsidRPr="00D91C20">
        <w:t>national authorities</w:t>
      </w:r>
      <w:r w:rsidRPr="00D91C20">
        <w:t xml:space="preserve">, non-governmental organizations (NGOs) and civil society organizations, and the private sector. </w:t>
      </w:r>
      <w:r w:rsidR="00FC1B83" w:rsidRPr="009A4C75">
        <w:rPr>
          <w:lang w:val="en-AU"/>
        </w:rPr>
        <w:t xml:space="preserve">Given the rapidly evolving nature of the field, and the diversity of stakeholders involved, </w:t>
      </w:r>
      <w:r w:rsidR="00FC1B83">
        <w:rPr>
          <w:lang w:val="en-AU"/>
        </w:rPr>
        <w:t>policy guidance</w:t>
      </w:r>
      <w:r w:rsidR="00FC1B83" w:rsidRPr="009A4C75">
        <w:rPr>
          <w:lang w:val="en-AU"/>
        </w:rPr>
        <w:t xml:space="preserve"> must be flexible in nature to accommodate the varying contexts, communities and types of intangible cultural heritage concerned. More specific </w:t>
      </w:r>
      <w:r w:rsidR="00FC1B83" w:rsidRPr="009A4C75">
        <w:rPr>
          <w:lang w:val="en-AU"/>
        </w:rPr>
        <w:lastRenderedPageBreak/>
        <w:t>guidelines, tools and case studies might then be developed based on the specific needs and contexts identified.</w:t>
      </w:r>
    </w:p>
    <w:p w14:paraId="62E02199" w14:textId="77777777" w:rsidR="00D23F08" w:rsidRDefault="00D23F08" w:rsidP="00D23F08">
      <w:pPr>
        <w:pStyle w:val="COMPara"/>
        <w:ind w:left="567" w:firstLine="0"/>
        <w:jc w:val="both"/>
        <w:sectPr w:rsidR="00D23F08" w:rsidSect="00BE0B20">
          <w:headerReference w:type="even" r:id="rId22"/>
          <w:headerReference w:type="default" r:id="rId23"/>
          <w:footerReference w:type="even" r:id="rId24"/>
          <w:footerReference w:type="default" r:id="rId25"/>
          <w:headerReference w:type="first" r:id="rId26"/>
          <w:footerReference w:type="first" r:id="rId27"/>
          <w:pgSz w:w="11906" w:h="16838" w:code="9"/>
          <w:pgMar w:top="1418" w:right="1134" w:bottom="1134" w:left="1134" w:header="397" w:footer="284" w:gutter="0"/>
          <w:cols w:space="708"/>
          <w:titlePg/>
          <w:docGrid w:linePitch="360"/>
        </w:sectPr>
      </w:pPr>
    </w:p>
    <w:p w14:paraId="54FF6D64" w14:textId="3479D0A7" w:rsidR="00A922A3" w:rsidRDefault="00DA50E9" w:rsidP="000417DA">
      <w:pPr>
        <w:pStyle w:val="COMPara"/>
        <w:jc w:val="both"/>
        <w:rPr>
          <w:b/>
          <w:bCs/>
        </w:rPr>
      </w:pPr>
      <w:r>
        <w:rPr>
          <w:b/>
          <w:bCs/>
        </w:rPr>
        <w:lastRenderedPageBreak/>
        <w:t>DRAFT GUIDANCE NOTE</w:t>
      </w:r>
    </w:p>
    <w:p w14:paraId="6B4C1D94" w14:textId="1040E34D" w:rsidR="00371FC5" w:rsidRPr="00D9602A" w:rsidRDefault="00371FC5" w:rsidP="003E7771">
      <w:pPr>
        <w:pStyle w:val="COMPara"/>
        <w:ind w:left="0" w:firstLine="0"/>
        <w:jc w:val="both"/>
        <w:rPr>
          <w:b/>
          <w:bCs/>
        </w:rPr>
      </w:pPr>
      <w:r w:rsidRPr="00D9602A">
        <w:rPr>
          <w:b/>
          <w:bCs/>
        </w:rPr>
        <w:t xml:space="preserve">Guidance </w:t>
      </w:r>
      <w:r w:rsidR="001B3BBF">
        <w:rPr>
          <w:b/>
          <w:bCs/>
        </w:rPr>
        <w:t>N</w:t>
      </w:r>
      <w:r w:rsidR="001B3BBF" w:rsidRPr="00D9602A">
        <w:rPr>
          <w:b/>
          <w:bCs/>
        </w:rPr>
        <w:t xml:space="preserve">ote </w:t>
      </w:r>
      <w:r w:rsidRPr="00D9602A">
        <w:rPr>
          <w:b/>
          <w:bCs/>
        </w:rPr>
        <w:t xml:space="preserve">on </w:t>
      </w:r>
      <w:r w:rsidR="004F4635" w:rsidRPr="004F4635">
        <w:rPr>
          <w:b/>
          <w:bCs/>
        </w:rPr>
        <w:t xml:space="preserve">living heritage </w:t>
      </w:r>
      <w:r w:rsidR="00334A44">
        <w:rPr>
          <w:b/>
          <w:bCs/>
        </w:rPr>
        <w:t>and climate action</w:t>
      </w:r>
    </w:p>
    <w:p w14:paraId="72AC9634" w14:textId="5AE29ECC" w:rsidR="00093330" w:rsidRDefault="00093330" w:rsidP="00093330">
      <w:pPr>
        <w:pStyle w:val="COMPara"/>
        <w:ind w:left="0" w:firstLine="0"/>
        <w:jc w:val="both"/>
        <w:rPr>
          <w:bCs/>
          <w:lang w:val="en-AU"/>
        </w:rPr>
      </w:pPr>
      <w:r w:rsidRPr="00ED11FD">
        <w:rPr>
          <w:bCs/>
          <w:lang w:val="en-AU"/>
        </w:rPr>
        <w:t xml:space="preserve">Climate change is a largely irreversible and often destructive process already inflicting </w:t>
      </w:r>
      <w:r>
        <w:rPr>
          <w:bCs/>
          <w:lang w:val="en-AU"/>
        </w:rPr>
        <w:t xml:space="preserve">significant </w:t>
      </w:r>
      <w:r w:rsidRPr="00ED11FD">
        <w:rPr>
          <w:bCs/>
          <w:lang w:val="en-AU"/>
        </w:rPr>
        <w:t xml:space="preserve">damage on the </w:t>
      </w:r>
      <w:r>
        <w:rPr>
          <w:bCs/>
          <w:lang w:val="en-AU"/>
        </w:rPr>
        <w:t xml:space="preserve">wellbeing and </w:t>
      </w:r>
      <w:r w:rsidRPr="00ED11FD">
        <w:rPr>
          <w:bCs/>
          <w:lang w:val="en-AU"/>
        </w:rPr>
        <w:t xml:space="preserve">cultural heritage of communities, groups and individuals worldwide. Conventions and institutions charged with safeguarding tangible and intangible heritage face the dual challenge </w:t>
      </w:r>
      <w:r>
        <w:rPr>
          <w:bCs/>
          <w:lang w:val="en-AU"/>
        </w:rPr>
        <w:t>of</w:t>
      </w:r>
      <w:r w:rsidRPr="00ED11FD">
        <w:rPr>
          <w:bCs/>
          <w:lang w:val="en-AU"/>
        </w:rPr>
        <w:t xml:space="preserve"> develop</w:t>
      </w:r>
      <w:r>
        <w:rPr>
          <w:bCs/>
          <w:lang w:val="en-AU"/>
        </w:rPr>
        <w:t>ing</w:t>
      </w:r>
      <w:r w:rsidRPr="00ED11FD">
        <w:rPr>
          <w:bCs/>
          <w:lang w:val="en-AU"/>
        </w:rPr>
        <w:t xml:space="preserve"> and implement</w:t>
      </w:r>
      <w:r>
        <w:rPr>
          <w:bCs/>
          <w:lang w:val="en-AU"/>
        </w:rPr>
        <w:t>ing</w:t>
      </w:r>
      <w:r w:rsidRPr="00ED11FD">
        <w:rPr>
          <w:bCs/>
          <w:lang w:val="en-AU"/>
        </w:rPr>
        <w:t xml:space="preserve"> plans that support </w:t>
      </w:r>
      <w:r w:rsidRPr="00093330">
        <w:rPr>
          <w:bCs/>
          <w:lang w:val="en-AU"/>
        </w:rPr>
        <w:t>communities to safeguard their heritage, while also drawing on that heritage as a resource for adaptation to changing environmental and social conditions, and the mitigation of greenhouse gas emissions.</w:t>
      </w:r>
      <w:r w:rsidR="00FC1B83" w:rsidRPr="00FC1B83">
        <w:rPr>
          <w:bCs/>
          <w:lang w:val="en-AU"/>
        </w:rPr>
        <w:t xml:space="preserve"> </w:t>
      </w:r>
    </w:p>
    <w:p w14:paraId="4FF86E9F" w14:textId="1753916E" w:rsidR="001128B1" w:rsidRPr="00F544D6" w:rsidRDefault="00DF3F10" w:rsidP="00FC1B83">
      <w:pPr>
        <w:pStyle w:val="COMPara"/>
        <w:ind w:left="0" w:firstLine="0"/>
        <w:jc w:val="both"/>
        <w:rPr>
          <w:lang w:val="en-US"/>
        </w:rPr>
      </w:pPr>
      <w:r w:rsidRPr="001128B1">
        <w:rPr>
          <w:bCs/>
          <w:lang w:val="en-AU"/>
        </w:rPr>
        <w:t>Th</w:t>
      </w:r>
      <w:r w:rsidR="00BD44DF">
        <w:rPr>
          <w:bCs/>
          <w:lang w:val="en-AU"/>
        </w:rPr>
        <w:t>is</w:t>
      </w:r>
      <w:r w:rsidRPr="001128B1">
        <w:rPr>
          <w:bCs/>
          <w:lang w:val="en-AU"/>
        </w:rPr>
        <w:t xml:space="preserve"> </w:t>
      </w:r>
      <w:r w:rsidR="00CF2386">
        <w:rPr>
          <w:bCs/>
          <w:lang w:val="en-AU"/>
        </w:rPr>
        <w:t>G</w:t>
      </w:r>
      <w:r>
        <w:rPr>
          <w:bCs/>
          <w:lang w:val="en-AU"/>
        </w:rPr>
        <w:t xml:space="preserve">uidance </w:t>
      </w:r>
      <w:r w:rsidR="00C72D69">
        <w:rPr>
          <w:bCs/>
          <w:lang w:val="en-AU"/>
        </w:rPr>
        <w:t>N</w:t>
      </w:r>
      <w:r>
        <w:rPr>
          <w:bCs/>
          <w:lang w:val="en-AU"/>
        </w:rPr>
        <w:t>ote</w:t>
      </w:r>
      <w:r w:rsidR="001A028E">
        <w:rPr>
          <w:bCs/>
          <w:lang w:val="en-AU"/>
        </w:rPr>
        <w:t xml:space="preserve"> is</w:t>
      </w:r>
      <w:r w:rsidRPr="001128B1">
        <w:rPr>
          <w:bCs/>
          <w:lang w:val="en-AU"/>
        </w:rPr>
        <w:t xml:space="preserve"> </w:t>
      </w:r>
      <w:r w:rsidR="00757381">
        <w:rPr>
          <w:bCs/>
          <w:lang w:val="en-AU"/>
        </w:rPr>
        <w:t>in line with</w:t>
      </w:r>
      <w:r w:rsidRPr="001128B1">
        <w:rPr>
          <w:bCs/>
          <w:lang w:val="en-AU"/>
        </w:rPr>
        <w:t xml:space="preserve"> the existing processes of the</w:t>
      </w:r>
      <w:r w:rsidR="00CF2386">
        <w:rPr>
          <w:bCs/>
          <w:lang w:val="en-AU"/>
        </w:rPr>
        <w:t xml:space="preserve"> 2003</w:t>
      </w:r>
      <w:r w:rsidRPr="001128B1">
        <w:rPr>
          <w:bCs/>
          <w:lang w:val="en-AU"/>
        </w:rPr>
        <w:t xml:space="preserve"> Convention </w:t>
      </w:r>
      <w:r w:rsidR="00FC1B83">
        <w:rPr>
          <w:bCs/>
          <w:lang w:val="en-AU"/>
        </w:rPr>
        <w:t xml:space="preserve">for the Safeguarding of the Intangible Cultural Heritage </w:t>
      </w:r>
      <w:r w:rsidR="00FC1B83" w:rsidRPr="00DE1225">
        <w:t>(‘the 2003 Convention’)</w:t>
      </w:r>
      <w:r w:rsidR="00FC1B83">
        <w:t xml:space="preserve"> </w:t>
      </w:r>
      <w:r w:rsidR="00C72D69">
        <w:rPr>
          <w:bCs/>
          <w:lang w:val="en-AU"/>
        </w:rPr>
        <w:t>without</w:t>
      </w:r>
      <w:r>
        <w:rPr>
          <w:bCs/>
          <w:lang w:val="en-AU"/>
        </w:rPr>
        <w:t xml:space="preserve"> </w:t>
      </w:r>
      <w:r w:rsidRPr="001128B1">
        <w:rPr>
          <w:bCs/>
          <w:lang w:val="en-AU"/>
        </w:rPr>
        <w:t>impos</w:t>
      </w:r>
      <w:r w:rsidR="00C72D69">
        <w:rPr>
          <w:bCs/>
          <w:lang w:val="en-AU"/>
        </w:rPr>
        <w:t>ing</w:t>
      </w:r>
      <w:r w:rsidRPr="001128B1">
        <w:rPr>
          <w:bCs/>
          <w:lang w:val="en-AU"/>
        </w:rPr>
        <w:t xml:space="preserve"> new legal obligations on States Parties and does not aim to duplicate the mandate of any other multilateral agreements, frameworks, processes</w:t>
      </w:r>
      <w:r w:rsidR="00C72D69">
        <w:rPr>
          <w:bCs/>
          <w:lang w:val="en-AU"/>
        </w:rPr>
        <w:t>, or</w:t>
      </w:r>
      <w:r w:rsidRPr="001128B1">
        <w:rPr>
          <w:bCs/>
          <w:lang w:val="en-AU"/>
        </w:rPr>
        <w:t xml:space="preserve"> instruments. </w:t>
      </w:r>
      <w:r w:rsidR="001128B1">
        <w:t>Key p</w:t>
      </w:r>
      <w:r w:rsidR="001128B1" w:rsidRPr="001128B1">
        <w:t>rinciples to be observed in th</w:t>
      </w:r>
      <w:r w:rsidR="00093330">
        <w:t>is</w:t>
      </w:r>
      <w:r w:rsidR="001128B1" w:rsidRPr="001128B1">
        <w:t xml:space="preserve"> integration of living heritage and climate change include the 2015 Ethical Principles for Safeguarding Intangible Cultural Heritage, the 2017 UNESCO Declaration of Ethical Principles in relation to Climate Change, the 2018 UNESCO Policy on Engaging with Indigenous Peoples, and the </w:t>
      </w:r>
      <w:r w:rsidR="00DD2497">
        <w:t>2020</w:t>
      </w:r>
      <w:r w:rsidR="00DD2497" w:rsidRPr="001128B1">
        <w:t xml:space="preserve"> </w:t>
      </w:r>
      <w:r w:rsidR="001128B1" w:rsidRPr="001128B1">
        <w:t>Operational Principles and Modalities for Safeguarding Intangible Cultural Heritage in Emergencies.</w:t>
      </w:r>
      <w:r w:rsidR="005177F7">
        <w:t xml:space="preserve"> </w:t>
      </w:r>
    </w:p>
    <w:p w14:paraId="2B80B9A6" w14:textId="7EFFE118" w:rsidR="00BC6475" w:rsidRPr="000417DA" w:rsidRDefault="00C6269B" w:rsidP="000417DA">
      <w:pPr>
        <w:rPr>
          <w:lang w:val="en-US"/>
        </w:rPr>
      </w:pPr>
      <w:r w:rsidRPr="00D23F08">
        <w:rPr>
          <w:rFonts w:ascii="Arial" w:hAnsi="Arial" w:cs="Arial"/>
          <w:snapToGrid w:val="0"/>
          <w:szCs w:val="22"/>
          <w:lang w:val="en-GB" w:eastAsia="en-US"/>
        </w:rPr>
        <w:t xml:space="preserve">The Guidance Note suggests a </w:t>
      </w:r>
      <w:r w:rsidR="00E92F89" w:rsidRPr="00D23F08">
        <w:rPr>
          <w:rFonts w:ascii="Arial" w:hAnsi="Arial" w:cs="Arial"/>
          <w:snapToGrid w:val="0"/>
          <w:szCs w:val="22"/>
          <w:lang w:val="en-GB" w:eastAsia="en-US"/>
        </w:rPr>
        <w:t>holistic</w:t>
      </w:r>
      <w:r w:rsidRPr="00D23F08">
        <w:rPr>
          <w:rFonts w:ascii="Arial" w:hAnsi="Arial" w:cs="Arial"/>
          <w:snapToGrid w:val="0"/>
          <w:szCs w:val="22"/>
          <w:lang w:val="en-GB" w:eastAsia="en-US"/>
        </w:rPr>
        <w:t xml:space="preserve">, rights-based approach to safeguarding living heritage for climate action in three key areas: </w:t>
      </w:r>
    </w:p>
    <w:p w14:paraId="139EB9DF" w14:textId="73042F69" w:rsidR="00646BE5" w:rsidRPr="00D23F08" w:rsidRDefault="0057244C" w:rsidP="00BC6475">
      <w:pPr>
        <w:pStyle w:val="COMPara"/>
        <w:keepNext/>
        <w:numPr>
          <w:ilvl w:val="0"/>
          <w:numId w:val="22"/>
        </w:numPr>
        <w:jc w:val="both"/>
        <w:rPr>
          <w:lang w:val="en-AU"/>
        </w:rPr>
      </w:pPr>
      <w:r w:rsidRPr="00D23F08">
        <w:rPr>
          <w:b/>
          <w:bCs/>
        </w:rPr>
        <w:t>P</w:t>
      </w:r>
      <w:proofErr w:type="spellStart"/>
      <w:r w:rsidR="00ED11FD" w:rsidRPr="00D23F08">
        <w:rPr>
          <w:b/>
          <w:bCs/>
          <w:lang w:val="en-AU"/>
        </w:rPr>
        <w:t>romot</w:t>
      </w:r>
      <w:r w:rsidR="009C16BF" w:rsidRPr="00D23F08">
        <w:rPr>
          <w:b/>
          <w:bCs/>
          <w:lang w:val="en-AU"/>
        </w:rPr>
        <w:t>e</w:t>
      </w:r>
      <w:proofErr w:type="spellEnd"/>
      <w:r w:rsidR="00ED11FD" w:rsidRPr="00D23F08">
        <w:rPr>
          <w:b/>
          <w:bCs/>
          <w:lang w:val="en-AU"/>
        </w:rPr>
        <w:t xml:space="preserve"> </w:t>
      </w:r>
      <w:r w:rsidR="0041666E" w:rsidRPr="00D23F08">
        <w:rPr>
          <w:b/>
          <w:bCs/>
          <w:lang w:val="en-AU"/>
        </w:rPr>
        <w:t xml:space="preserve">and enhance </w:t>
      </w:r>
      <w:r w:rsidR="00ED11FD" w:rsidRPr="00D23F08">
        <w:rPr>
          <w:b/>
          <w:bCs/>
          <w:lang w:val="en-AU"/>
        </w:rPr>
        <w:t xml:space="preserve">the role of </w:t>
      </w:r>
      <w:r w:rsidR="00D9015E" w:rsidRPr="00D23F08">
        <w:rPr>
          <w:b/>
          <w:bCs/>
          <w:lang w:val="en-AU"/>
        </w:rPr>
        <w:t>living heritage</w:t>
      </w:r>
      <w:r w:rsidR="00ED11FD" w:rsidRPr="00D23F08">
        <w:rPr>
          <w:b/>
          <w:bCs/>
          <w:lang w:val="en-AU"/>
        </w:rPr>
        <w:t xml:space="preserve"> in climate change adaptation</w:t>
      </w:r>
    </w:p>
    <w:p w14:paraId="78D5369B" w14:textId="396B595E" w:rsidR="00BD44DF" w:rsidRPr="00D23F08" w:rsidRDefault="000417DA" w:rsidP="00F544D6">
      <w:pPr>
        <w:pStyle w:val="COMPara"/>
        <w:keepNext/>
        <w:ind w:firstLine="0"/>
        <w:jc w:val="both"/>
        <w:rPr>
          <w:lang w:val="en-AU"/>
        </w:rPr>
      </w:pPr>
      <w:r w:rsidRPr="000417DA">
        <w:rPr>
          <w:bCs/>
          <w:noProof/>
          <w:lang w:val="en-AU"/>
        </w:rPr>
        <mc:AlternateContent>
          <mc:Choice Requires="wps">
            <w:drawing>
              <wp:anchor distT="45720" distB="45720" distL="114300" distR="114300" simplePos="0" relativeHeight="251660288" behindDoc="1" locked="0" layoutInCell="1" allowOverlap="1" wp14:anchorId="7E31220E" wp14:editId="4500C1FF">
                <wp:simplePos x="0" y="0"/>
                <wp:positionH relativeFrom="column">
                  <wp:posOffset>268078</wp:posOffset>
                </wp:positionH>
                <wp:positionV relativeFrom="paragraph">
                  <wp:posOffset>248020</wp:posOffset>
                </wp:positionV>
                <wp:extent cx="5478249" cy="1404620"/>
                <wp:effectExtent l="0" t="1238250" r="0" b="1245870"/>
                <wp:wrapNone/>
                <wp:docPr id="957663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32894">
                          <a:off x="0" y="0"/>
                          <a:ext cx="5478249" cy="1404620"/>
                        </a:xfrm>
                        <a:prstGeom prst="rect">
                          <a:avLst/>
                        </a:prstGeom>
                        <a:noFill/>
                        <a:ln w="9525">
                          <a:noFill/>
                          <a:miter lim="800000"/>
                          <a:headEnd/>
                          <a:tailEnd/>
                        </a:ln>
                      </wps:spPr>
                      <wps:txbx>
                        <w:txbxContent>
                          <w:p w14:paraId="47541347" w14:textId="2A7FCB4A" w:rsidR="000417DA" w:rsidRPr="000417DA" w:rsidRDefault="000417DA">
                            <w:pPr>
                              <w:rPr>
                                <w:rFonts w:ascii="Arial" w:hAnsi="Arial" w:cs="Arial"/>
                                <w:color w:val="D9D9D9" w:themeColor="background1" w:themeShade="D9"/>
                                <w:sz w:val="220"/>
                                <w:szCs w:val="220"/>
                                <w:lang w:val="en-US"/>
                              </w:rPr>
                            </w:pPr>
                            <w:r w:rsidRPr="000417DA">
                              <w:rPr>
                                <w:rFonts w:ascii="Arial" w:hAnsi="Arial" w:cs="Arial"/>
                                <w:color w:val="D9D9D9" w:themeColor="background1" w:themeShade="D9"/>
                                <w:sz w:val="220"/>
                                <w:szCs w:val="220"/>
                              </w:rPr>
                              <w:t>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E31220E" id="_x0000_t202" coordsize="21600,21600" o:spt="202" path="m,l,21600r21600,l21600,xe">
                <v:stroke joinstyle="miter"/>
                <v:path gradientshapeok="t" o:connecttype="rect"/>
              </v:shapetype>
              <v:shape id="Text Box 2" o:spid="_x0000_s1026" type="#_x0000_t202" style="position:absolute;left:0;text-align:left;margin-left:21.1pt;margin-top:19.55pt;width:431.35pt;height:110.6pt;rotation:-2039378fd;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" filled="f" stroked="f">
                <v:textbox style="mso-fit-shape-to-text:t">
                  <w:txbxContent>
                    <w:p w14:paraId="47541347" w14:textId="2A7FCB4A" w:rsidR="000417DA" w:rsidRPr="000417DA" w:rsidRDefault="000417DA">
                      <w:pPr>
                        <w:rPr>
                          <w:rFonts w:ascii="Arial" w:hAnsi="Arial" w:cs="Arial"/>
                          <w:color w:val="D9D9D9" w:themeColor="background1" w:themeShade="D9"/>
                          <w:sz w:val="220"/>
                          <w:szCs w:val="220"/>
                          <w:lang w:val="en-US"/>
                        </w:rPr>
                      </w:pPr>
                      <w:r w:rsidRPr="000417DA">
                        <w:rPr>
                          <w:rFonts w:ascii="Arial" w:hAnsi="Arial" w:cs="Arial"/>
                          <w:color w:val="D9D9D9" w:themeColor="background1" w:themeShade="D9"/>
                          <w:sz w:val="220"/>
                          <w:szCs w:val="220"/>
                        </w:rPr>
                        <w:t>DRAFT</w:t>
                      </w:r>
                    </w:p>
                  </w:txbxContent>
                </v:textbox>
              </v:shape>
            </w:pict>
          </mc:Fallback>
        </mc:AlternateContent>
      </w:r>
      <w:r w:rsidR="00BD44DF" w:rsidRPr="00D23F08">
        <w:rPr>
          <w:lang w:val="en-AU"/>
        </w:rPr>
        <w:t xml:space="preserve">Living heritage has a critical positive role to play in </w:t>
      </w:r>
      <w:r w:rsidR="00F65BF1" w:rsidRPr="00D23F08">
        <w:rPr>
          <w:lang w:val="en-AU"/>
        </w:rPr>
        <w:t>the adaptation of societies and environments to</w:t>
      </w:r>
      <w:r w:rsidR="00BD44DF" w:rsidRPr="00D23F08">
        <w:rPr>
          <w:lang w:val="en-AU"/>
        </w:rPr>
        <w:t xml:space="preserve"> climate </w:t>
      </w:r>
      <w:r w:rsidR="00F65BF1" w:rsidRPr="00D23F08">
        <w:rPr>
          <w:lang w:val="en-AU"/>
        </w:rPr>
        <w:t>change and the management</w:t>
      </w:r>
      <w:r w:rsidR="00BC6475" w:rsidRPr="00D23F08">
        <w:rPr>
          <w:lang w:val="en-AU"/>
        </w:rPr>
        <w:t xml:space="preserve"> of</w:t>
      </w:r>
      <w:r w:rsidR="00F65BF1" w:rsidRPr="00D23F08">
        <w:rPr>
          <w:lang w:val="en-AU"/>
        </w:rPr>
        <w:t xml:space="preserve"> </w:t>
      </w:r>
      <w:r w:rsidR="00EC05DC" w:rsidRPr="00D23F08">
        <w:rPr>
          <w:lang w:val="en-AU"/>
        </w:rPr>
        <w:t>its</w:t>
      </w:r>
      <w:r w:rsidR="00F65BF1" w:rsidRPr="00D23F08">
        <w:rPr>
          <w:lang w:val="en-AU"/>
        </w:rPr>
        <w:t xml:space="preserve"> impacts</w:t>
      </w:r>
      <w:r w:rsidR="00CF36F1" w:rsidRPr="00D23F08">
        <w:rPr>
          <w:lang w:val="en-AU"/>
        </w:rPr>
        <w:t xml:space="preserve"> through </w:t>
      </w:r>
      <w:r w:rsidR="00CF36F1" w:rsidRPr="00D23F08">
        <w:t>identifying, assessing and monitoring climate change; limiting climate-related impacts;</w:t>
      </w:r>
      <w:r w:rsidR="00BC6475" w:rsidRPr="00D23F08">
        <w:t xml:space="preserve"> and</w:t>
      </w:r>
      <w:r w:rsidR="00CF36F1" w:rsidRPr="00D23F08">
        <w:t xml:space="preserve"> promoting and facilitating societal and environmental adaptation to climate change</w:t>
      </w:r>
      <w:r w:rsidR="00C079C4" w:rsidRPr="00D23F08">
        <w:rPr>
          <w:lang w:val="en-AU"/>
        </w:rPr>
        <w:t>. S</w:t>
      </w:r>
      <w:r w:rsidR="00F65BF1" w:rsidRPr="00D23F08">
        <w:rPr>
          <w:lang w:val="en-AU"/>
        </w:rPr>
        <w:t xml:space="preserve">takeholders of the </w:t>
      </w:r>
      <w:r w:rsidR="00DB2F9A" w:rsidRPr="00D23F08">
        <w:rPr>
          <w:lang w:val="en-AU"/>
        </w:rPr>
        <w:t xml:space="preserve">2003 </w:t>
      </w:r>
      <w:r w:rsidR="00F65BF1" w:rsidRPr="00D23F08">
        <w:rPr>
          <w:lang w:val="en-AU"/>
        </w:rPr>
        <w:t>Convention</w:t>
      </w:r>
      <w:r w:rsidR="00C079C4" w:rsidRPr="00D23F08">
        <w:rPr>
          <w:lang w:val="en-AU"/>
        </w:rPr>
        <w:t>, particularly communities,</w:t>
      </w:r>
      <w:r w:rsidR="00F65BF1" w:rsidRPr="00D23F08">
        <w:rPr>
          <w:lang w:val="en-AU"/>
        </w:rPr>
        <w:t xml:space="preserve"> are important mediators in </w:t>
      </w:r>
      <w:r w:rsidR="00C079C4" w:rsidRPr="00D23F08">
        <w:rPr>
          <w:lang w:val="en-AU"/>
        </w:rPr>
        <w:t xml:space="preserve">climate adaptation </w:t>
      </w:r>
      <w:r w:rsidR="00F65BF1" w:rsidRPr="00D23F08">
        <w:rPr>
          <w:lang w:val="en-AU"/>
        </w:rPr>
        <w:t>process</w:t>
      </w:r>
      <w:r w:rsidR="00C079C4" w:rsidRPr="00D23F08">
        <w:rPr>
          <w:lang w:val="en-AU"/>
        </w:rPr>
        <w:t>es</w:t>
      </w:r>
      <w:r w:rsidR="00F65BF1" w:rsidRPr="00D23F08">
        <w:rPr>
          <w:lang w:val="en-AU"/>
        </w:rPr>
        <w:t xml:space="preserve">. Appropriate mechanisms and forums </w:t>
      </w:r>
      <w:r w:rsidR="00EC05DC" w:rsidRPr="00D23F08">
        <w:rPr>
          <w:lang w:val="en-AU"/>
        </w:rPr>
        <w:t xml:space="preserve">that </w:t>
      </w:r>
      <w:r w:rsidR="00F65BF1" w:rsidRPr="00D23F08">
        <w:rPr>
          <w:lang w:val="en-AU"/>
        </w:rPr>
        <w:t xml:space="preserve">promote the role of living heritage in climate change adaptation and provide for </w:t>
      </w:r>
      <w:r w:rsidR="00BD44DF" w:rsidRPr="00D23F08">
        <w:rPr>
          <w:lang w:val="en-AU"/>
        </w:rPr>
        <w:t xml:space="preserve">new dialogue </w:t>
      </w:r>
      <w:r w:rsidR="00F65BF1" w:rsidRPr="00D23F08">
        <w:rPr>
          <w:lang w:val="en-AU"/>
        </w:rPr>
        <w:t xml:space="preserve">with scientific knowledge systems </w:t>
      </w:r>
      <w:r w:rsidR="00BD44DF" w:rsidRPr="00D23F08">
        <w:rPr>
          <w:lang w:val="en-AU"/>
        </w:rPr>
        <w:t xml:space="preserve">and exchange on </w:t>
      </w:r>
      <w:r w:rsidR="00F3266D" w:rsidRPr="00D23F08">
        <w:rPr>
          <w:lang w:val="en-AU"/>
        </w:rPr>
        <w:t xml:space="preserve">strategies for </w:t>
      </w:r>
      <w:r w:rsidR="00BD44DF" w:rsidRPr="00D23F08">
        <w:rPr>
          <w:lang w:val="en-AU"/>
        </w:rPr>
        <w:t xml:space="preserve">climate change </w:t>
      </w:r>
      <w:r w:rsidR="00F3266D" w:rsidRPr="00D23F08">
        <w:rPr>
          <w:lang w:val="en-AU"/>
        </w:rPr>
        <w:t>adaptation</w:t>
      </w:r>
      <w:r w:rsidR="00F65BF1" w:rsidRPr="00D23F08">
        <w:rPr>
          <w:lang w:val="en-AU"/>
        </w:rPr>
        <w:t xml:space="preserve"> are crucial </w:t>
      </w:r>
      <w:r w:rsidR="00EC05DC" w:rsidRPr="00D23F08">
        <w:rPr>
          <w:lang w:val="en-AU"/>
        </w:rPr>
        <w:t>for realizing this</w:t>
      </w:r>
      <w:r w:rsidR="00F65BF1" w:rsidRPr="00D23F08">
        <w:rPr>
          <w:lang w:val="en-AU"/>
        </w:rPr>
        <w:t xml:space="preserve"> potential. </w:t>
      </w:r>
    </w:p>
    <w:p w14:paraId="6CCCAD79" w14:textId="3C85E630" w:rsidR="00903324" w:rsidRPr="00D23F08" w:rsidRDefault="0041666E" w:rsidP="00F544D6">
      <w:pPr>
        <w:pStyle w:val="COMPara"/>
        <w:keepNext/>
        <w:numPr>
          <w:ilvl w:val="0"/>
          <w:numId w:val="22"/>
        </w:numPr>
        <w:jc w:val="both"/>
        <w:rPr>
          <w:b/>
          <w:bCs/>
        </w:rPr>
      </w:pPr>
      <w:r w:rsidRPr="00D23F08">
        <w:rPr>
          <w:b/>
          <w:bCs/>
        </w:rPr>
        <w:t>Promote</w:t>
      </w:r>
      <w:r w:rsidRPr="00D23F08">
        <w:rPr>
          <w:b/>
          <w:bCs/>
          <w:lang w:val="en-AU"/>
        </w:rPr>
        <w:t xml:space="preserve"> and e</w:t>
      </w:r>
      <w:r w:rsidR="00903324" w:rsidRPr="00D23F08">
        <w:rPr>
          <w:b/>
          <w:bCs/>
          <w:lang w:val="en-AU"/>
        </w:rPr>
        <w:t>nhanc</w:t>
      </w:r>
      <w:r w:rsidR="009C16BF" w:rsidRPr="00D23F08">
        <w:rPr>
          <w:b/>
          <w:bCs/>
          <w:lang w:val="en-AU"/>
        </w:rPr>
        <w:t>e</w:t>
      </w:r>
      <w:r w:rsidR="00903324" w:rsidRPr="00D23F08">
        <w:rPr>
          <w:b/>
          <w:bCs/>
          <w:lang w:val="en-AU"/>
        </w:rPr>
        <w:t xml:space="preserve"> the role of </w:t>
      </w:r>
      <w:r w:rsidR="00D9015E" w:rsidRPr="00D23F08">
        <w:rPr>
          <w:b/>
          <w:bCs/>
          <w:lang w:val="en-AU"/>
        </w:rPr>
        <w:t xml:space="preserve">living heritage </w:t>
      </w:r>
      <w:r w:rsidR="00903324" w:rsidRPr="00D23F08">
        <w:rPr>
          <w:b/>
          <w:bCs/>
          <w:lang w:val="en-AU"/>
        </w:rPr>
        <w:t xml:space="preserve">in </w:t>
      </w:r>
      <w:r w:rsidR="00D9015E" w:rsidRPr="00D23F08">
        <w:rPr>
          <w:b/>
          <w:bCs/>
          <w:lang w:val="en-AU"/>
        </w:rPr>
        <w:t>climate change</w:t>
      </w:r>
      <w:r w:rsidR="00903324" w:rsidRPr="00D23F08">
        <w:rPr>
          <w:b/>
          <w:bCs/>
          <w:lang w:val="en-AU"/>
        </w:rPr>
        <w:t xml:space="preserve"> mitigation</w:t>
      </w:r>
    </w:p>
    <w:p w14:paraId="6C9F5775" w14:textId="4329F727" w:rsidR="002E5584" w:rsidRPr="00D23F08" w:rsidRDefault="001C345F" w:rsidP="00F544D6">
      <w:pPr>
        <w:pStyle w:val="COMPara"/>
        <w:keepNext/>
        <w:ind w:firstLine="0"/>
        <w:jc w:val="both"/>
        <w:rPr>
          <w:lang w:val="en-AU"/>
        </w:rPr>
      </w:pPr>
      <w:r w:rsidRPr="00D23F08">
        <w:rPr>
          <w:lang w:val="en-AU"/>
        </w:rPr>
        <w:t xml:space="preserve">Climate change mitigation is an </w:t>
      </w:r>
      <w:r w:rsidR="00F3266D" w:rsidRPr="00D23F08">
        <w:rPr>
          <w:lang w:val="en-AU"/>
        </w:rPr>
        <w:t>important opportunity for l</w:t>
      </w:r>
      <w:r w:rsidRPr="00D23F08">
        <w:rPr>
          <w:lang w:val="en-AU"/>
        </w:rPr>
        <w:t>ocal communities and Indigenous Peoples</w:t>
      </w:r>
      <w:r w:rsidR="00F3266D" w:rsidRPr="00D23F08">
        <w:rPr>
          <w:lang w:val="en-AU"/>
        </w:rPr>
        <w:t>, who</w:t>
      </w:r>
      <w:r w:rsidRPr="00D23F08">
        <w:rPr>
          <w:lang w:val="en-AU"/>
        </w:rPr>
        <w:t xml:space="preserve"> are rarely if ever major sources of emissions, </w:t>
      </w:r>
      <w:r w:rsidR="00F3266D" w:rsidRPr="00D23F08">
        <w:rPr>
          <w:lang w:val="en-AU"/>
        </w:rPr>
        <w:t>to demonstrate the potential contribution of their knowledge and experience.</w:t>
      </w:r>
      <w:r w:rsidRPr="00D23F08">
        <w:rPr>
          <w:lang w:val="en-AU"/>
        </w:rPr>
        <w:t xml:space="preserve"> </w:t>
      </w:r>
      <w:r w:rsidR="00F3266D" w:rsidRPr="00D23F08">
        <w:rPr>
          <w:lang w:val="en-AU"/>
        </w:rPr>
        <w:t>L</w:t>
      </w:r>
      <w:r w:rsidRPr="00D23F08">
        <w:rPr>
          <w:lang w:val="en-AU"/>
        </w:rPr>
        <w:t xml:space="preserve">ocal and Indigenous fire management regimes, low carbon agricultural heritage systems, and the management of natural carbon sinks </w:t>
      </w:r>
      <w:r w:rsidR="00F3266D" w:rsidRPr="00D23F08">
        <w:rPr>
          <w:lang w:val="en-AU"/>
        </w:rPr>
        <w:t>are demonstrated forms of mitigation</w:t>
      </w:r>
      <w:r w:rsidR="00EC05DC" w:rsidRPr="00D23F08">
        <w:rPr>
          <w:lang w:val="en-AU"/>
        </w:rPr>
        <w:t>.</w:t>
      </w:r>
      <w:r w:rsidR="00F3266D" w:rsidRPr="00D23F08">
        <w:rPr>
          <w:lang w:val="en-AU"/>
        </w:rPr>
        <w:t xml:space="preserve"> </w:t>
      </w:r>
      <w:r w:rsidR="00EC05DC" w:rsidRPr="00D23F08">
        <w:rPr>
          <w:lang w:val="en-AU"/>
        </w:rPr>
        <w:t>S</w:t>
      </w:r>
      <w:r w:rsidR="00F3266D" w:rsidRPr="00D23F08">
        <w:rPr>
          <w:lang w:val="en-AU"/>
        </w:rPr>
        <w:t>takeholders</w:t>
      </w:r>
      <w:r w:rsidR="00DF4E2A" w:rsidRPr="00D23F08">
        <w:rPr>
          <w:lang w:val="en-AU"/>
        </w:rPr>
        <w:t xml:space="preserve"> </w:t>
      </w:r>
      <w:r w:rsidR="00A922A3" w:rsidRPr="00D23F08">
        <w:rPr>
          <w:lang w:val="en-AU"/>
        </w:rPr>
        <w:t xml:space="preserve">might wish to further promote the scope for learning from and scaling </w:t>
      </w:r>
      <w:r w:rsidR="00EC05DC" w:rsidRPr="00D23F08">
        <w:rPr>
          <w:lang w:val="en-AU"/>
        </w:rPr>
        <w:t xml:space="preserve">up </w:t>
      </w:r>
      <w:r w:rsidR="00B703EC" w:rsidRPr="00D23F08">
        <w:rPr>
          <w:lang w:val="en-AU"/>
        </w:rPr>
        <w:t>this living heritage</w:t>
      </w:r>
      <w:r w:rsidR="0082016E" w:rsidRPr="00D23F08">
        <w:rPr>
          <w:lang w:val="en-AU"/>
        </w:rPr>
        <w:t xml:space="preserve"> </w:t>
      </w:r>
      <w:r w:rsidR="00580134" w:rsidRPr="00D23F08">
        <w:rPr>
          <w:lang w:val="en-AU"/>
        </w:rPr>
        <w:t>for mitigation</w:t>
      </w:r>
      <w:r w:rsidR="00A922A3" w:rsidRPr="00D23F08">
        <w:rPr>
          <w:lang w:val="en-AU"/>
        </w:rPr>
        <w:t>.</w:t>
      </w:r>
    </w:p>
    <w:p w14:paraId="63CB5E3D" w14:textId="35419EC0" w:rsidR="00903324" w:rsidRPr="00D23F08" w:rsidRDefault="00D9015E" w:rsidP="00D46F2D">
      <w:pPr>
        <w:pStyle w:val="COMPara"/>
        <w:widowControl w:val="0"/>
        <w:numPr>
          <w:ilvl w:val="0"/>
          <w:numId w:val="22"/>
        </w:numPr>
        <w:jc w:val="both"/>
        <w:rPr>
          <w:b/>
          <w:bCs/>
          <w:lang w:val="en-AU"/>
        </w:rPr>
      </w:pPr>
      <w:r w:rsidRPr="00D23F08">
        <w:rPr>
          <w:b/>
          <w:bCs/>
          <w:lang w:val="en-AU"/>
        </w:rPr>
        <w:t xml:space="preserve">Improve measures for safeguarding living </w:t>
      </w:r>
      <w:r w:rsidRPr="00D23F08">
        <w:rPr>
          <w:b/>
          <w:bCs/>
        </w:rPr>
        <w:t>heritage</w:t>
      </w:r>
      <w:r w:rsidRPr="00D23F08">
        <w:rPr>
          <w:b/>
          <w:bCs/>
          <w:lang w:val="en-AU"/>
        </w:rPr>
        <w:t xml:space="preserve"> in the climate emergency</w:t>
      </w:r>
    </w:p>
    <w:p w14:paraId="33343622" w14:textId="21D000E0" w:rsidR="002E5584" w:rsidRDefault="00A922A3" w:rsidP="00D46F2D">
      <w:pPr>
        <w:pStyle w:val="COMPara"/>
        <w:widowControl w:val="0"/>
        <w:jc w:val="both"/>
        <w:rPr>
          <w:lang w:val="en-AU"/>
        </w:rPr>
      </w:pPr>
      <w:r w:rsidRPr="00D23F08">
        <w:rPr>
          <w:b/>
          <w:bCs/>
          <w:lang w:val="en-AU"/>
        </w:rPr>
        <w:tab/>
      </w:r>
      <w:r w:rsidRPr="00D23F08">
        <w:rPr>
          <w:lang w:val="en-AU"/>
        </w:rPr>
        <w:t xml:space="preserve">Living heritage has been an important source of resilience to both slow transformations in local environments and rapid-onset emergencies, and will prove vital </w:t>
      </w:r>
      <w:r w:rsidR="00872366" w:rsidRPr="00D23F08">
        <w:rPr>
          <w:lang w:val="en-AU"/>
        </w:rPr>
        <w:t>for</w:t>
      </w:r>
      <w:r w:rsidRPr="00D23F08">
        <w:rPr>
          <w:lang w:val="en-AU"/>
        </w:rPr>
        <w:t xml:space="preserve"> communities and</w:t>
      </w:r>
      <w:r w:rsidR="00872366" w:rsidRPr="00D23F08">
        <w:rPr>
          <w:lang w:val="en-AU"/>
        </w:rPr>
        <w:t xml:space="preserve"> the safeguarding of</w:t>
      </w:r>
      <w:r w:rsidRPr="00D23F08">
        <w:rPr>
          <w:lang w:val="en-AU"/>
        </w:rPr>
        <w:t xml:space="preserve"> their heritage in the climate emergency. Understanding sources of vulnerability to climate change impacts for communities and their living heritage is a pressing priority to equip</w:t>
      </w:r>
      <w:r w:rsidR="00B12E2B">
        <w:rPr>
          <w:lang w:val="en-AU"/>
        </w:rPr>
        <w:t xml:space="preserve"> </w:t>
      </w:r>
      <w:r w:rsidRPr="00D23F08">
        <w:rPr>
          <w:lang w:val="en-AU"/>
        </w:rPr>
        <w:t>stakeholders with the knowledge and means to support and strengthen the necessary safeguarding measures.</w:t>
      </w:r>
    </w:p>
    <w:p w14:paraId="66F25BE9" w14:textId="371FFD6E" w:rsidR="00371FC5" w:rsidRPr="000417DA" w:rsidRDefault="00D23F08" w:rsidP="00D46F2D">
      <w:pPr>
        <w:pStyle w:val="COMPara"/>
        <w:widowControl w:val="0"/>
        <w:numPr>
          <w:ilvl w:val="0"/>
          <w:numId w:val="24"/>
        </w:numPr>
        <w:jc w:val="both"/>
        <w:rPr>
          <w:b/>
          <w:bCs/>
          <w:i/>
          <w:iCs/>
        </w:rPr>
      </w:pPr>
      <w:r w:rsidRPr="00D23F08">
        <w:rPr>
          <w:noProof/>
        </w:rPr>
        <mc:AlternateContent>
          <mc:Choice Requires="wps">
            <w:drawing>
              <wp:anchor distT="0" distB="0" distL="114300" distR="114300" simplePos="0" relativeHeight="251658240" behindDoc="1" locked="0" layoutInCell="1" allowOverlap="1" wp14:anchorId="72B5B19C" wp14:editId="2F2B7283">
                <wp:simplePos x="0" y="0"/>
                <wp:positionH relativeFrom="column">
                  <wp:posOffset>850900</wp:posOffset>
                </wp:positionH>
                <wp:positionV relativeFrom="paragraph">
                  <wp:posOffset>8255</wp:posOffset>
                </wp:positionV>
                <wp:extent cx="4524375" cy="1404620"/>
                <wp:effectExtent l="0" t="0" r="28575" b="21590"/>
                <wp:wrapTight wrapText="bothSides">
                  <wp:wrapPolygon edited="0">
                    <wp:start x="0" y="0"/>
                    <wp:lineTo x="0" y="21648"/>
                    <wp:lineTo x="21645" y="21648"/>
                    <wp:lineTo x="2164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04620"/>
                        </a:xfrm>
                        <a:prstGeom prst="rect">
                          <a:avLst/>
                        </a:prstGeom>
                        <a:solidFill>
                          <a:srgbClr val="FFFFFF"/>
                        </a:solidFill>
                        <a:ln w="9525">
                          <a:solidFill>
                            <a:srgbClr val="000000"/>
                          </a:solidFill>
                          <a:miter lim="800000"/>
                          <a:headEnd/>
                          <a:tailEnd/>
                        </a:ln>
                      </wps:spPr>
                      <wps:txbx>
                        <w:txbxContent>
                          <w:p w14:paraId="11E85C98" w14:textId="221CC5A4" w:rsidR="00D23F08" w:rsidRDefault="00D23F08" w:rsidP="000417DA">
                            <w:pPr>
                              <w:pStyle w:val="COMPara"/>
                              <w:ind w:left="0" w:firstLine="0"/>
                              <w:jc w:val="both"/>
                            </w:pPr>
                            <w:r w:rsidRPr="004E4CD1">
                              <w:rPr>
                                <w:i/>
                                <w:iCs/>
                                <w:lang w:val="en-AU"/>
                              </w:rPr>
                              <w:t xml:space="preserve">The following </w:t>
                            </w:r>
                            <w:r w:rsidR="000417DA">
                              <w:rPr>
                                <w:i/>
                                <w:iCs/>
                                <w:lang w:val="en-AU"/>
                              </w:rPr>
                              <w:t>points</w:t>
                            </w:r>
                            <w:r w:rsidRPr="004E4CD1">
                              <w:rPr>
                                <w:i/>
                                <w:iCs/>
                                <w:lang w:val="en-AU"/>
                              </w:rPr>
                              <w:t xml:space="preserve"> are presented to stimulate discussion and reflection, highlighting potential areas for action. </w:t>
                            </w:r>
                            <w:r w:rsidR="00882572">
                              <w:rPr>
                                <w:i/>
                                <w:iCs/>
                                <w:lang w:val="en-AU"/>
                              </w:rPr>
                              <w:t xml:space="preserve">On the basis of the Part I discussion, guidance under this section will be drafted for discussion during Part II.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72B5B19C" id="_x0000_s1027" type="#_x0000_t202" style="position:absolute;left:0;text-align:left;margin-left:67pt;margin-top:.65pt;width:356.25pt;height:11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">
                <v:textbox style="mso-fit-shape-to-text:t">
                  <w:txbxContent>
                    <w:p w14:paraId="11E85C98" w14:textId="221CC5A4" w:rsidR="00D23F08" w:rsidRDefault="00D23F08" w:rsidP="000417DA">
                      <w:pPr>
                        <w:pStyle w:val="COMPara"/>
                        <w:ind w:left="0" w:firstLine="0"/>
                        <w:jc w:val="both"/>
                      </w:pPr>
                      <w:r w:rsidRPr="004E4CD1">
                        <w:rPr>
                          <w:i/>
                          <w:iCs/>
                          <w:lang w:val="en-AU"/>
                        </w:rPr>
                        <w:t xml:space="preserve">The following </w:t>
                      </w:r>
                      <w:r w:rsidR="000417DA">
                        <w:rPr>
                          <w:i/>
                          <w:iCs/>
                          <w:lang w:val="en-AU"/>
                        </w:rPr>
                        <w:t>points</w:t>
                      </w:r>
                      <w:r w:rsidRPr="004E4CD1">
                        <w:rPr>
                          <w:i/>
                          <w:iCs/>
                          <w:lang w:val="en-AU"/>
                        </w:rPr>
                        <w:t xml:space="preserve"> are presented to stimulate discussion and reflection, highlighting potential areas for action. </w:t>
                      </w:r>
                      <w:proofErr w:type="gramStart"/>
                      <w:r w:rsidR="00882572">
                        <w:rPr>
                          <w:i/>
                          <w:iCs/>
                          <w:lang w:val="en-AU"/>
                        </w:rPr>
                        <w:t>O</w:t>
                      </w:r>
                      <w:r w:rsidR="00882572">
                        <w:rPr>
                          <w:i/>
                          <w:iCs/>
                          <w:lang w:val="en-AU"/>
                        </w:rPr>
                        <w:t>n the basis of</w:t>
                      </w:r>
                      <w:proofErr w:type="gramEnd"/>
                      <w:r w:rsidR="00882572">
                        <w:rPr>
                          <w:i/>
                          <w:iCs/>
                          <w:lang w:val="en-AU"/>
                        </w:rPr>
                        <w:t xml:space="preserve"> the Part </w:t>
                      </w:r>
                      <w:r w:rsidR="00882572">
                        <w:rPr>
                          <w:i/>
                          <w:iCs/>
                          <w:lang w:val="en-AU"/>
                        </w:rPr>
                        <w:t>I</w:t>
                      </w:r>
                      <w:r w:rsidR="00882572">
                        <w:rPr>
                          <w:i/>
                          <w:iCs/>
                          <w:lang w:val="en-AU"/>
                        </w:rPr>
                        <w:t xml:space="preserve"> discussion</w:t>
                      </w:r>
                      <w:r w:rsidR="00882572">
                        <w:rPr>
                          <w:i/>
                          <w:iCs/>
                          <w:lang w:val="en-AU"/>
                        </w:rPr>
                        <w:t xml:space="preserve">, guidance under this section will be drafted for discussion during Part II. </w:t>
                      </w:r>
                    </w:p>
                  </w:txbxContent>
                </v:textbox>
                <w10:wrap type="tight"/>
              </v:shape>
            </w:pict>
          </mc:Fallback>
        </mc:AlternateContent>
      </w:r>
      <w:r w:rsidR="009C16BF" w:rsidRPr="000417DA">
        <w:rPr>
          <w:b/>
          <w:bCs/>
          <w:i/>
          <w:iCs/>
        </w:rPr>
        <w:t>Strengthen c</w:t>
      </w:r>
      <w:r w:rsidR="00371FC5" w:rsidRPr="000417DA">
        <w:rPr>
          <w:b/>
          <w:bCs/>
          <w:i/>
          <w:iCs/>
        </w:rPr>
        <w:t>ollaboration and partnerships</w:t>
      </w:r>
      <w:r w:rsidR="009C16BF" w:rsidRPr="000417DA">
        <w:rPr>
          <w:b/>
          <w:bCs/>
          <w:i/>
          <w:iCs/>
        </w:rPr>
        <w:t xml:space="preserve"> with key stakeholders</w:t>
      </w:r>
    </w:p>
    <w:p w14:paraId="6F6A8FEC" w14:textId="0E26AAFE" w:rsidR="001A5E0E" w:rsidRPr="000417DA" w:rsidRDefault="002E5584" w:rsidP="00D46F2D">
      <w:pPr>
        <w:pStyle w:val="COMPara"/>
        <w:widowControl w:val="0"/>
        <w:ind w:firstLine="0"/>
        <w:jc w:val="both"/>
        <w:rPr>
          <w:i/>
          <w:iCs/>
        </w:rPr>
      </w:pPr>
      <w:r w:rsidRPr="000417DA">
        <w:rPr>
          <w:i/>
          <w:iCs/>
        </w:rPr>
        <w:t>Partnerships and synergies</w:t>
      </w:r>
      <w:r w:rsidR="00131B8A" w:rsidRPr="000417DA">
        <w:rPr>
          <w:i/>
          <w:iCs/>
        </w:rPr>
        <w:t xml:space="preserve"> should be fostered between living heritage stakeholders, including communities, groups and individuals concerned as primary actors in safeguarding,</w:t>
      </w:r>
      <w:r w:rsidRPr="000417DA">
        <w:rPr>
          <w:i/>
          <w:iCs/>
        </w:rPr>
        <w:t xml:space="preserve"> </w:t>
      </w:r>
      <w:r w:rsidR="00BD3158" w:rsidRPr="000417DA">
        <w:rPr>
          <w:i/>
          <w:iCs/>
        </w:rPr>
        <w:t xml:space="preserve">and </w:t>
      </w:r>
      <w:r w:rsidR="001A5E0E" w:rsidRPr="000417DA">
        <w:rPr>
          <w:i/>
          <w:iCs/>
        </w:rPr>
        <w:t>relevant</w:t>
      </w:r>
      <w:r w:rsidRPr="000417DA">
        <w:rPr>
          <w:i/>
          <w:iCs/>
        </w:rPr>
        <w:t xml:space="preserve"> </w:t>
      </w:r>
      <w:r w:rsidRPr="000417DA">
        <w:rPr>
          <w:i/>
          <w:iCs/>
        </w:rPr>
        <w:lastRenderedPageBreak/>
        <w:t xml:space="preserve">institutions </w:t>
      </w:r>
      <w:r w:rsidR="00131B8A" w:rsidRPr="000417DA">
        <w:rPr>
          <w:i/>
          <w:iCs/>
        </w:rPr>
        <w:t>and actors relating to</w:t>
      </w:r>
      <w:r w:rsidR="001A5E0E" w:rsidRPr="000417DA">
        <w:rPr>
          <w:i/>
          <w:iCs/>
        </w:rPr>
        <w:t xml:space="preserve"> climate change</w:t>
      </w:r>
      <w:r w:rsidR="009863FC" w:rsidRPr="000417DA">
        <w:rPr>
          <w:i/>
          <w:iCs/>
        </w:rPr>
        <w:t xml:space="preserve">. </w:t>
      </w:r>
    </w:p>
    <w:p w14:paraId="612813E2" w14:textId="03991F54" w:rsidR="001A5E0E" w:rsidRPr="000417DA" w:rsidRDefault="00131B8A" w:rsidP="001A5E0E">
      <w:pPr>
        <w:pStyle w:val="COMPara"/>
        <w:keepNext/>
        <w:numPr>
          <w:ilvl w:val="0"/>
          <w:numId w:val="16"/>
        </w:numPr>
        <w:jc w:val="both"/>
        <w:rPr>
          <w:i/>
          <w:iCs/>
        </w:rPr>
      </w:pPr>
      <w:r w:rsidRPr="000417DA">
        <w:rPr>
          <w:i/>
          <w:iCs/>
        </w:rPr>
        <w:t>Strengthen</w:t>
      </w:r>
      <w:r w:rsidR="00C85065" w:rsidRPr="000417DA">
        <w:rPr>
          <w:i/>
          <w:iCs/>
        </w:rPr>
        <w:t xml:space="preserve"> </w:t>
      </w:r>
      <w:r w:rsidR="00911B46" w:rsidRPr="000417DA">
        <w:rPr>
          <w:i/>
          <w:iCs/>
        </w:rPr>
        <w:t>synergies</w:t>
      </w:r>
      <w:r w:rsidR="001A5E0E" w:rsidRPr="000417DA">
        <w:rPr>
          <w:i/>
          <w:iCs/>
        </w:rPr>
        <w:t xml:space="preserve"> among </w:t>
      </w:r>
      <w:r w:rsidR="00911B46" w:rsidRPr="000417DA">
        <w:rPr>
          <w:i/>
          <w:iCs/>
        </w:rPr>
        <w:t>UNESCO Culture Conventions</w:t>
      </w:r>
      <w:r w:rsidR="001A5E0E" w:rsidRPr="000417DA">
        <w:rPr>
          <w:i/>
          <w:iCs/>
        </w:rPr>
        <w:t xml:space="preserve"> and stakeholders working on</w:t>
      </w:r>
      <w:r w:rsidR="00EB0345" w:rsidRPr="000417DA">
        <w:rPr>
          <w:i/>
          <w:iCs/>
        </w:rPr>
        <w:t xml:space="preserve"> cultural (tangible and intangible)</w:t>
      </w:r>
      <w:r w:rsidR="00FF32D5" w:rsidRPr="000417DA">
        <w:rPr>
          <w:i/>
          <w:iCs/>
        </w:rPr>
        <w:t xml:space="preserve"> and on natural heritage, as well as the cultural and creative industries</w:t>
      </w:r>
      <w:r w:rsidR="001A5E0E" w:rsidRPr="000417DA">
        <w:rPr>
          <w:i/>
          <w:iCs/>
        </w:rPr>
        <w:t>;</w:t>
      </w:r>
    </w:p>
    <w:p w14:paraId="4A26F6FB" w14:textId="2066E292" w:rsidR="001A5E0E" w:rsidRPr="000417DA" w:rsidRDefault="001A5E0E" w:rsidP="001A5E0E">
      <w:pPr>
        <w:pStyle w:val="COMPara"/>
        <w:keepNext/>
        <w:numPr>
          <w:ilvl w:val="0"/>
          <w:numId w:val="16"/>
        </w:numPr>
        <w:jc w:val="both"/>
        <w:rPr>
          <w:i/>
          <w:iCs/>
        </w:rPr>
      </w:pPr>
      <w:r w:rsidRPr="000417DA">
        <w:rPr>
          <w:i/>
          <w:iCs/>
        </w:rPr>
        <w:t>Address climate change adaptation within an emergency framework</w:t>
      </w:r>
      <w:r w:rsidR="00773B6D" w:rsidRPr="000417DA">
        <w:rPr>
          <w:i/>
          <w:iCs/>
        </w:rPr>
        <w:t xml:space="preserve">, including </w:t>
      </w:r>
      <w:r w:rsidR="007B7C4B" w:rsidRPr="000417DA">
        <w:rPr>
          <w:i/>
          <w:iCs/>
        </w:rPr>
        <w:t xml:space="preserve">disaster risk reduction, </w:t>
      </w:r>
      <w:r w:rsidR="00773B6D" w:rsidRPr="000417DA">
        <w:rPr>
          <w:i/>
          <w:iCs/>
        </w:rPr>
        <w:t xml:space="preserve">conflict </w:t>
      </w:r>
      <w:r w:rsidR="007B7C4B" w:rsidRPr="000417DA">
        <w:rPr>
          <w:i/>
          <w:iCs/>
        </w:rPr>
        <w:t xml:space="preserve">and </w:t>
      </w:r>
      <w:r w:rsidR="00773B6D" w:rsidRPr="000417DA">
        <w:rPr>
          <w:i/>
          <w:iCs/>
        </w:rPr>
        <w:t>pandemic disease</w:t>
      </w:r>
      <w:r w:rsidRPr="000417DA">
        <w:rPr>
          <w:i/>
          <w:iCs/>
        </w:rPr>
        <w:t>;</w:t>
      </w:r>
    </w:p>
    <w:p w14:paraId="0711C7C2" w14:textId="03AD6009" w:rsidR="001A5E0E" w:rsidRPr="000417DA" w:rsidRDefault="001A5E0E" w:rsidP="001A5E0E">
      <w:pPr>
        <w:pStyle w:val="COMPara"/>
        <w:keepNext/>
        <w:numPr>
          <w:ilvl w:val="0"/>
          <w:numId w:val="16"/>
        </w:numPr>
        <w:jc w:val="both"/>
        <w:rPr>
          <w:i/>
          <w:iCs/>
        </w:rPr>
      </w:pPr>
      <w:r w:rsidRPr="000417DA">
        <w:rPr>
          <w:i/>
          <w:iCs/>
        </w:rPr>
        <w:t>Deepen engagement amongst living heritage stakeholders</w:t>
      </w:r>
      <w:r w:rsidR="007B7C4B" w:rsidRPr="000417DA">
        <w:rPr>
          <w:i/>
          <w:iCs/>
        </w:rPr>
        <w:t>,</w:t>
      </w:r>
      <w:r w:rsidRPr="000417DA">
        <w:rPr>
          <w:i/>
          <w:iCs/>
        </w:rPr>
        <w:t xml:space="preserve"> including bearers and practitioners,</w:t>
      </w:r>
      <w:r w:rsidR="006F40B0" w:rsidRPr="000417DA">
        <w:rPr>
          <w:i/>
          <w:iCs/>
        </w:rPr>
        <w:t xml:space="preserve"> Indigenous Peoples,</w:t>
      </w:r>
      <w:r w:rsidRPr="000417DA">
        <w:rPr>
          <w:i/>
          <w:iCs/>
        </w:rPr>
        <w:t xml:space="preserve"> researchers, NGOs, institutions and States Parties;</w:t>
      </w:r>
    </w:p>
    <w:p w14:paraId="669CEC80" w14:textId="3F6CFC27" w:rsidR="001A5E0E" w:rsidRPr="000417DA" w:rsidRDefault="001A5E0E" w:rsidP="001A5E0E">
      <w:pPr>
        <w:pStyle w:val="COMPara"/>
        <w:keepNext/>
        <w:numPr>
          <w:ilvl w:val="0"/>
          <w:numId w:val="16"/>
        </w:numPr>
        <w:jc w:val="both"/>
        <w:rPr>
          <w:i/>
          <w:iCs/>
        </w:rPr>
      </w:pPr>
      <w:r w:rsidRPr="000417DA">
        <w:rPr>
          <w:i/>
          <w:iCs/>
        </w:rPr>
        <w:t xml:space="preserve">Invest </w:t>
      </w:r>
      <w:r w:rsidR="008F5923" w:rsidRPr="000417DA">
        <w:rPr>
          <w:i/>
          <w:iCs/>
        </w:rPr>
        <w:t xml:space="preserve">in </w:t>
      </w:r>
      <w:r w:rsidRPr="000417DA">
        <w:rPr>
          <w:i/>
          <w:iCs/>
        </w:rPr>
        <w:t>strategic partnerships both within and beyond the heritage and climate change sectors</w:t>
      </w:r>
      <w:r w:rsidR="00157A1B" w:rsidRPr="000417DA">
        <w:rPr>
          <w:i/>
          <w:iCs/>
        </w:rPr>
        <w:t>, including with</w:t>
      </w:r>
      <w:r w:rsidR="0011384C" w:rsidRPr="000417DA">
        <w:rPr>
          <w:i/>
          <w:iCs/>
        </w:rPr>
        <w:t xml:space="preserve"> relevant</w:t>
      </w:r>
      <w:r w:rsidR="00157A1B" w:rsidRPr="000417DA">
        <w:rPr>
          <w:i/>
          <w:iCs/>
        </w:rPr>
        <w:t xml:space="preserve"> humanitarian and United Nations organizations</w:t>
      </w:r>
      <w:r w:rsidRPr="000417DA">
        <w:rPr>
          <w:i/>
          <w:iCs/>
        </w:rPr>
        <w:t>;</w:t>
      </w:r>
    </w:p>
    <w:p w14:paraId="2262BE87" w14:textId="215E96C2" w:rsidR="001A5E0E" w:rsidRPr="000417DA" w:rsidRDefault="001A5E0E" w:rsidP="001A5E0E">
      <w:pPr>
        <w:pStyle w:val="COMPara"/>
        <w:keepNext/>
        <w:numPr>
          <w:ilvl w:val="0"/>
          <w:numId w:val="16"/>
        </w:numPr>
        <w:jc w:val="both"/>
        <w:rPr>
          <w:i/>
          <w:iCs/>
        </w:rPr>
      </w:pPr>
      <w:r w:rsidRPr="000417DA">
        <w:rPr>
          <w:i/>
          <w:iCs/>
        </w:rPr>
        <w:t>Develo</w:t>
      </w:r>
      <w:r w:rsidR="00C85065" w:rsidRPr="000417DA">
        <w:rPr>
          <w:i/>
          <w:iCs/>
        </w:rPr>
        <w:t>p</w:t>
      </w:r>
      <w:r w:rsidRPr="000417DA">
        <w:rPr>
          <w:i/>
          <w:iCs/>
        </w:rPr>
        <w:t>, where appropriate, regional partnerships</w:t>
      </w:r>
      <w:r w:rsidR="005F49FB" w:rsidRPr="000417DA">
        <w:rPr>
          <w:i/>
          <w:iCs/>
        </w:rPr>
        <w:t>.</w:t>
      </w:r>
    </w:p>
    <w:p w14:paraId="2138A6C6" w14:textId="60FCE73C" w:rsidR="00D9015E" w:rsidRPr="000417DA" w:rsidRDefault="00D9015E" w:rsidP="00F544D6">
      <w:pPr>
        <w:pStyle w:val="COMPara"/>
        <w:keepNext/>
        <w:numPr>
          <w:ilvl w:val="0"/>
          <w:numId w:val="24"/>
        </w:numPr>
        <w:jc w:val="both"/>
        <w:rPr>
          <w:b/>
          <w:bCs/>
          <w:i/>
          <w:iCs/>
        </w:rPr>
      </w:pPr>
      <w:r w:rsidRPr="000417DA">
        <w:rPr>
          <w:b/>
          <w:bCs/>
          <w:i/>
          <w:iCs/>
        </w:rPr>
        <w:t>Promote further research and case study development</w:t>
      </w:r>
    </w:p>
    <w:p w14:paraId="7BAEDA72" w14:textId="3D9E58E2" w:rsidR="00A3032D" w:rsidRPr="000417DA" w:rsidRDefault="00B43F93">
      <w:pPr>
        <w:pStyle w:val="COMPara"/>
        <w:keepNext/>
        <w:ind w:firstLine="0"/>
        <w:jc w:val="both"/>
        <w:rPr>
          <w:i/>
          <w:iCs/>
        </w:rPr>
      </w:pPr>
      <w:r w:rsidRPr="000417DA">
        <w:rPr>
          <w:i/>
          <w:iCs/>
        </w:rPr>
        <w:t>All stakeholders are invited to f</w:t>
      </w:r>
      <w:r w:rsidR="004E1146" w:rsidRPr="000417DA">
        <w:rPr>
          <w:i/>
          <w:iCs/>
        </w:rPr>
        <w:t xml:space="preserve">oster </w:t>
      </w:r>
      <w:r w:rsidR="002E5584" w:rsidRPr="000417DA">
        <w:rPr>
          <w:i/>
          <w:iCs/>
        </w:rPr>
        <w:t>researc</w:t>
      </w:r>
      <w:r w:rsidR="004E1146" w:rsidRPr="000417DA">
        <w:rPr>
          <w:i/>
          <w:iCs/>
        </w:rPr>
        <w:t xml:space="preserve">h and case studies, notably those conducted by the communities and groups themselves, aimed at understanding the </w:t>
      </w:r>
      <w:r w:rsidR="002E5584" w:rsidRPr="000417DA">
        <w:rPr>
          <w:i/>
          <w:iCs/>
        </w:rPr>
        <w:t xml:space="preserve">climate change dimensions of living heritage safeguarding under the 2003 Convention. </w:t>
      </w:r>
      <w:r w:rsidR="00C85065" w:rsidRPr="000417DA">
        <w:rPr>
          <w:i/>
          <w:iCs/>
        </w:rPr>
        <w:t>Key areas for consideration:</w:t>
      </w:r>
    </w:p>
    <w:p w14:paraId="7FAE079C" w14:textId="19033FF2" w:rsidR="00A3032D" w:rsidRPr="000417DA" w:rsidRDefault="00A3032D" w:rsidP="00A3032D">
      <w:pPr>
        <w:pStyle w:val="COMPara"/>
        <w:keepNext/>
        <w:numPr>
          <w:ilvl w:val="0"/>
          <w:numId w:val="17"/>
        </w:numPr>
        <w:jc w:val="both"/>
        <w:rPr>
          <w:i/>
          <w:iCs/>
        </w:rPr>
      </w:pPr>
      <w:r w:rsidRPr="000417DA">
        <w:rPr>
          <w:i/>
          <w:iCs/>
        </w:rPr>
        <w:t xml:space="preserve">The </w:t>
      </w:r>
      <w:r w:rsidR="002E5584" w:rsidRPr="000417DA">
        <w:rPr>
          <w:i/>
          <w:iCs/>
        </w:rPr>
        <w:t xml:space="preserve">vulnerability </w:t>
      </w:r>
      <w:r w:rsidR="00615D44" w:rsidRPr="000417DA">
        <w:rPr>
          <w:i/>
          <w:iCs/>
        </w:rPr>
        <w:t xml:space="preserve">of living heritage safeguarding and transmission </w:t>
      </w:r>
      <w:r w:rsidR="002E5584" w:rsidRPr="000417DA">
        <w:rPr>
          <w:i/>
          <w:iCs/>
        </w:rPr>
        <w:t xml:space="preserve">to climate change impacts; </w:t>
      </w:r>
    </w:p>
    <w:p w14:paraId="07A58AC6" w14:textId="2D49FA75" w:rsidR="00A3032D" w:rsidRPr="000417DA" w:rsidRDefault="00C520B8" w:rsidP="00A3032D">
      <w:pPr>
        <w:pStyle w:val="COMPara"/>
        <w:keepNext/>
        <w:numPr>
          <w:ilvl w:val="0"/>
          <w:numId w:val="17"/>
        </w:numPr>
        <w:jc w:val="both"/>
        <w:rPr>
          <w:i/>
          <w:iCs/>
        </w:rPr>
      </w:pPr>
      <w:r w:rsidRPr="000417DA">
        <w:rPr>
          <w:bCs/>
          <w:noProof/>
          <w:lang w:val="en-AU"/>
        </w:rPr>
        <mc:AlternateContent>
          <mc:Choice Requires="wps">
            <w:drawing>
              <wp:anchor distT="45720" distB="45720" distL="114300" distR="114300" simplePos="0" relativeHeight="251662336" behindDoc="1" locked="0" layoutInCell="1" allowOverlap="1" wp14:anchorId="79BC33AE" wp14:editId="645874C4">
                <wp:simplePos x="0" y="0"/>
                <wp:positionH relativeFrom="column">
                  <wp:posOffset>441537</wp:posOffset>
                </wp:positionH>
                <wp:positionV relativeFrom="paragraph">
                  <wp:posOffset>115994</wp:posOffset>
                </wp:positionV>
                <wp:extent cx="5478249" cy="1404620"/>
                <wp:effectExtent l="0" t="1238250" r="0" b="1245870"/>
                <wp:wrapNone/>
                <wp:docPr id="16612259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32894">
                          <a:off x="0" y="0"/>
                          <a:ext cx="5478249" cy="1404620"/>
                        </a:xfrm>
                        <a:prstGeom prst="rect">
                          <a:avLst/>
                        </a:prstGeom>
                        <a:noFill/>
                        <a:ln w="9525">
                          <a:noFill/>
                          <a:miter lim="800000"/>
                          <a:headEnd/>
                          <a:tailEnd/>
                        </a:ln>
                      </wps:spPr>
                      <wps:txbx>
                        <w:txbxContent>
                          <w:p w14:paraId="121166F6" w14:textId="77777777" w:rsidR="000417DA" w:rsidRPr="000417DA" w:rsidRDefault="000417DA" w:rsidP="000417DA">
                            <w:pPr>
                              <w:rPr>
                                <w:rFonts w:ascii="Arial" w:hAnsi="Arial" w:cs="Arial"/>
                                <w:color w:val="D9D9D9" w:themeColor="background1" w:themeShade="D9"/>
                                <w:sz w:val="220"/>
                                <w:szCs w:val="220"/>
                                <w:lang w:val="en-US"/>
                              </w:rPr>
                            </w:pPr>
                            <w:r w:rsidRPr="000417DA">
                              <w:rPr>
                                <w:rFonts w:ascii="Arial" w:hAnsi="Arial" w:cs="Arial"/>
                                <w:color w:val="D9D9D9" w:themeColor="background1" w:themeShade="D9"/>
                                <w:sz w:val="220"/>
                                <w:szCs w:val="220"/>
                              </w:rPr>
                              <w:t>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BC33AE" id="_x0000_t202" coordsize="21600,21600" o:spt="202" path="m,l,21600r21600,l21600,xe">
                <v:stroke joinstyle="miter"/>
                <v:path gradientshapeok="t" o:connecttype="rect"/>
              </v:shapetype>
              <v:shape id="_x0000_s1028" type="#_x0000_t202" style="position:absolute;left:0;text-align:left;margin-left:34.75pt;margin-top:9.15pt;width:431.35pt;height:110.6pt;rotation:-2039378fd;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" filled="f" stroked="f">
                <v:textbox style="mso-fit-shape-to-text:t">
                  <w:txbxContent>
                    <w:p w14:paraId="121166F6" w14:textId="77777777" w:rsidR="000417DA" w:rsidRPr="000417DA" w:rsidRDefault="000417DA" w:rsidP="000417DA">
                      <w:pPr>
                        <w:rPr>
                          <w:rFonts w:ascii="Arial" w:hAnsi="Arial" w:cs="Arial"/>
                          <w:color w:val="D9D9D9" w:themeColor="background1" w:themeShade="D9"/>
                          <w:sz w:val="220"/>
                          <w:szCs w:val="220"/>
                          <w:lang w:val="en-US"/>
                        </w:rPr>
                      </w:pPr>
                      <w:r w:rsidRPr="000417DA">
                        <w:rPr>
                          <w:rFonts w:ascii="Arial" w:hAnsi="Arial" w:cs="Arial"/>
                          <w:color w:val="D9D9D9" w:themeColor="background1" w:themeShade="D9"/>
                          <w:sz w:val="220"/>
                          <w:szCs w:val="220"/>
                        </w:rPr>
                        <w:t>DRAFT</w:t>
                      </w:r>
                    </w:p>
                  </w:txbxContent>
                </v:textbox>
              </v:shape>
            </w:pict>
          </mc:Fallback>
        </mc:AlternateContent>
      </w:r>
      <w:r w:rsidR="00A3032D" w:rsidRPr="000417DA">
        <w:rPr>
          <w:i/>
          <w:iCs/>
        </w:rPr>
        <w:t>T</w:t>
      </w:r>
      <w:r w:rsidR="002E5584" w:rsidRPr="000417DA">
        <w:rPr>
          <w:i/>
          <w:iCs/>
        </w:rPr>
        <w:t>he interdependence of tangible and intangible forms of heritage in a climate change context;</w:t>
      </w:r>
    </w:p>
    <w:p w14:paraId="73FA3ACD" w14:textId="3A0452A2" w:rsidR="00A3032D" w:rsidRPr="000417DA" w:rsidRDefault="00A3032D" w:rsidP="00A3032D">
      <w:pPr>
        <w:pStyle w:val="COMPara"/>
        <w:keepNext/>
        <w:numPr>
          <w:ilvl w:val="0"/>
          <w:numId w:val="17"/>
        </w:numPr>
        <w:jc w:val="both"/>
        <w:rPr>
          <w:i/>
          <w:iCs/>
        </w:rPr>
      </w:pPr>
      <w:r w:rsidRPr="000417DA">
        <w:rPr>
          <w:i/>
          <w:iCs/>
        </w:rPr>
        <w:t>T</w:t>
      </w:r>
      <w:r w:rsidR="002E5584" w:rsidRPr="000417DA">
        <w:rPr>
          <w:i/>
          <w:iCs/>
        </w:rPr>
        <w:t xml:space="preserve">he relationship between living heritage and livelihoods in </w:t>
      </w:r>
      <w:r w:rsidR="00157A1B" w:rsidRPr="000417DA">
        <w:rPr>
          <w:i/>
          <w:iCs/>
        </w:rPr>
        <w:t>the context of</w:t>
      </w:r>
      <w:r w:rsidR="002E5584" w:rsidRPr="000417DA">
        <w:rPr>
          <w:i/>
          <w:iCs/>
        </w:rPr>
        <w:t xml:space="preserve"> climate change; </w:t>
      </w:r>
    </w:p>
    <w:p w14:paraId="4AC71DC1" w14:textId="774FC5B5" w:rsidR="00A3032D" w:rsidRPr="000417DA" w:rsidRDefault="00091BDC" w:rsidP="00A3032D">
      <w:pPr>
        <w:pStyle w:val="COMPara"/>
        <w:keepNext/>
        <w:numPr>
          <w:ilvl w:val="0"/>
          <w:numId w:val="17"/>
        </w:numPr>
        <w:jc w:val="both"/>
        <w:rPr>
          <w:i/>
          <w:iCs/>
        </w:rPr>
      </w:pPr>
      <w:r w:rsidRPr="000417DA">
        <w:rPr>
          <w:i/>
          <w:iCs/>
        </w:rPr>
        <w:t>The integration of</w:t>
      </w:r>
      <w:r w:rsidR="002E5584" w:rsidRPr="000417DA">
        <w:rPr>
          <w:i/>
          <w:iCs/>
        </w:rPr>
        <w:t xml:space="preserve"> human and cultural rights frameworks</w:t>
      </w:r>
      <w:r w:rsidRPr="000417DA">
        <w:rPr>
          <w:i/>
          <w:iCs/>
        </w:rPr>
        <w:t xml:space="preserve"> into climate action for living heritage</w:t>
      </w:r>
      <w:r w:rsidR="002E5584" w:rsidRPr="000417DA">
        <w:rPr>
          <w:i/>
          <w:iCs/>
        </w:rPr>
        <w:t>;</w:t>
      </w:r>
    </w:p>
    <w:p w14:paraId="487B8ECC" w14:textId="3DBE6608" w:rsidR="007E3518" w:rsidRPr="000417DA" w:rsidRDefault="00FC5228" w:rsidP="00A3032D">
      <w:pPr>
        <w:pStyle w:val="COMPara"/>
        <w:keepNext/>
        <w:numPr>
          <w:ilvl w:val="0"/>
          <w:numId w:val="17"/>
        </w:numPr>
        <w:jc w:val="both"/>
        <w:rPr>
          <w:i/>
          <w:iCs/>
        </w:rPr>
      </w:pPr>
      <w:r w:rsidRPr="000417DA">
        <w:rPr>
          <w:i/>
          <w:iCs/>
        </w:rPr>
        <w:t>Cross-sectoral and i</w:t>
      </w:r>
      <w:r w:rsidR="007E3518" w:rsidRPr="000417DA">
        <w:rPr>
          <w:i/>
          <w:iCs/>
        </w:rPr>
        <w:t>nterdisciplinary research approaches and methodologies</w:t>
      </w:r>
    </w:p>
    <w:p w14:paraId="4BB9E5C0" w14:textId="3EBA5567" w:rsidR="004211E5" w:rsidRPr="000417DA" w:rsidRDefault="00A3032D" w:rsidP="00F544D6">
      <w:pPr>
        <w:pStyle w:val="COMPara"/>
        <w:keepNext/>
        <w:numPr>
          <w:ilvl w:val="0"/>
          <w:numId w:val="17"/>
        </w:numPr>
        <w:jc w:val="both"/>
        <w:rPr>
          <w:i/>
          <w:iCs/>
        </w:rPr>
      </w:pPr>
      <w:r w:rsidRPr="000417DA">
        <w:rPr>
          <w:i/>
          <w:iCs/>
        </w:rPr>
        <w:t>T</w:t>
      </w:r>
      <w:r w:rsidR="002E5584" w:rsidRPr="000417DA">
        <w:rPr>
          <w:i/>
          <w:iCs/>
        </w:rPr>
        <w:t>he challenges of climate change impact and possible dislocation to place-based forms of living heritage</w:t>
      </w:r>
      <w:r w:rsidR="008F29E5" w:rsidRPr="000417DA">
        <w:rPr>
          <w:i/>
          <w:iCs/>
        </w:rPr>
        <w:t>.</w:t>
      </w:r>
    </w:p>
    <w:p w14:paraId="7963DC51" w14:textId="169BCF68" w:rsidR="00371FC5" w:rsidRPr="000417DA" w:rsidRDefault="001D7767" w:rsidP="00F544D6">
      <w:pPr>
        <w:pStyle w:val="COMPara"/>
        <w:keepNext/>
        <w:numPr>
          <w:ilvl w:val="0"/>
          <w:numId w:val="24"/>
        </w:numPr>
        <w:jc w:val="both"/>
        <w:rPr>
          <w:b/>
          <w:bCs/>
          <w:i/>
          <w:iCs/>
        </w:rPr>
      </w:pPr>
      <w:r w:rsidRPr="000417DA">
        <w:rPr>
          <w:b/>
          <w:bCs/>
          <w:i/>
          <w:iCs/>
        </w:rPr>
        <w:t xml:space="preserve">Design and implement </w:t>
      </w:r>
      <w:r w:rsidR="009C16BF" w:rsidRPr="000417DA">
        <w:rPr>
          <w:b/>
          <w:bCs/>
          <w:i/>
          <w:iCs/>
        </w:rPr>
        <w:t xml:space="preserve">policy </w:t>
      </w:r>
      <w:r w:rsidR="00C85065" w:rsidRPr="000417DA">
        <w:rPr>
          <w:b/>
          <w:bCs/>
          <w:i/>
          <w:iCs/>
        </w:rPr>
        <w:t>and advocacy</w:t>
      </w:r>
    </w:p>
    <w:p w14:paraId="70E7B963" w14:textId="0F51606A" w:rsidR="00E851AB" w:rsidRPr="000417DA" w:rsidRDefault="004A6A33">
      <w:pPr>
        <w:pStyle w:val="COMPara"/>
        <w:keepNext/>
        <w:ind w:firstLine="0"/>
        <w:jc w:val="both"/>
        <w:rPr>
          <w:i/>
          <w:iCs/>
          <w:lang w:val="en-AU"/>
        </w:rPr>
      </w:pPr>
      <w:r w:rsidRPr="000417DA">
        <w:rPr>
          <w:i/>
          <w:iCs/>
          <w:lang w:val="en-AU"/>
        </w:rPr>
        <w:t>States Parties are encouraged to develop</w:t>
      </w:r>
      <w:r w:rsidR="001C345F" w:rsidRPr="000417DA">
        <w:rPr>
          <w:i/>
          <w:iCs/>
          <w:lang w:val="en-AU"/>
        </w:rPr>
        <w:t xml:space="preserve"> policy </w:t>
      </w:r>
      <w:r w:rsidR="00712C3E" w:rsidRPr="000417DA">
        <w:rPr>
          <w:i/>
          <w:iCs/>
          <w:lang w:val="en-AU"/>
        </w:rPr>
        <w:t>guidance for stakeholders at all levels</w:t>
      </w:r>
      <w:r w:rsidR="00A3777D" w:rsidRPr="000417DA">
        <w:rPr>
          <w:i/>
          <w:iCs/>
          <w:lang w:val="en-AU"/>
        </w:rPr>
        <w:t xml:space="preserve"> on how best to integrate living heritage into strategies, plans and programmes for climate change adaptation and mitigation as well as for safeguarding in the context of the climate emergency. </w:t>
      </w:r>
    </w:p>
    <w:p w14:paraId="5E661CD5" w14:textId="78F15081" w:rsidR="003800BF" w:rsidRPr="000417DA" w:rsidRDefault="00090F5C" w:rsidP="00972E7E">
      <w:pPr>
        <w:pStyle w:val="COMPara"/>
        <w:keepNext/>
        <w:numPr>
          <w:ilvl w:val="0"/>
          <w:numId w:val="18"/>
        </w:numPr>
        <w:ind w:left="720"/>
        <w:jc w:val="both"/>
        <w:rPr>
          <w:i/>
          <w:iCs/>
        </w:rPr>
      </w:pPr>
      <w:r w:rsidRPr="000417DA">
        <w:rPr>
          <w:i/>
          <w:iCs/>
          <w:lang w:val="en-AU"/>
        </w:rPr>
        <w:t>Adopt</w:t>
      </w:r>
      <w:r w:rsidR="00972E7E" w:rsidRPr="000417DA">
        <w:rPr>
          <w:i/>
          <w:iCs/>
          <w:lang w:val="en-AU"/>
        </w:rPr>
        <w:t xml:space="preserve"> appropriate legal, technical, administrative and financial measures to</w:t>
      </w:r>
      <w:r w:rsidR="003800BF" w:rsidRPr="000417DA">
        <w:rPr>
          <w:i/>
          <w:iCs/>
          <w:lang w:val="en-AU"/>
        </w:rPr>
        <w:t>:</w:t>
      </w:r>
    </w:p>
    <w:p w14:paraId="3352BFA4" w14:textId="7634432A" w:rsidR="00B43F93" w:rsidRPr="000417DA" w:rsidRDefault="00B43F93" w:rsidP="00B43F93">
      <w:pPr>
        <w:pStyle w:val="COMPara"/>
        <w:keepNext/>
        <w:numPr>
          <w:ilvl w:val="1"/>
          <w:numId w:val="18"/>
        </w:numPr>
        <w:ind w:left="1170"/>
        <w:jc w:val="both"/>
        <w:rPr>
          <w:i/>
          <w:iCs/>
        </w:rPr>
      </w:pPr>
      <w:r w:rsidRPr="000417DA">
        <w:rPr>
          <w:i/>
          <w:iCs/>
          <w:lang w:val="en-AU"/>
        </w:rPr>
        <w:t xml:space="preserve">Fully </w:t>
      </w:r>
      <w:r w:rsidR="002A0EF4" w:rsidRPr="000417DA">
        <w:rPr>
          <w:i/>
          <w:iCs/>
          <w:lang w:val="en-AU"/>
        </w:rPr>
        <w:t>integrate</w:t>
      </w:r>
      <w:r w:rsidRPr="000417DA">
        <w:rPr>
          <w:i/>
          <w:iCs/>
          <w:lang w:val="en-AU"/>
        </w:rPr>
        <w:t xml:space="preserve"> communities, groups and individuals into systems and programmes of disaster risk reduction, disaster recovery and climate change adaptation and mitigation;</w:t>
      </w:r>
    </w:p>
    <w:p w14:paraId="38F8F590" w14:textId="254DC574" w:rsidR="003800BF" w:rsidRPr="000417DA" w:rsidRDefault="003800BF" w:rsidP="00F544D6">
      <w:pPr>
        <w:pStyle w:val="COMPara"/>
        <w:keepNext/>
        <w:numPr>
          <w:ilvl w:val="1"/>
          <w:numId w:val="18"/>
        </w:numPr>
        <w:ind w:left="1170"/>
        <w:jc w:val="both"/>
        <w:rPr>
          <w:i/>
          <w:iCs/>
        </w:rPr>
      </w:pPr>
      <w:r w:rsidRPr="000417DA">
        <w:rPr>
          <w:i/>
          <w:iCs/>
          <w:lang w:val="en-AU"/>
        </w:rPr>
        <w:t>P</w:t>
      </w:r>
      <w:proofErr w:type="spellStart"/>
      <w:r w:rsidRPr="000417DA">
        <w:rPr>
          <w:i/>
          <w:iCs/>
        </w:rPr>
        <w:t>romote</w:t>
      </w:r>
      <w:proofErr w:type="spellEnd"/>
      <w:r w:rsidRPr="000417DA">
        <w:rPr>
          <w:i/>
          <w:iCs/>
        </w:rPr>
        <w:t xml:space="preserve"> access to knowledge concerning the earth and the climate that is recognized by communities, groups and in some cases individuals as part of their intangible cultural heritage, while respecting customary practices governing access to specific aspects of it;</w:t>
      </w:r>
    </w:p>
    <w:p w14:paraId="3BC2A64E" w14:textId="623A8123" w:rsidR="002262BA" w:rsidRPr="000417DA" w:rsidRDefault="00090F5C" w:rsidP="00344143">
      <w:pPr>
        <w:pStyle w:val="COMPara"/>
        <w:widowControl w:val="0"/>
        <w:numPr>
          <w:ilvl w:val="0"/>
          <w:numId w:val="18"/>
        </w:numPr>
        <w:ind w:left="720"/>
        <w:jc w:val="both"/>
        <w:rPr>
          <w:i/>
          <w:iCs/>
        </w:rPr>
      </w:pPr>
      <w:r w:rsidRPr="000417DA">
        <w:rPr>
          <w:i/>
          <w:iCs/>
          <w:lang w:val="en-AU"/>
        </w:rPr>
        <w:t>Establish</w:t>
      </w:r>
      <w:r w:rsidR="00A650DF" w:rsidRPr="000417DA">
        <w:rPr>
          <w:i/>
          <w:iCs/>
          <w:lang w:val="en-AU"/>
        </w:rPr>
        <w:t xml:space="preserve"> effective monitoring and evaluation mechanisms</w:t>
      </w:r>
      <w:r w:rsidR="00FF4213" w:rsidRPr="000417DA">
        <w:rPr>
          <w:i/>
          <w:iCs/>
          <w:lang w:val="en-AU"/>
        </w:rPr>
        <w:t>, with appropriate indicators,</w:t>
      </w:r>
      <w:r w:rsidR="00A650DF" w:rsidRPr="000417DA">
        <w:rPr>
          <w:i/>
          <w:iCs/>
          <w:lang w:val="en-AU"/>
        </w:rPr>
        <w:t xml:space="preserve"> on the regional, national or sub-national level, in which communities and/or organizations are fairly represented, to determine the challenges faced by communities, groups and individuals </w:t>
      </w:r>
      <w:r w:rsidR="00D45E01" w:rsidRPr="000417DA">
        <w:rPr>
          <w:i/>
          <w:iCs/>
          <w:lang w:val="en-AU"/>
        </w:rPr>
        <w:t>regarding</w:t>
      </w:r>
      <w:r w:rsidR="00A650DF" w:rsidRPr="000417DA">
        <w:rPr>
          <w:i/>
          <w:iCs/>
          <w:lang w:val="en-AU"/>
        </w:rPr>
        <w:t xml:space="preserve"> </w:t>
      </w:r>
      <w:r w:rsidR="00D45E01" w:rsidRPr="000417DA">
        <w:rPr>
          <w:i/>
          <w:iCs/>
          <w:lang w:val="en-AU"/>
        </w:rPr>
        <w:t>climate</w:t>
      </w:r>
      <w:r w:rsidR="00A650DF" w:rsidRPr="000417DA">
        <w:rPr>
          <w:i/>
          <w:iCs/>
          <w:lang w:val="en-AU"/>
        </w:rPr>
        <w:t xml:space="preserve"> change adaptation, mitigation and safeguarding</w:t>
      </w:r>
      <w:r w:rsidR="00D45E01" w:rsidRPr="000417DA">
        <w:rPr>
          <w:i/>
          <w:iCs/>
          <w:lang w:val="en-AU"/>
        </w:rPr>
        <w:t>;</w:t>
      </w:r>
    </w:p>
    <w:p w14:paraId="3CEA5458" w14:textId="6DDF5677" w:rsidR="002A0EF4" w:rsidRPr="000417DA" w:rsidRDefault="00366A03" w:rsidP="00344143">
      <w:pPr>
        <w:pStyle w:val="COMPara"/>
        <w:widowControl w:val="0"/>
        <w:numPr>
          <w:ilvl w:val="0"/>
          <w:numId w:val="18"/>
        </w:numPr>
        <w:ind w:left="720"/>
        <w:jc w:val="both"/>
        <w:rPr>
          <w:i/>
          <w:iCs/>
        </w:rPr>
      </w:pPr>
      <w:r w:rsidRPr="000417DA">
        <w:rPr>
          <w:i/>
          <w:iCs/>
          <w:lang w:val="en-AU"/>
        </w:rPr>
        <w:t>A</w:t>
      </w:r>
      <w:proofErr w:type="spellStart"/>
      <w:r w:rsidRPr="000417DA">
        <w:rPr>
          <w:i/>
          <w:iCs/>
        </w:rPr>
        <w:t>dvocate</w:t>
      </w:r>
      <w:proofErr w:type="spellEnd"/>
      <w:r w:rsidR="004A7CF9" w:rsidRPr="000417DA">
        <w:rPr>
          <w:i/>
          <w:iCs/>
        </w:rPr>
        <w:t xml:space="preserve"> for</w:t>
      </w:r>
      <w:r w:rsidRPr="000417DA">
        <w:rPr>
          <w:i/>
          <w:iCs/>
        </w:rPr>
        <w:t xml:space="preserve"> </w:t>
      </w:r>
      <w:r w:rsidR="00A97E1D" w:rsidRPr="000417DA">
        <w:rPr>
          <w:i/>
          <w:iCs/>
        </w:rPr>
        <w:t>the role of living heritage in</w:t>
      </w:r>
      <w:r w:rsidRPr="000417DA">
        <w:rPr>
          <w:i/>
          <w:iCs/>
        </w:rPr>
        <w:t xml:space="preserve"> culture and heritage-based climate action</w:t>
      </w:r>
      <w:r w:rsidR="00176D39" w:rsidRPr="000417DA">
        <w:rPr>
          <w:i/>
          <w:iCs/>
        </w:rPr>
        <w:t>,</w:t>
      </w:r>
      <w:r w:rsidRPr="000417DA">
        <w:rPr>
          <w:i/>
          <w:iCs/>
        </w:rPr>
        <w:t xml:space="preserve"> </w:t>
      </w:r>
      <w:r w:rsidR="0088393A" w:rsidRPr="000417DA">
        <w:rPr>
          <w:i/>
          <w:iCs/>
        </w:rPr>
        <w:t>including in international discussions on climate change and in synergy with relevant international organizations, frameworks and mechanisms</w:t>
      </w:r>
      <w:r w:rsidR="00184262" w:rsidRPr="000417DA">
        <w:rPr>
          <w:i/>
          <w:iCs/>
        </w:rPr>
        <w:t>;</w:t>
      </w:r>
    </w:p>
    <w:p w14:paraId="56FB9BB3" w14:textId="2356B1EE" w:rsidR="00911B46" w:rsidRPr="000417DA" w:rsidRDefault="00911B46" w:rsidP="00344143">
      <w:pPr>
        <w:pStyle w:val="COMPara"/>
        <w:widowControl w:val="0"/>
        <w:numPr>
          <w:ilvl w:val="0"/>
          <w:numId w:val="18"/>
        </w:numPr>
        <w:ind w:left="720"/>
        <w:jc w:val="both"/>
        <w:rPr>
          <w:i/>
          <w:iCs/>
        </w:rPr>
      </w:pPr>
      <w:r w:rsidRPr="000417DA">
        <w:rPr>
          <w:i/>
          <w:iCs/>
        </w:rPr>
        <w:t>Support the development of community-based observing systems and solutions for climate change mitigation and adaptation, based on living heritage knowledge, innovations and practices.</w:t>
      </w:r>
    </w:p>
    <w:p w14:paraId="310C3EDE" w14:textId="3508C55D" w:rsidR="00D9015E" w:rsidRPr="000417DA" w:rsidRDefault="00D9015E" w:rsidP="00344143">
      <w:pPr>
        <w:pStyle w:val="COMPara"/>
        <w:widowControl w:val="0"/>
        <w:numPr>
          <w:ilvl w:val="0"/>
          <w:numId w:val="24"/>
        </w:numPr>
        <w:jc w:val="both"/>
        <w:rPr>
          <w:b/>
          <w:bCs/>
          <w:i/>
          <w:iCs/>
        </w:rPr>
      </w:pPr>
      <w:r w:rsidRPr="000417DA">
        <w:rPr>
          <w:b/>
          <w:bCs/>
          <w:i/>
          <w:iCs/>
        </w:rPr>
        <w:t>Integrate climate change issues in living heritage safeguarding</w:t>
      </w:r>
      <w:r w:rsidRPr="000417DA" w:rsidDel="0075443C">
        <w:rPr>
          <w:b/>
          <w:bCs/>
          <w:i/>
          <w:iCs/>
        </w:rPr>
        <w:t xml:space="preserve"> </w:t>
      </w:r>
    </w:p>
    <w:p w14:paraId="07217CD0" w14:textId="3D142515" w:rsidR="005738BF" w:rsidRPr="000417DA" w:rsidRDefault="007E6D1B" w:rsidP="00344143">
      <w:pPr>
        <w:pStyle w:val="COMPara"/>
        <w:widowControl w:val="0"/>
        <w:ind w:firstLine="0"/>
        <w:jc w:val="both"/>
        <w:rPr>
          <w:i/>
          <w:iCs/>
        </w:rPr>
      </w:pPr>
      <w:r w:rsidRPr="000417DA">
        <w:rPr>
          <w:i/>
          <w:iCs/>
        </w:rPr>
        <w:t>All stakeholders, including</w:t>
      </w:r>
      <w:r w:rsidR="002C454A" w:rsidRPr="000417DA">
        <w:rPr>
          <w:i/>
          <w:iCs/>
          <w:color w:val="212121"/>
          <w:shd w:val="clear" w:color="auto" w:fill="FFFFFF"/>
        </w:rPr>
        <w:t xml:space="preserve"> communities, groups and, where applicable, individuals who should </w:t>
      </w:r>
      <w:r w:rsidR="002C454A" w:rsidRPr="000417DA">
        <w:rPr>
          <w:i/>
          <w:iCs/>
          <w:color w:val="212121"/>
          <w:shd w:val="clear" w:color="auto" w:fill="FFFFFF"/>
        </w:rPr>
        <w:lastRenderedPageBreak/>
        <w:t>have the </w:t>
      </w:r>
      <w:r w:rsidR="002C454A" w:rsidRPr="000417DA">
        <w:rPr>
          <w:rStyle w:val="Strong"/>
          <w:b w:val="0"/>
          <w:bCs w:val="0"/>
          <w:i/>
          <w:iCs/>
          <w:color w:val="212121"/>
          <w:shd w:val="clear" w:color="auto" w:fill="FFFFFF"/>
        </w:rPr>
        <w:t>primary role</w:t>
      </w:r>
      <w:r w:rsidR="002C454A" w:rsidRPr="000417DA">
        <w:rPr>
          <w:i/>
          <w:iCs/>
          <w:color w:val="212121"/>
          <w:shd w:val="clear" w:color="auto" w:fill="FFFFFF"/>
        </w:rPr>
        <w:t> in safeguarding their own intangible cultural heritage</w:t>
      </w:r>
      <w:r w:rsidR="007C4E20" w:rsidRPr="000417DA">
        <w:rPr>
          <w:i/>
          <w:iCs/>
        </w:rPr>
        <w:t>,</w:t>
      </w:r>
      <w:r w:rsidR="005F0207" w:rsidRPr="000417DA">
        <w:rPr>
          <w:i/>
          <w:iCs/>
        </w:rPr>
        <w:t xml:space="preserve"> are encouraged to integrate</w:t>
      </w:r>
      <w:r w:rsidR="007C4E20" w:rsidRPr="000417DA">
        <w:rPr>
          <w:i/>
          <w:iCs/>
        </w:rPr>
        <w:t xml:space="preserve"> </w:t>
      </w:r>
      <w:r w:rsidR="005F0207" w:rsidRPr="000417DA">
        <w:rPr>
          <w:i/>
          <w:iCs/>
        </w:rPr>
        <w:t xml:space="preserve">and mainstream </w:t>
      </w:r>
      <w:r w:rsidR="007C4E20" w:rsidRPr="000417DA">
        <w:rPr>
          <w:i/>
          <w:iCs/>
        </w:rPr>
        <w:t>c</w:t>
      </w:r>
      <w:r w:rsidR="00360B4D" w:rsidRPr="000417DA">
        <w:rPr>
          <w:i/>
          <w:iCs/>
        </w:rPr>
        <w:t xml:space="preserve">limate change awareness into </w:t>
      </w:r>
      <w:r w:rsidR="005E2B26" w:rsidRPr="000417DA">
        <w:rPr>
          <w:i/>
          <w:iCs/>
        </w:rPr>
        <w:t xml:space="preserve">safeguarding </w:t>
      </w:r>
      <w:r w:rsidR="00D125C6" w:rsidRPr="000417DA">
        <w:rPr>
          <w:i/>
          <w:iCs/>
        </w:rPr>
        <w:t xml:space="preserve">plans and </w:t>
      </w:r>
      <w:r w:rsidR="00F7519E" w:rsidRPr="000417DA">
        <w:rPr>
          <w:i/>
          <w:iCs/>
        </w:rPr>
        <w:t>measures</w:t>
      </w:r>
      <w:r w:rsidR="005E2B26" w:rsidRPr="000417DA">
        <w:rPr>
          <w:i/>
          <w:iCs/>
        </w:rPr>
        <w:t xml:space="preserve"> </w:t>
      </w:r>
      <w:r w:rsidR="00247D26" w:rsidRPr="000417DA">
        <w:rPr>
          <w:i/>
          <w:iCs/>
        </w:rPr>
        <w:t>at all levels</w:t>
      </w:r>
      <w:r w:rsidR="001C345F" w:rsidRPr="000417DA">
        <w:rPr>
          <w:i/>
          <w:iCs/>
        </w:rPr>
        <w:t>.</w:t>
      </w:r>
    </w:p>
    <w:p w14:paraId="3E00CA61" w14:textId="4268E770" w:rsidR="005738BF" w:rsidRPr="000417DA" w:rsidRDefault="00DE1225" w:rsidP="005738BF">
      <w:pPr>
        <w:pStyle w:val="COMPara"/>
        <w:keepNext/>
        <w:numPr>
          <w:ilvl w:val="0"/>
          <w:numId w:val="18"/>
        </w:numPr>
        <w:ind w:left="720"/>
        <w:jc w:val="both"/>
        <w:rPr>
          <w:i/>
          <w:iCs/>
        </w:rPr>
      </w:pPr>
      <w:r w:rsidRPr="000417DA">
        <w:rPr>
          <w:i/>
          <w:iCs/>
        </w:rPr>
        <w:t>Identify</w:t>
      </w:r>
      <w:r w:rsidR="00247D26" w:rsidRPr="000417DA">
        <w:rPr>
          <w:i/>
          <w:iCs/>
        </w:rPr>
        <w:t xml:space="preserve"> the roles and risks for living heritage in the climate emergency, including through community-led research, inventories and (if appropriate) nomination files under the Convention;</w:t>
      </w:r>
    </w:p>
    <w:p w14:paraId="6F56061D" w14:textId="4C8E12D5" w:rsidR="00F7519E" w:rsidRPr="000417DA" w:rsidRDefault="00DE1225" w:rsidP="005738BF">
      <w:pPr>
        <w:pStyle w:val="COMPara"/>
        <w:keepNext/>
        <w:numPr>
          <w:ilvl w:val="0"/>
          <w:numId w:val="18"/>
        </w:numPr>
        <w:ind w:left="720"/>
        <w:jc w:val="both"/>
        <w:rPr>
          <w:i/>
          <w:iCs/>
        </w:rPr>
      </w:pPr>
      <w:r w:rsidRPr="000417DA">
        <w:rPr>
          <w:i/>
          <w:iCs/>
        </w:rPr>
        <w:t>Collect</w:t>
      </w:r>
      <w:r w:rsidR="00247D26" w:rsidRPr="000417DA">
        <w:rPr>
          <w:i/>
          <w:iCs/>
        </w:rPr>
        <w:t xml:space="preserve"> data and information about the potential impacts of climate change on the safeguarding and transmission of living heritage through monitoring mechanisms and periodic reporting under the Convention;</w:t>
      </w:r>
    </w:p>
    <w:p w14:paraId="33828099" w14:textId="4D838E5A" w:rsidR="00F7519E" w:rsidRPr="000417DA" w:rsidRDefault="000417DA" w:rsidP="005738BF">
      <w:pPr>
        <w:pStyle w:val="COMPara"/>
        <w:keepNext/>
        <w:numPr>
          <w:ilvl w:val="0"/>
          <w:numId w:val="18"/>
        </w:numPr>
        <w:ind w:left="720"/>
        <w:jc w:val="both"/>
        <w:rPr>
          <w:i/>
          <w:iCs/>
        </w:rPr>
      </w:pPr>
      <w:r w:rsidRPr="000417DA">
        <w:rPr>
          <w:bCs/>
          <w:noProof/>
          <w:lang w:val="en-AU"/>
        </w:rPr>
        <mc:AlternateContent>
          <mc:Choice Requires="wps">
            <w:drawing>
              <wp:anchor distT="45720" distB="45720" distL="114300" distR="114300" simplePos="0" relativeHeight="251664384" behindDoc="1" locked="0" layoutInCell="1" allowOverlap="1" wp14:anchorId="155E4DBD" wp14:editId="59D4DE05">
                <wp:simplePos x="0" y="0"/>
                <wp:positionH relativeFrom="column">
                  <wp:posOffset>0</wp:posOffset>
                </wp:positionH>
                <wp:positionV relativeFrom="paragraph">
                  <wp:posOffset>1283970</wp:posOffset>
                </wp:positionV>
                <wp:extent cx="5478249" cy="1404620"/>
                <wp:effectExtent l="0" t="1238250" r="0" b="1245870"/>
                <wp:wrapNone/>
                <wp:docPr id="5921449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32894">
                          <a:off x="0" y="0"/>
                          <a:ext cx="5478249" cy="1404620"/>
                        </a:xfrm>
                        <a:prstGeom prst="rect">
                          <a:avLst/>
                        </a:prstGeom>
                        <a:noFill/>
                        <a:ln w="9525">
                          <a:noFill/>
                          <a:miter lim="800000"/>
                          <a:headEnd/>
                          <a:tailEnd/>
                        </a:ln>
                      </wps:spPr>
                      <wps:txbx>
                        <w:txbxContent>
                          <w:p w14:paraId="0AAC5DB0" w14:textId="77777777" w:rsidR="000417DA" w:rsidRPr="000417DA" w:rsidRDefault="000417DA" w:rsidP="000417DA">
                            <w:pPr>
                              <w:rPr>
                                <w:rFonts w:ascii="Arial" w:hAnsi="Arial" w:cs="Arial"/>
                                <w:color w:val="D9D9D9" w:themeColor="background1" w:themeShade="D9"/>
                                <w:sz w:val="220"/>
                                <w:szCs w:val="220"/>
                                <w:lang w:val="en-US"/>
                              </w:rPr>
                            </w:pPr>
                            <w:r w:rsidRPr="000417DA">
                              <w:rPr>
                                <w:rFonts w:ascii="Arial" w:hAnsi="Arial" w:cs="Arial"/>
                                <w:color w:val="D9D9D9" w:themeColor="background1" w:themeShade="D9"/>
                                <w:sz w:val="220"/>
                                <w:szCs w:val="220"/>
                              </w:rPr>
                              <w:t>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55E4DBD" id="_x0000_s1029" type="#_x0000_t202" style="position:absolute;left:0;text-align:left;margin-left:0;margin-top:101.1pt;width:431.35pt;height:110.6pt;rotation:-2039378fd;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" filled="f" stroked="f">
                <v:textbox style="mso-fit-shape-to-text:t">
                  <w:txbxContent>
                    <w:p w14:paraId="0AAC5DB0" w14:textId="77777777" w:rsidR="000417DA" w:rsidRPr="000417DA" w:rsidRDefault="000417DA" w:rsidP="000417DA">
                      <w:pPr>
                        <w:rPr>
                          <w:rFonts w:ascii="Arial" w:hAnsi="Arial" w:cs="Arial"/>
                          <w:color w:val="D9D9D9" w:themeColor="background1" w:themeShade="D9"/>
                          <w:sz w:val="220"/>
                          <w:szCs w:val="220"/>
                          <w:lang w:val="en-US"/>
                        </w:rPr>
                      </w:pPr>
                      <w:r w:rsidRPr="000417DA">
                        <w:rPr>
                          <w:rFonts w:ascii="Arial" w:hAnsi="Arial" w:cs="Arial"/>
                          <w:color w:val="D9D9D9" w:themeColor="background1" w:themeShade="D9"/>
                          <w:sz w:val="220"/>
                          <w:szCs w:val="220"/>
                        </w:rPr>
                        <w:t>DRAFT</w:t>
                      </w:r>
                    </w:p>
                  </w:txbxContent>
                </v:textbox>
              </v:shape>
            </w:pict>
          </mc:Fallback>
        </mc:AlternateContent>
      </w:r>
      <w:r w:rsidR="00DE1225" w:rsidRPr="000417DA">
        <w:rPr>
          <w:i/>
          <w:iCs/>
        </w:rPr>
        <w:t>Integrate</w:t>
      </w:r>
      <w:r w:rsidR="00247D26" w:rsidRPr="000417DA">
        <w:rPr>
          <w:i/>
          <w:iCs/>
        </w:rPr>
        <w:t xml:space="preserve"> </w:t>
      </w:r>
      <w:r w:rsidR="00D34250">
        <w:rPr>
          <w:i/>
          <w:iCs/>
        </w:rPr>
        <w:t xml:space="preserve">into </w:t>
      </w:r>
      <w:r w:rsidR="00247D26" w:rsidRPr="000417DA">
        <w:rPr>
          <w:i/>
          <w:iCs/>
        </w:rPr>
        <w:t xml:space="preserve">living heritage inventories, as provided for in the 2003 Convention, </w:t>
      </w:r>
      <w:r w:rsidR="004B4D76" w:rsidRPr="000417DA">
        <w:rPr>
          <w:i/>
          <w:iCs/>
        </w:rPr>
        <w:t xml:space="preserve">of </w:t>
      </w:r>
      <w:r w:rsidR="00247D26" w:rsidRPr="000417DA">
        <w:rPr>
          <w:i/>
          <w:iCs/>
        </w:rPr>
        <w:t>information on the potential vulnerability of living heritage to climate change, as well as the mitigation capacity of these elements;</w:t>
      </w:r>
    </w:p>
    <w:p w14:paraId="516E4087" w14:textId="7B0F000D" w:rsidR="00F7519E" w:rsidRPr="000417DA" w:rsidRDefault="00A839E3" w:rsidP="00F544D6">
      <w:pPr>
        <w:pStyle w:val="COMPara"/>
        <w:keepNext/>
        <w:numPr>
          <w:ilvl w:val="0"/>
          <w:numId w:val="18"/>
        </w:numPr>
        <w:ind w:left="720"/>
        <w:jc w:val="both"/>
        <w:rPr>
          <w:i/>
          <w:iCs/>
        </w:rPr>
      </w:pPr>
      <w:r w:rsidRPr="000417DA">
        <w:rPr>
          <w:i/>
          <w:iCs/>
        </w:rPr>
        <w:t>Inclusion in the safeguarding plans of specific elements measures to address the potential vulnerability of elements to climate change impacts as well as measures to enhance and engage their mitigation capacity;</w:t>
      </w:r>
    </w:p>
    <w:p w14:paraId="6393BA57" w14:textId="279067DC" w:rsidR="009C16BF" w:rsidRPr="000417DA" w:rsidRDefault="009C16BF" w:rsidP="00F544D6">
      <w:pPr>
        <w:pStyle w:val="COMPara"/>
        <w:keepNext/>
        <w:numPr>
          <w:ilvl w:val="0"/>
          <w:numId w:val="24"/>
        </w:numPr>
        <w:jc w:val="both"/>
        <w:rPr>
          <w:b/>
          <w:bCs/>
          <w:i/>
          <w:iCs/>
        </w:rPr>
      </w:pPr>
      <w:r w:rsidRPr="000417DA">
        <w:rPr>
          <w:b/>
          <w:bCs/>
          <w:i/>
          <w:iCs/>
        </w:rPr>
        <w:t xml:space="preserve">Build capacity through </w:t>
      </w:r>
      <w:r w:rsidR="00A30A86" w:rsidRPr="000417DA">
        <w:rPr>
          <w:b/>
          <w:bCs/>
          <w:i/>
          <w:iCs/>
        </w:rPr>
        <w:t>training and advisory services</w:t>
      </w:r>
    </w:p>
    <w:p w14:paraId="080BAD2B" w14:textId="2C04F83C" w:rsidR="00CB2C40" w:rsidRPr="000417DA" w:rsidRDefault="009D79F4" w:rsidP="0067176D">
      <w:pPr>
        <w:pStyle w:val="COMPara"/>
        <w:ind w:firstLine="0"/>
        <w:jc w:val="both"/>
        <w:rPr>
          <w:i/>
          <w:iCs/>
          <w:lang w:val="en-AU"/>
        </w:rPr>
      </w:pPr>
      <w:r w:rsidRPr="000417DA">
        <w:rPr>
          <w:i/>
          <w:iCs/>
          <w:lang w:val="en-AU"/>
        </w:rPr>
        <w:t xml:space="preserve">The delivery of training and advisory services should be promoted to enhance capacity and understanding of all stakeholders for </w:t>
      </w:r>
      <w:r w:rsidR="0067176D" w:rsidRPr="000417DA">
        <w:rPr>
          <w:i/>
          <w:iCs/>
          <w:lang w:val="en-AU"/>
        </w:rPr>
        <w:t xml:space="preserve">implementing </w:t>
      </w:r>
      <w:r w:rsidR="007A5EA0" w:rsidRPr="000417DA">
        <w:rPr>
          <w:i/>
          <w:iCs/>
          <w:lang w:val="en-AU"/>
        </w:rPr>
        <w:t>holistic</w:t>
      </w:r>
      <w:r w:rsidR="0067176D" w:rsidRPr="000417DA">
        <w:rPr>
          <w:i/>
          <w:iCs/>
          <w:lang w:val="en-AU"/>
        </w:rPr>
        <w:t xml:space="preserve">, rights-based approaches to safeguarding living heritage for climate </w:t>
      </w:r>
      <w:r w:rsidR="007A5EA0" w:rsidRPr="000417DA">
        <w:rPr>
          <w:i/>
          <w:iCs/>
          <w:lang w:val="en-AU"/>
        </w:rPr>
        <w:t>action</w:t>
      </w:r>
      <w:r w:rsidR="001C345F" w:rsidRPr="000417DA">
        <w:rPr>
          <w:i/>
          <w:iCs/>
          <w:lang w:val="en-AU"/>
        </w:rPr>
        <w:t>.</w:t>
      </w:r>
    </w:p>
    <w:p w14:paraId="2080C5EE" w14:textId="574D2BD1" w:rsidR="001D683D" w:rsidRPr="000417DA" w:rsidRDefault="001D683D" w:rsidP="00F544D6">
      <w:pPr>
        <w:pStyle w:val="COMPara"/>
        <w:numPr>
          <w:ilvl w:val="0"/>
          <w:numId w:val="21"/>
        </w:numPr>
        <w:ind w:left="720"/>
        <w:jc w:val="both"/>
        <w:rPr>
          <w:i/>
          <w:iCs/>
          <w:lang w:val="en-AU"/>
        </w:rPr>
      </w:pPr>
      <w:r w:rsidRPr="000417DA">
        <w:rPr>
          <w:i/>
          <w:iCs/>
        </w:rPr>
        <w:t xml:space="preserve">Support and facilitate capacity </w:t>
      </w:r>
      <w:r w:rsidR="0067421A" w:rsidRPr="000417DA">
        <w:rPr>
          <w:i/>
          <w:iCs/>
        </w:rPr>
        <w:t>development</w:t>
      </w:r>
      <w:r w:rsidRPr="000417DA">
        <w:rPr>
          <w:i/>
          <w:iCs/>
        </w:rPr>
        <w:t>, networking and sharing of experiences within and among communities, about addressing the impact of the climate emergency on living heritage, as well as its roles in adaptation and mitigation;</w:t>
      </w:r>
    </w:p>
    <w:p w14:paraId="29C67617" w14:textId="155B713E" w:rsidR="001D683D" w:rsidRPr="000417DA" w:rsidRDefault="001D683D">
      <w:pPr>
        <w:pStyle w:val="COMPara"/>
        <w:numPr>
          <w:ilvl w:val="0"/>
          <w:numId w:val="21"/>
        </w:numPr>
        <w:ind w:left="720"/>
        <w:jc w:val="both"/>
        <w:rPr>
          <w:i/>
          <w:iCs/>
          <w:lang w:val="en-AU"/>
        </w:rPr>
      </w:pPr>
      <w:r w:rsidRPr="000417DA">
        <w:rPr>
          <w:i/>
          <w:iCs/>
          <w:lang w:val="en-AU"/>
        </w:rPr>
        <w:t>Expand</w:t>
      </w:r>
      <w:r w:rsidR="0067421A" w:rsidRPr="000417DA">
        <w:rPr>
          <w:i/>
          <w:iCs/>
          <w:lang w:val="en-AU"/>
        </w:rPr>
        <w:t xml:space="preserve"> </w:t>
      </w:r>
      <w:r w:rsidR="00EE7FA6" w:rsidRPr="000417DA">
        <w:rPr>
          <w:i/>
          <w:iCs/>
          <w:lang w:val="en-AU"/>
        </w:rPr>
        <w:t>the scope of existin</w:t>
      </w:r>
      <w:r w:rsidR="00A67B78" w:rsidRPr="000417DA">
        <w:rPr>
          <w:i/>
          <w:iCs/>
          <w:lang w:val="en-AU"/>
        </w:rPr>
        <w:t>g training programmes and courses</w:t>
      </w:r>
      <w:r w:rsidR="008B141A" w:rsidRPr="000417DA">
        <w:rPr>
          <w:i/>
          <w:iCs/>
          <w:lang w:val="en-AU"/>
        </w:rPr>
        <w:t xml:space="preserve"> on </w:t>
      </w:r>
      <w:r w:rsidR="0055787B" w:rsidRPr="000417DA">
        <w:rPr>
          <w:i/>
          <w:iCs/>
          <w:lang w:val="en-AU"/>
        </w:rPr>
        <w:t>both climate change and culture</w:t>
      </w:r>
      <w:r w:rsidR="008B141A" w:rsidRPr="000417DA">
        <w:rPr>
          <w:i/>
          <w:iCs/>
          <w:lang w:val="en-AU"/>
        </w:rPr>
        <w:t xml:space="preserve"> </w:t>
      </w:r>
      <w:r w:rsidR="00A67B78" w:rsidRPr="000417DA">
        <w:rPr>
          <w:i/>
          <w:iCs/>
          <w:lang w:val="en-AU"/>
        </w:rPr>
        <w:t>to integrate living heritage and climate change perspectives;</w:t>
      </w:r>
    </w:p>
    <w:p w14:paraId="05B226D1" w14:textId="07DB2FF3" w:rsidR="00371FC5" w:rsidRPr="000417DA" w:rsidRDefault="00E65EB8" w:rsidP="00F544D6">
      <w:pPr>
        <w:pStyle w:val="COMPara"/>
        <w:numPr>
          <w:ilvl w:val="0"/>
          <w:numId w:val="21"/>
        </w:numPr>
        <w:ind w:left="720"/>
        <w:jc w:val="both"/>
        <w:rPr>
          <w:i/>
          <w:iCs/>
          <w:lang w:val="en-AU"/>
        </w:rPr>
      </w:pPr>
      <w:r w:rsidRPr="000417DA">
        <w:rPr>
          <w:i/>
          <w:iCs/>
          <w:lang w:val="en-AU"/>
        </w:rPr>
        <w:t>Develop t</w:t>
      </w:r>
      <w:r w:rsidR="001C345F" w:rsidRPr="000417DA">
        <w:rPr>
          <w:i/>
          <w:iCs/>
          <w:lang w:val="en-AU"/>
        </w:rPr>
        <w:t>raining and information courses, ranging from basic principles on living heritage in the context of climate change, addressed to the full range of stakeholders, through to flexible modules that target particular groups and needs</w:t>
      </w:r>
      <w:r w:rsidR="00B54F05" w:rsidRPr="000417DA">
        <w:rPr>
          <w:i/>
          <w:iCs/>
          <w:lang w:val="en-AU"/>
        </w:rPr>
        <w:t>;</w:t>
      </w:r>
    </w:p>
    <w:p w14:paraId="34A161E2" w14:textId="7E5BDE38" w:rsidR="00B54F05" w:rsidRPr="000417DA" w:rsidRDefault="00E65EB8" w:rsidP="00F544D6">
      <w:pPr>
        <w:pStyle w:val="COMPara"/>
        <w:numPr>
          <w:ilvl w:val="0"/>
          <w:numId w:val="18"/>
        </w:numPr>
        <w:ind w:left="720"/>
        <w:jc w:val="both"/>
        <w:rPr>
          <w:i/>
          <w:iCs/>
          <w:lang w:val="en-AU"/>
        </w:rPr>
      </w:pPr>
      <w:r w:rsidRPr="000417DA">
        <w:rPr>
          <w:i/>
          <w:iCs/>
          <w:lang w:val="en-AU"/>
        </w:rPr>
        <w:t>Foster n</w:t>
      </w:r>
      <w:r w:rsidR="00B54F05" w:rsidRPr="000417DA">
        <w:rPr>
          <w:i/>
          <w:iCs/>
          <w:lang w:val="en-AU"/>
        </w:rPr>
        <w:t>ational forums, networks and alliances</w:t>
      </w:r>
      <w:r w:rsidR="00886C7C" w:rsidRPr="000417DA">
        <w:rPr>
          <w:i/>
          <w:iCs/>
          <w:lang w:val="en-AU"/>
        </w:rPr>
        <w:t xml:space="preserve">, based on </w:t>
      </w:r>
      <w:r w:rsidR="00B54F05" w:rsidRPr="000417DA">
        <w:rPr>
          <w:i/>
          <w:iCs/>
          <w:lang w:val="en-AU"/>
        </w:rPr>
        <w:t>strategic alliances between regional UNESCO offices, national heritage, emergency and climate change institutions and agencies, and practitioners and communities</w:t>
      </w:r>
      <w:r w:rsidR="002262BA" w:rsidRPr="000417DA">
        <w:rPr>
          <w:i/>
          <w:iCs/>
          <w:lang w:val="en-AU"/>
        </w:rPr>
        <w:t>;</w:t>
      </w:r>
    </w:p>
    <w:p w14:paraId="1AC9411B" w14:textId="453FFBFC" w:rsidR="002A407D" w:rsidRPr="000417DA" w:rsidRDefault="004875F4" w:rsidP="002A407D">
      <w:pPr>
        <w:pStyle w:val="COMPara"/>
        <w:numPr>
          <w:ilvl w:val="0"/>
          <w:numId w:val="18"/>
        </w:numPr>
        <w:ind w:left="720"/>
        <w:jc w:val="both"/>
        <w:rPr>
          <w:i/>
          <w:iCs/>
          <w:lang w:val="en-AU"/>
        </w:rPr>
      </w:pPr>
      <w:r w:rsidRPr="000417DA">
        <w:rPr>
          <w:i/>
          <w:iCs/>
          <w:lang w:val="en-AU"/>
        </w:rPr>
        <w:t>Enhance education and awareness-raising through the integration of</w:t>
      </w:r>
      <w:r w:rsidR="002A407D" w:rsidRPr="000417DA">
        <w:rPr>
          <w:i/>
          <w:iCs/>
          <w:lang w:val="en-AU"/>
        </w:rPr>
        <w:t xml:space="preserve"> climate change and living heritage topics into formal and non-formal educational programmes at various levels</w:t>
      </w:r>
      <w:r w:rsidR="00CA41F1" w:rsidRPr="000417DA">
        <w:rPr>
          <w:i/>
          <w:iCs/>
          <w:lang w:val="en-AU"/>
        </w:rPr>
        <w:t>;</w:t>
      </w:r>
    </w:p>
    <w:p w14:paraId="4BF1CB4D" w14:textId="1CCB6975" w:rsidR="00506921" w:rsidRPr="00344143" w:rsidRDefault="000252C6" w:rsidP="00344143">
      <w:pPr>
        <w:pStyle w:val="COMPara"/>
        <w:numPr>
          <w:ilvl w:val="0"/>
          <w:numId w:val="18"/>
        </w:numPr>
        <w:ind w:left="720"/>
        <w:jc w:val="both"/>
        <w:rPr>
          <w:i/>
          <w:iCs/>
          <w:lang w:val="en-AU"/>
        </w:rPr>
      </w:pPr>
      <w:r w:rsidRPr="000417DA">
        <w:rPr>
          <w:i/>
          <w:iCs/>
          <w:lang w:val="en-AU"/>
        </w:rPr>
        <w:t>Create</w:t>
      </w:r>
      <w:r w:rsidR="004F23DD" w:rsidRPr="000417DA">
        <w:rPr>
          <w:i/>
          <w:iCs/>
          <w:lang w:val="en-AU"/>
        </w:rPr>
        <w:t xml:space="preserve"> of o</w:t>
      </w:r>
      <w:r w:rsidR="00F23799" w:rsidRPr="000417DA">
        <w:rPr>
          <w:i/>
          <w:iCs/>
          <w:lang w:val="en-AU"/>
        </w:rPr>
        <w:t>nline platform /</w:t>
      </w:r>
      <w:r w:rsidR="00CB2C40" w:rsidRPr="000417DA">
        <w:rPr>
          <w:i/>
          <w:iCs/>
          <w:lang w:val="en-AU"/>
        </w:rPr>
        <w:t xml:space="preserve"> database of case studies and </w:t>
      </w:r>
      <w:r w:rsidR="00330C43" w:rsidRPr="000417DA">
        <w:rPr>
          <w:i/>
          <w:iCs/>
          <w:lang w:val="en-AU"/>
        </w:rPr>
        <w:t>experiences</w:t>
      </w:r>
      <w:r w:rsidR="00CB2C40" w:rsidRPr="000417DA">
        <w:rPr>
          <w:i/>
          <w:iCs/>
          <w:lang w:val="en-AU"/>
        </w:rPr>
        <w:t xml:space="preserve"> </w:t>
      </w:r>
      <w:r w:rsidR="00CA41F1" w:rsidRPr="000417DA">
        <w:rPr>
          <w:i/>
          <w:iCs/>
          <w:lang w:val="en-AU"/>
        </w:rPr>
        <w:t xml:space="preserve">to share information </w:t>
      </w:r>
      <w:r w:rsidR="00CB2C40" w:rsidRPr="000417DA">
        <w:rPr>
          <w:i/>
          <w:iCs/>
          <w:lang w:val="en-AU"/>
        </w:rPr>
        <w:t>on policies, plans and programmes integrating living heritage and climate change adaptation and mitigation.</w:t>
      </w:r>
    </w:p>
    <w:sectPr w:rsidR="00506921" w:rsidRPr="00344143" w:rsidSect="000417DA">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062AB7" w14:textId="77777777" w:rsidR="00691B3B" w:rsidRDefault="00691B3B" w:rsidP="002938F2">
      <w:r>
        <w:separator/>
      </w:r>
    </w:p>
    <w:p w14:paraId="26A16A20" w14:textId="77777777" w:rsidR="00691B3B" w:rsidRDefault="00691B3B"/>
  </w:endnote>
  <w:endnote w:type="continuationSeparator" w:id="0">
    <w:p w14:paraId="22A26D52" w14:textId="77777777" w:rsidR="00691B3B" w:rsidRDefault="00691B3B" w:rsidP="002938F2">
      <w:r>
        <w:continuationSeparator/>
      </w:r>
    </w:p>
    <w:p w14:paraId="4C48B37D" w14:textId="77777777" w:rsidR="00691B3B" w:rsidRDefault="00691B3B"/>
  </w:endnote>
  <w:endnote w:type="continuationNotice" w:id="1">
    <w:p w14:paraId="188A6895" w14:textId="77777777" w:rsidR="00691B3B" w:rsidRDefault="00691B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B5E49" w14:textId="77777777" w:rsidR="000417DA" w:rsidRDefault="00041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DA6B0" w14:textId="77777777" w:rsidR="000417DA" w:rsidRDefault="000417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5EB08" w14:textId="77777777" w:rsidR="000417DA" w:rsidRDefault="00041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E50166" w14:textId="77777777" w:rsidR="00691B3B" w:rsidRDefault="00691B3B" w:rsidP="0017455E">
      <w:r>
        <w:separator/>
      </w:r>
    </w:p>
  </w:footnote>
  <w:footnote w:type="continuationSeparator" w:id="0">
    <w:p w14:paraId="0545F733" w14:textId="77777777" w:rsidR="00691B3B" w:rsidRDefault="00691B3B" w:rsidP="0017455E">
      <w:r>
        <w:continuationSeparator/>
      </w:r>
    </w:p>
  </w:footnote>
  <w:footnote w:type="continuationNotice" w:id="1">
    <w:p w14:paraId="0A5AC415" w14:textId="77777777" w:rsidR="00691B3B" w:rsidRDefault="00691B3B">
      <w:pPr>
        <w:spacing w:after="0"/>
      </w:pPr>
    </w:p>
  </w:footnote>
  <w:footnote w:id="2">
    <w:p w14:paraId="12E0A57D" w14:textId="09E21553" w:rsidR="0017455E" w:rsidRPr="00C34F81" w:rsidRDefault="0017455E" w:rsidP="00F544D6">
      <w:pPr>
        <w:pStyle w:val="FootnoteText"/>
        <w:ind w:left="360" w:hanging="360"/>
        <w:jc w:val="both"/>
        <w:rPr>
          <w:rFonts w:ascii="Arial" w:hAnsi="Arial" w:cs="Arial"/>
          <w:lang w:val="en-AU"/>
        </w:rPr>
      </w:pPr>
      <w:r w:rsidRPr="00C34F81">
        <w:rPr>
          <w:rStyle w:val="FootnoteReference"/>
          <w:rFonts w:ascii="Arial" w:hAnsi="Arial" w:cs="Arial"/>
        </w:rPr>
        <w:footnoteRef/>
      </w:r>
      <w:r w:rsidRPr="00C34F81">
        <w:rPr>
          <w:rFonts w:ascii="Arial" w:hAnsi="Arial" w:cs="Arial"/>
          <w:lang w:val="en-US"/>
        </w:rPr>
        <w:t xml:space="preserve"> </w:t>
      </w:r>
      <w:r w:rsidR="008176D5" w:rsidRPr="00C34F81">
        <w:rPr>
          <w:rFonts w:ascii="Arial" w:hAnsi="Arial" w:cs="Arial"/>
          <w:lang w:val="en-US"/>
        </w:rPr>
        <w:tab/>
      </w:r>
      <w:r w:rsidR="005637A6" w:rsidRPr="00C34F81">
        <w:rPr>
          <w:rFonts w:ascii="Arial" w:hAnsi="Arial" w:cs="Arial"/>
          <w:lang w:val="en-US"/>
        </w:rPr>
        <w:t xml:space="preserve">This </w:t>
      </w:r>
      <w:r w:rsidR="0079671B" w:rsidRPr="00C34F81">
        <w:rPr>
          <w:rFonts w:ascii="Arial" w:hAnsi="Arial" w:cs="Arial"/>
          <w:lang w:val="en-US"/>
        </w:rPr>
        <w:t>Guidance Note</w:t>
      </w:r>
      <w:r w:rsidR="005637A6" w:rsidRPr="00C34F81">
        <w:rPr>
          <w:rFonts w:ascii="Arial" w:hAnsi="Arial" w:cs="Arial"/>
          <w:lang w:val="en-US"/>
        </w:rPr>
        <w:t xml:space="preserve"> was prepared by the consultant </w:t>
      </w:r>
      <w:r w:rsidR="002236C8" w:rsidRPr="00C34F81">
        <w:rPr>
          <w:rFonts w:ascii="Arial" w:hAnsi="Arial" w:cs="Arial"/>
          <w:lang w:val="en-US"/>
        </w:rPr>
        <w:t>Chris Ballard</w:t>
      </w:r>
      <w:r w:rsidR="005637A6" w:rsidRPr="00C34F81">
        <w:rPr>
          <w:rFonts w:ascii="Arial" w:hAnsi="Arial" w:cs="Arial"/>
          <w:lang w:val="en-US"/>
        </w:rPr>
        <w:t xml:space="preserve">, in collaboration with the UNESCO Living Heritage Entity and with inputs from </w:t>
      </w:r>
      <w:r w:rsidR="008176D5" w:rsidRPr="00C34F81">
        <w:rPr>
          <w:rFonts w:ascii="Arial" w:hAnsi="Arial" w:cs="Arial"/>
          <w:lang w:val="en-US"/>
        </w:rPr>
        <w:t>the</w:t>
      </w:r>
      <w:r w:rsidR="005637A6" w:rsidRPr="00C34F81">
        <w:rPr>
          <w:rFonts w:ascii="Arial" w:hAnsi="Arial" w:cs="Arial"/>
          <w:lang w:val="en-US"/>
        </w:rPr>
        <w:t xml:space="preserve"> Peer Review Panel on </w:t>
      </w:r>
      <w:r w:rsidR="0079671B" w:rsidRPr="00C34F81">
        <w:rPr>
          <w:rFonts w:ascii="Arial" w:hAnsi="Arial" w:cs="Arial"/>
          <w:lang w:val="en-US"/>
        </w:rPr>
        <w:t>climate change and</w:t>
      </w:r>
      <w:r w:rsidR="005637A6" w:rsidRPr="00C34F81">
        <w:rPr>
          <w:rFonts w:ascii="Arial" w:hAnsi="Arial" w:cs="Arial"/>
          <w:lang w:val="en-US"/>
        </w:rPr>
        <w:t xml:space="preserve"> intangible cultural heritage safeguarding. It is presented as a preliminary draft for the purpose of discussion and review. </w:t>
      </w:r>
      <w:r w:rsidR="005637A6" w:rsidRPr="00C34F81">
        <w:rPr>
          <w:rFonts w:ascii="Arial" w:hAnsi="Arial" w:cs="Arial"/>
          <w:lang w:val="en-AU"/>
        </w:rPr>
        <w:t>The content does not necessarily reflect the institutional views of UNESCO</w:t>
      </w:r>
      <w:r w:rsidR="00326DE7" w:rsidRPr="00C34F81">
        <w:rPr>
          <w:rFonts w:ascii="Arial" w:hAnsi="Arial" w:cs="Arial"/>
          <w:lang w:val="en-AU"/>
        </w:rPr>
        <w:t xml:space="preserve"> and is subject to revisions based on peer feedback.</w:t>
      </w:r>
    </w:p>
  </w:footnote>
  <w:footnote w:id="3">
    <w:p w14:paraId="0DF58B1A" w14:textId="3A69C8A2" w:rsidR="00275FE4" w:rsidRPr="00C34F81" w:rsidRDefault="00275FE4" w:rsidP="00F544D6">
      <w:pPr>
        <w:pStyle w:val="FootnoteText"/>
        <w:ind w:left="360" w:hanging="360"/>
        <w:jc w:val="both"/>
        <w:rPr>
          <w:rFonts w:ascii="Arial" w:hAnsi="Arial" w:cs="Arial"/>
          <w:lang w:val="en-AU"/>
        </w:rPr>
      </w:pPr>
      <w:r w:rsidRPr="00C34F81">
        <w:rPr>
          <w:rStyle w:val="FootnoteReference"/>
          <w:rFonts w:ascii="Arial" w:hAnsi="Arial" w:cs="Arial"/>
        </w:rPr>
        <w:footnoteRef/>
      </w:r>
      <w:r w:rsidRPr="00C34F81">
        <w:rPr>
          <w:rFonts w:ascii="Arial" w:hAnsi="Arial" w:cs="Arial"/>
          <w:lang w:val="en-AU"/>
        </w:rPr>
        <w:t xml:space="preserve"> </w:t>
      </w:r>
      <w:r w:rsidRPr="00C34F81">
        <w:rPr>
          <w:rFonts w:ascii="Arial" w:hAnsi="Arial" w:cs="Arial"/>
          <w:lang w:val="en-AU"/>
        </w:rPr>
        <w:tab/>
        <w:t>A series of background documents (LHE/24/EXP THEMA-CLIMA/4a-f) provides further context and detail for the issues addressed in this Introduction and in the Guidance Note. Sources referred to here and elsewhere in the background documents are listed together in LHE/24/EXP THEMA-CLIMA/5</w:t>
      </w:r>
      <w:r w:rsidR="008C3D50" w:rsidRPr="00C34F81">
        <w:rPr>
          <w:rFonts w:ascii="Arial" w:hAnsi="Arial" w:cs="Arial"/>
          <w:lang w:val="en-AU"/>
        </w:rPr>
        <w:t>.</w:t>
      </w:r>
    </w:p>
  </w:footnote>
  <w:footnote w:id="4">
    <w:p w14:paraId="50775285" w14:textId="194A2D31" w:rsidR="00E9262B" w:rsidRPr="00F544D6" w:rsidRDefault="00E9262B" w:rsidP="00F544D6">
      <w:pPr>
        <w:pStyle w:val="FootnoteText"/>
        <w:ind w:left="360" w:hanging="360"/>
        <w:jc w:val="both"/>
        <w:rPr>
          <w:rFonts w:ascii="Arial" w:hAnsi="Arial"/>
          <w:lang w:val="es-ES"/>
        </w:rPr>
      </w:pPr>
      <w:r w:rsidRPr="00C34F81">
        <w:rPr>
          <w:rStyle w:val="FootnoteReference"/>
          <w:rFonts w:ascii="Arial" w:hAnsi="Arial" w:cs="Arial"/>
        </w:rPr>
        <w:footnoteRef/>
      </w:r>
      <w:r w:rsidRPr="00F544D6">
        <w:rPr>
          <w:rFonts w:ascii="Arial" w:hAnsi="Arial"/>
          <w:lang w:val="es-ES"/>
        </w:rPr>
        <w:t xml:space="preserve"> </w:t>
      </w:r>
      <w:r w:rsidRPr="00F544D6">
        <w:rPr>
          <w:rFonts w:ascii="Arial" w:hAnsi="Arial"/>
          <w:lang w:val="es-ES"/>
        </w:rPr>
        <w:tab/>
      </w:r>
      <w:r w:rsidRPr="00F544D6">
        <w:rPr>
          <w:rFonts w:ascii="Arial" w:hAnsi="Arial"/>
          <w:lang w:val="es-ES"/>
        </w:rPr>
        <w:t>See LHE/24/EXP THEMA-CLIMA/4a.</w:t>
      </w:r>
    </w:p>
  </w:footnote>
  <w:footnote w:id="5">
    <w:p w14:paraId="3EA12DD3" w14:textId="48C20BBF" w:rsidR="00E9262B" w:rsidRPr="00F544D6" w:rsidRDefault="00E9262B" w:rsidP="00F544D6">
      <w:pPr>
        <w:pStyle w:val="FootnoteText"/>
        <w:ind w:left="360" w:hanging="360"/>
        <w:jc w:val="both"/>
        <w:rPr>
          <w:rFonts w:ascii="Arial" w:hAnsi="Arial"/>
          <w:lang w:val="es-ES"/>
        </w:rPr>
      </w:pPr>
      <w:r w:rsidRPr="00C34F81">
        <w:rPr>
          <w:rStyle w:val="FootnoteReference"/>
          <w:rFonts w:ascii="Arial" w:hAnsi="Arial" w:cs="Arial"/>
        </w:rPr>
        <w:footnoteRef/>
      </w:r>
      <w:r w:rsidRPr="00F544D6">
        <w:rPr>
          <w:rFonts w:ascii="Arial" w:hAnsi="Arial"/>
          <w:lang w:val="es-ES"/>
        </w:rPr>
        <w:t xml:space="preserve"> </w:t>
      </w:r>
      <w:r w:rsidRPr="00F544D6">
        <w:rPr>
          <w:rFonts w:ascii="Arial" w:hAnsi="Arial"/>
          <w:lang w:val="es-ES"/>
        </w:rPr>
        <w:tab/>
      </w:r>
      <w:r w:rsidRPr="00F544D6">
        <w:rPr>
          <w:rFonts w:ascii="Arial" w:hAnsi="Arial"/>
          <w:lang w:val="es-ES"/>
        </w:rPr>
        <w:t>See LHE/24/EXP THEMA-CLIMA/4b.</w:t>
      </w:r>
    </w:p>
  </w:footnote>
  <w:footnote w:id="6">
    <w:p w14:paraId="2040C368" w14:textId="574969FD" w:rsidR="00E9262B" w:rsidRPr="00F544D6" w:rsidRDefault="00E9262B" w:rsidP="00F544D6">
      <w:pPr>
        <w:pStyle w:val="FootnoteText"/>
        <w:ind w:left="360" w:hanging="360"/>
        <w:jc w:val="both"/>
        <w:rPr>
          <w:rFonts w:ascii="Arial" w:hAnsi="Arial"/>
          <w:lang w:val="es-ES"/>
        </w:rPr>
      </w:pPr>
      <w:r w:rsidRPr="00C34F81">
        <w:rPr>
          <w:rStyle w:val="FootnoteReference"/>
          <w:rFonts w:ascii="Arial" w:hAnsi="Arial" w:cs="Arial"/>
        </w:rPr>
        <w:footnoteRef/>
      </w:r>
      <w:r w:rsidRPr="00F544D6">
        <w:rPr>
          <w:rFonts w:ascii="Arial" w:hAnsi="Arial"/>
          <w:lang w:val="es-ES"/>
        </w:rPr>
        <w:t xml:space="preserve"> </w:t>
      </w:r>
      <w:r w:rsidRPr="00F544D6">
        <w:rPr>
          <w:rFonts w:ascii="Arial" w:hAnsi="Arial"/>
          <w:lang w:val="es-ES"/>
        </w:rPr>
        <w:tab/>
      </w:r>
      <w:r w:rsidRPr="00F544D6">
        <w:rPr>
          <w:rFonts w:ascii="Arial" w:hAnsi="Arial"/>
          <w:lang w:val="es-ES"/>
        </w:rPr>
        <w:t>See LHE/24/EXP THEMA-CLIMA/4e.</w:t>
      </w:r>
    </w:p>
  </w:footnote>
  <w:footnote w:id="7">
    <w:p w14:paraId="1A95BFA5" w14:textId="3673F351" w:rsidR="00E9262B" w:rsidRPr="00C34F81" w:rsidRDefault="00E9262B" w:rsidP="00F544D6">
      <w:pPr>
        <w:pStyle w:val="FootnoteText"/>
        <w:ind w:left="360" w:hanging="360"/>
        <w:jc w:val="both"/>
        <w:rPr>
          <w:rFonts w:ascii="Arial" w:hAnsi="Arial" w:cs="Arial"/>
          <w:lang w:val="en-AU"/>
        </w:rPr>
      </w:pPr>
      <w:r w:rsidRPr="00C34F81">
        <w:rPr>
          <w:rStyle w:val="FootnoteReference"/>
          <w:rFonts w:ascii="Arial" w:hAnsi="Arial" w:cs="Arial"/>
        </w:rPr>
        <w:footnoteRef/>
      </w:r>
      <w:r w:rsidRPr="00F544D6">
        <w:rPr>
          <w:rFonts w:ascii="Arial" w:hAnsi="Arial"/>
          <w:lang w:val="es-ES"/>
        </w:rPr>
        <w:t xml:space="preserve"> </w:t>
      </w:r>
      <w:r w:rsidRPr="00F544D6">
        <w:rPr>
          <w:rFonts w:ascii="Arial" w:hAnsi="Arial"/>
          <w:lang w:val="es-ES"/>
        </w:rPr>
        <w:tab/>
      </w:r>
      <w:r w:rsidRPr="00F544D6">
        <w:rPr>
          <w:rFonts w:ascii="Arial" w:hAnsi="Arial"/>
          <w:lang w:val="es-ES"/>
        </w:rPr>
        <w:t xml:space="preserve">Significant input through the peer review process was received from Ibidun Adelekan, Gül Aktürk, Greg Bankoff, Karima Bennoune, Nigel Crawhall, Ginbert Permejo Cuaton, Harriet Deacon, Sandra Fatorić, James D. Ford, Rahul Goswami, Qunli Han, Kristen Hausler, Lisa Hiwasaki, Cornelius Holtorf, Susan Keitumetse, Lucas Lixinski, Barbara Mínguez García, Victoria Reyes-García, Andrea Richards-Cummins, and Getachew Senishaw. </w:t>
      </w:r>
      <w:r w:rsidRPr="00C34F81">
        <w:rPr>
          <w:rFonts w:ascii="Arial" w:hAnsi="Arial" w:cs="Arial"/>
          <w:lang w:val="en-AU"/>
        </w:rPr>
        <w:t>The content of the present Guidance Note and associated materials does not necessarily reflect the views of individual peer reviewers.</w:t>
      </w:r>
    </w:p>
  </w:footnote>
  <w:footnote w:id="8">
    <w:p w14:paraId="5173164D" w14:textId="77E79A8B" w:rsidR="00785357" w:rsidRPr="00C34F81" w:rsidRDefault="00785357" w:rsidP="00C6297F">
      <w:pPr>
        <w:pStyle w:val="Foornote1"/>
        <w:spacing w:after="0"/>
        <w:ind w:left="360" w:hanging="360"/>
        <w:rPr>
          <w:rFonts w:ascii="Arial" w:hAnsi="Arial" w:cs="Arial"/>
          <w:sz w:val="20"/>
          <w:szCs w:val="20"/>
        </w:rPr>
      </w:pPr>
      <w:r w:rsidRPr="00C34F81">
        <w:rPr>
          <w:rStyle w:val="FootnoteReference"/>
          <w:rFonts w:ascii="Arial" w:hAnsi="Arial" w:cs="Arial"/>
          <w:sz w:val="20"/>
          <w:szCs w:val="20"/>
        </w:rPr>
        <w:footnoteRef/>
      </w:r>
      <w:r w:rsidRPr="00C34F81">
        <w:rPr>
          <w:rFonts w:ascii="Arial" w:hAnsi="Arial" w:cs="Arial"/>
          <w:sz w:val="20"/>
          <w:szCs w:val="20"/>
        </w:rPr>
        <w:t xml:space="preserve"> </w:t>
      </w:r>
      <w:r w:rsidR="008176D5" w:rsidRPr="00C34F81">
        <w:rPr>
          <w:rFonts w:ascii="Arial" w:hAnsi="Arial" w:cs="Arial"/>
          <w:sz w:val="20"/>
          <w:szCs w:val="20"/>
        </w:rPr>
        <w:tab/>
      </w:r>
      <w:r w:rsidR="008176D5" w:rsidRPr="00C34F81">
        <w:rPr>
          <w:rFonts w:ascii="Arial" w:hAnsi="Arial" w:cs="Arial"/>
          <w:sz w:val="20"/>
          <w:szCs w:val="20"/>
          <w:lang w:val="en-AU"/>
        </w:rPr>
        <w:t>Article 2.1.</w:t>
      </w:r>
    </w:p>
  </w:footnote>
  <w:footnote w:id="9">
    <w:p w14:paraId="650D0647" w14:textId="3983C144" w:rsidR="003A5660" w:rsidRPr="00C34F81" w:rsidRDefault="003A5660" w:rsidP="00F544D6">
      <w:pPr>
        <w:pStyle w:val="FootnoteText"/>
        <w:ind w:left="360" w:hanging="360"/>
        <w:jc w:val="both"/>
        <w:rPr>
          <w:rFonts w:ascii="Arial" w:hAnsi="Arial" w:cs="Arial"/>
          <w:lang w:val="en-AU"/>
        </w:rPr>
      </w:pPr>
      <w:r w:rsidRPr="00C34F81">
        <w:rPr>
          <w:rStyle w:val="FootnoteReference"/>
          <w:rFonts w:ascii="Arial" w:hAnsi="Arial" w:cs="Arial"/>
        </w:rPr>
        <w:footnoteRef/>
      </w:r>
      <w:r w:rsidRPr="00C34F81">
        <w:rPr>
          <w:rFonts w:ascii="Arial" w:hAnsi="Arial" w:cs="Arial"/>
          <w:lang w:val="en-AU"/>
        </w:rPr>
        <w:t xml:space="preserve"> </w:t>
      </w:r>
      <w:r w:rsidR="001E0A74" w:rsidRPr="00C34F81">
        <w:rPr>
          <w:rFonts w:ascii="Arial" w:hAnsi="Arial" w:cs="Arial"/>
          <w:lang w:val="en-AU"/>
        </w:rPr>
        <w:tab/>
      </w:r>
      <w:r w:rsidR="00E55A01">
        <w:rPr>
          <w:rFonts w:ascii="Arial" w:hAnsi="Arial" w:cs="Arial"/>
          <w:lang w:val="en-AU"/>
        </w:rPr>
        <w:t>S</w:t>
      </w:r>
      <w:r w:rsidRPr="00C34F81">
        <w:rPr>
          <w:rFonts w:ascii="Arial" w:hAnsi="Arial" w:cs="Arial"/>
          <w:lang w:val="en-AU"/>
        </w:rPr>
        <w:t>ee LHE/24/EXP THEMA-CLIMA/4c</w:t>
      </w:r>
      <w:r w:rsidR="001E0A74" w:rsidRPr="00C34F81">
        <w:rPr>
          <w:rFonts w:ascii="Arial" w:hAnsi="Arial" w:cs="Arial"/>
          <w:lang w:val="en-AU"/>
        </w:rPr>
        <w:t>.</w:t>
      </w:r>
    </w:p>
  </w:footnote>
  <w:footnote w:id="10">
    <w:p w14:paraId="01DE4517" w14:textId="67CB7430" w:rsidR="00ED542D" w:rsidRPr="00C34F81" w:rsidRDefault="00ED542D" w:rsidP="00F544D6">
      <w:pPr>
        <w:pStyle w:val="FootnoteText"/>
        <w:ind w:left="360" w:hanging="360"/>
        <w:jc w:val="both"/>
        <w:rPr>
          <w:rFonts w:ascii="Arial" w:hAnsi="Arial" w:cs="Arial"/>
          <w:lang w:val="en-AU"/>
        </w:rPr>
      </w:pPr>
      <w:r w:rsidRPr="00C34F81">
        <w:rPr>
          <w:rStyle w:val="FootnoteReference"/>
          <w:rFonts w:ascii="Arial" w:hAnsi="Arial" w:cs="Arial"/>
        </w:rPr>
        <w:footnoteRef/>
      </w:r>
      <w:r w:rsidRPr="00C34F81">
        <w:rPr>
          <w:rFonts w:ascii="Arial" w:hAnsi="Arial" w:cs="Arial"/>
          <w:lang w:val="en-AU"/>
        </w:rPr>
        <w:t xml:space="preserve"> </w:t>
      </w:r>
      <w:r w:rsidR="00000686" w:rsidRPr="00C34F81">
        <w:rPr>
          <w:rFonts w:ascii="Arial" w:hAnsi="Arial" w:cs="Arial"/>
          <w:lang w:val="en-AU"/>
        </w:rPr>
        <w:tab/>
      </w:r>
      <w:r w:rsidRPr="00C34F81">
        <w:rPr>
          <w:rFonts w:ascii="Arial" w:hAnsi="Arial" w:cs="Arial"/>
          <w:lang w:val="en-AU"/>
        </w:rPr>
        <w:t>In this Guidance Note, the term ‘communities’ is understood to refer to ‘communities, groups and where applicable, individuals’, as in the texts of the 2003 Convention. However, differences in context, and in the specificity of the positions and interests of individuals and groups within different communities, including Indigenous Peoples, should be recognized.</w:t>
      </w:r>
    </w:p>
  </w:footnote>
  <w:footnote w:id="11">
    <w:p w14:paraId="2A8A4D9F" w14:textId="6A368437" w:rsidR="0088468D" w:rsidRPr="00C34F81" w:rsidRDefault="0088468D" w:rsidP="00F544D6">
      <w:pPr>
        <w:pStyle w:val="FootnoteText"/>
        <w:ind w:left="360" w:hanging="360"/>
        <w:jc w:val="both"/>
        <w:rPr>
          <w:rFonts w:ascii="Arial" w:hAnsi="Arial" w:cs="Arial"/>
        </w:rPr>
      </w:pPr>
      <w:r w:rsidRPr="00C34F81">
        <w:rPr>
          <w:rStyle w:val="FootnoteReference"/>
          <w:rFonts w:ascii="Arial" w:hAnsi="Arial" w:cs="Arial"/>
        </w:rPr>
        <w:footnoteRef/>
      </w:r>
      <w:r w:rsidRPr="00C34F81">
        <w:rPr>
          <w:rFonts w:ascii="Arial" w:hAnsi="Arial" w:cs="Arial"/>
        </w:rPr>
        <w:t xml:space="preserve"> </w:t>
      </w:r>
      <w:r w:rsidR="009943E8" w:rsidRPr="00C34F81">
        <w:rPr>
          <w:rFonts w:ascii="Arial" w:hAnsi="Arial" w:cs="Arial"/>
        </w:rPr>
        <w:tab/>
      </w:r>
      <w:r w:rsidRPr="00C34F81">
        <w:rPr>
          <w:rFonts w:ascii="Arial" w:hAnsi="Arial" w:cs="Arial"/>
        </w:rPr>
        <w:t>IPCC 2023, 5-6.</w:t>
      </w:r>
    </w:p>
  </w:footnote>
  <w:footnote w:id="12">
    <w:p w14:paraId="35CD447F" w14:textId="487B1316" w:rsidR="00465648" w:rsidRPr="00C34F81" w:rsidRDefault="00465648" w:rsidP="00F544D6">
      <w:pPr>
        <w:pStyle w:val="FootnoteText"/>
        <w:ind w:left="360" w:hanging="360"/>
        <w:jc w:val="both"/>
        <w:rPr>
          <w:rFonts w:ascii="Arial" w:hAnsi="Arial" w:cs="Arial"/>
        </w:rPr>
      </w:pPr>
      <w:r w:rsidRPr="00C34F81">
        <w:rPr>
          <w:rStyle w:val="FootnoteReference"/>
          <w:rFonts w:ascii="Arial" w:hAnsi="Arial" w:cs="Arial"/>
        </w:rPr>
        <w:footnoteRef/>
      </w:r>
      <w:r w:rsidRPr="00C34F81">
        <w:rPr>
          <w:rFonts w:ascii="Arial" w:hAnsi="Arial" w:cs="Arial"/>
        </w:rPr>
        <w:t xml:space="preserve"> </w:t>
      </w:r>
      <w:r w:rsidR="009943E8" w:rsidRPr="00C34F81">
        <w:rPr>
          <w:rFonts w:ascii="Arial" w:hAnsi="Arial" w:cs="Arial"/>
        </w:rPr>
        <w:tab/>
      </w:r>
      <w:r w:rsidRPr="00C34F81">
        <w:rPr>
          <w:rFonts w:ascii="Arial" w:hAnsi="Arial" w:cs="Arial"/>
        </w:rPr>
        <w:t>Adger et al. 2013, 112.</w:t>
      </w:r>
    </w:p>
  </w:footnote>
  <w:footnote w:id="13">
    <w:p w14:paraId="14412600" w14:textId="6D71A289" w:rsidR="008E6485" w:rsidRPr="00C34F81" w:rsidRDefault="008E6485" w:rsidP="00F544D6">
      <w:pPr>
        <w:pStyle w:val="FootnoteText"/>
        <w:ind w:left="360" w:hanging="360"/>
        <w:jc w:val="both"/>
        <w:rPr>
          <w:rFonts w:ascii="Arial" w:hAnsi="Arial" w:cs="Arial"/>
        </w:rPr>
      </w:pPr>
      <w:r w:rsidRPr="00C34F81">
        <w:rPr>
          <w:rStyle w:val="FootnoteReference"/>
          <w:rFonts w:ascii="Arial" w:hAnsi="Arial" w:cs="Arial"/>
        </w:rPr>
        <w:footnoteRef/>
      </w:r>
      <w:r w:rsidRPr="00C34F81">
        <w:rPr>
          <w:rFonts w:ascii="Arial" w:hAnsi="Arial" w:cs="Arial"/>
        </w:rPr>
        <w:t xml:space="preserve"> </w:t>
      </w:r>
      <w:r w:rsidR="009943E8" w:rsidRPr="00C34F81">
        <w:rPr>
          <w:rFonts w:ascii="Arial" w:hAnsi="Arial" w:cs="Arial"/>
        </w:rPr>
        <w:tab/>
      </w:r>
      <w:hyperlink r:id="rId1" w:history="1">
        <w:r w:rsidR="009943E8" w:rsidRPr="00C34F81">
          <w:rPr>
            <w:rStyle w:val="Hyperlink"/>
            <w:rFonts w:ascii="Arial" w:hAnsi="Arial" w:cs="Arial"/>
          </w:rPr>
          <w:t>https://www.ipcc.ch/report/ar6/wg3/downloads/faqs/IPCC_AR6_WGIII_FAQ_Chapter_01.pdf</w:t>
        </w:r>
      </w:hyperlink>
      <w:r w:rsidR="003E1A21" w:rsidRPr="00C34F81">
        <w:rPr>
          <w:rFonts w:ascii="Arial" w:hAnsi="Arial" w:cs="Arial"/>
        </w:rPr>
        <w:t xml:space="preserve"> </w:t>
      </w:r>
    </w:p>
  </w:footnote>
  <w:footnote w:id="14">
    <w:p w14:paraId="62CCF484" w14:textId="694B963F" w:rsidR="003E1A21" w:rsidRPr="00C34F81" w:rsidRDefault="003E1A21" w:rsidP="00F544D6">
      <w:pPr>
        <w:pStyle w:val="FootnoteText"/>
        <w:ind w:left="360" w:hanging="360"/>
        <w:jc w:val="both"/>
        <w:rPr>
          <w:rFonts w:ascii="Arial" w:hAnsi="Arial" w:cs="Arial"/>
          <w:lang w:val="en-AU"/>
        </w:rPr>
      </w:pPr>
      <w:r w:rsidRPr="00C34F81">
        <w:rPr>
          <w:rStyle w:val="FootnoteReference"/>
          <w:rFonts w:ascii="Arial" w:hAnsi="Arial" w:cs="Arial"/>
        </w:rPr>
        <w:footnoteRef/>
      </w:r>
      <w:r w:rsidRPr="00C34F81">
        <w:rPr>
          <w:rFonts w:ascii="Arial" w:hAnsi="Arial" w:cs="Arial"/>
          <w:lang w:val="en-AU"/>
        </w:rPr>
        <w:t xml:space="preserve"> </w:t>
      </w:r>
      <w:r w:rsidR="009943E8" w:rsidRPr="00C34F81">
        <w:rPr>
          <w:rFonts w:ascii="Arial" w:hAnsi="Arial" w:cs="Arial"/>
          <w:lang w:val="en-AU"/>
        </w:rPr>
        <w:tab/>
      </w:r>
      <w:r w:rsidR="00E55A01">
        <w:rPr>
          <w:rFonts w:ascii="Arial" w:hAnsi="Arial" w:cs="Arial"/>
          <w:lang w:val="en-AU"/>
        </w:rPr>
        <w:t>S</w:t>
      </w:r>
      <w:r w:rsidRPr="00C34F81">
        <w:rPr>
          <w:rFonts w:ascii="Arial" w:hAnsi="Arial" w:cs="Arial"/>
          <w:lang w:val="en-AU"/>
        </w:rPr>
        <w:t>ee LHE/24/EXP THEMA-CLIMA/4d.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BBA7F" w14:textId="56026978" w:rsidR="00B6167A" w:rsidRPr="00387BEE" w:rsidRDefault="00FD1941" w:rsidP="009B55AC">
    <w:pPr>
      <w:pStyle w:val="Header"/>
      <w:rPr>
        <w:rFonts w:ascii="Arial" w:hAnsi="Arial" w:cs="Arial"/>
        <w:sz w:val="20"/>
        <w:szCs w:val="20"/>
        <w:lang w:val="es-ES"/>
      </w:rPr>
    </w:pPr>
    <w:r w:rsidRPr="00387BEE">
      <w:rPr>
        <w:rFonts w:ascii="Arial" w:hAnsi="Arial"/>
        <w:sz w:val="20"/>
        <w:szCs w:val="20"/>
        <w:lang w:val="es-ES"/>
      </w:rPr>
      <w:t>LHE/2</w:t>
    </w:r>
    <w:r w:rsidR="00147755" w:rsidRPr="00387BEE">
      <w:rPr>
        <w:rFonts w:ascii="Arial" w:hAnsi="Arial"/>
        <w:sz w:val="20"/>
        <w:szCs w:val="20"/>
        <w:lang w:val="es-ES"/>
      </w:rPr>
      <w:t>4</w:t>
    </w:r>
    <w:r w:rsidRPr="00387BEE">
      <w:rPr>
        <w:rFonts w:ascii="Arial" w:hAnsi="Arial"/>
        <w:sz w:val="20"/>
        <w:szCs w:val="20"/>
        <w:lang w:val="es-ES"/>
      </w:rPr>
      <w:t>/EXP THEMA-</w:t>
    </w:r>
    <w:r w:rsidR="002236C8" w:rsidRPr="00387BEE">
      <w:rPr>
        <w:rFonts w:ascii="Arial" w:hAnsi="Arial"/>
        <w:sz w:val="20"/>
        <w:szCs w:val="20"/>
        <w:lang w:val="es-ES"/>
      </w:rPr>
      <w:t>CLIMA</w:t>
    </w:r>
    <w:r w:rsidRPr="00387BEE">
      <w:rPr>
        <w:rFonts w:ascii="Arial" w:hAnsi="Arial"/>
        <w:sz w:val="20"/>
        <w:szCs w:val="20"/>
        <w:lang w:val="es-ES"/>
      </w:rPr>
      <w:t>/</w:t>
    </w:r>
    <w:r w:rsidR="00EE55B4" w:rsidRPr="00387BEE">
      <w:rPr>
        <w:rFonts w:ascii="Arial" w:hAnsi="Arial"/>
        <w:sz w:val="20"/>
        <w:szCs w:val="20"/>
        <w:lang w:val="es-ES"/>
      </w:rPr>
      <w:t>3</w:t>
    </w:r>
    <w:r w:rsidRPr="00387BEE">
      <w:rPr>
        <w:rFonts w:ascii="Arial" w:hAnsi="Arial"/>
        <w:sz w:val="20"/>
        <w:szCs w:val="20"/>
        <w:lang w:val="es-ES"/>
      </w:rPr>
      <w:t xml:space="preserve"> – page </w:t>
    </w:r>
    <w:r w:rsidR="00B6167A" w:rsidRPr="00387BEE">
      <w:rPr>
        <w:rStyle w:val="PageNumber"/>
        <w:rFonts w:ascii="Arial" w:hAnsi="Arial" w:cs="Arial"/>
        <w:sz w:val="20"/>
        <w:szCs w:val="20"/>
      </w:rPr>
      <w:fldChar w:fldCharType="begin"/>
    </w:r>
    <w:r w:rsidR="00B6167A" w:rsidRPr="00387BEE">
      <w:rPr>
        <w:rStyle w:val="PageNumber"/>
        <w:rFonts w:ascii="Arial" w:hAnsi="Arial" w:cs="Arial"/>
        <w:sz w:val="20"/>
        <w:szCs w:val="20"/>
        <w:lang w:val="es-ES"/>
      </w:rPr>
      <w:instrText xml:space="preserve"> PAGE </w:instrText>
    </w:r>
    <w:r w:rsidR="00B6167A" w:rsidRPr="00387BEE">
      <w:rPr>
        <w:rStyle w:val="PageNumber"/>
        <w:rFonts w:ascii="Arial" w:hAnsi="Arial" w:cs="Arial"/>
        <w:sz w:val="20"/>
        <w:szCs w:val="20"/>
      </w:rPr>
      <w:fldChar w:fldCharType="separate"/>
    </w:r>
    <w:r w:rsidR="00570814" w:rsidRPr="00387BEE">
      <w:rPr>
        <w:rStyle w:val="PageNumber"/>
        <w:rFonts w:ascii="Arial" w:hAnsi="Arial" w:cs="Arial"/>
        <w:sz w:val="20"/>
        <w:szCs w:val="20"/>
        <w:lang w:val="es-ES"/>
      </w:rPr>
      <w:t>2</w:t>
    </w:r>
    <w:r w:rsidR="00B6167A" w:rsidRPr="00387BEE">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3062F" w14:textId="1703DB8D" w:rsidR="00B6167A" w:rsidRPr="00127EBA" w:rsidRDefault="00105BEB" w:rsidP="00FD6E38">
    <w:pPr>
      <w:pStyle w:val="Header"/>
      <w:ind w:left="2544" w:right="100"/>
      <w:jc w:val="right"/>
      <w:rPr>
        <w:rFonts w:ascii="Arial" w:hAnsi="Arial" w:cs="Arial"/>
        <w:lang w:val="es-ES"/>
      </w:rPr>
    </w:pPr>
    <w:r w:rsidRPr="00127EBA">
      <w:rPr>
        <w:rFonts w:ascii="Arial" w:hAnsi="Arial"/>
        <w:sz w:val="20"/>
        <w:lang w:val="es-ES"/>
      </w:rPr>
      <w:t>LHE/2</w:t>
    </w:r>
    <w:r w:rsidR="00147755">
      <w:rPr>
        <w:rFonts w:ascii="Arial" w:hAnsi="Arial"/>
        <w:sz w:val="20"/>
        <w:lang w:val="es-ES"/>
      </w:rPr>
      <w:t>4</w:t>
    </w:r>
    <w:r w:rsidRPr="00127EBA">
      <w:rPr>
        <w:rFonts w:ascii="Arial" w:hAnsi="Arial"/>
        <w:sz w:val="20"/>
        <w:lang w:val="es-ES"/>
      </w:rPr>
      <w:t>/EXP THEMA-</w:t>
    </w:r>
    <w:r w:rsidR="00147755">
      <w:rPr>
        <w:rFonts w:ascii="Arial" w:hAnsi="Arial"/>
        <w:sz w:val="20"/>
        <w:lang w:val="es-ES"/>
      </w:rPr>
      <w:t>CLIMA</w:t>
    </w:r>
    <w:r w:rsidRPr="00127EBA">
      <w:rPr>
        <w:rFonts w:ascii="Arial" w:hAnsi="Arial"/>
        <w:sz w:val="20"/>
        <w:lang w:val="es-ES"/>
      </w:rPr>
      <w:t>/</w:t>
    </w:r>
    <w:r w:rsidR="00147755">
      <w:rPr>
        <w:rFonts w:ascii="Arial" w:hAnsi="Arial"/>
        <w:sz w:val="20"/>
        <w:lang w:val="es-ES"/>
      </w:rPr>
      <w:t>3</w:t>
    </w:r>
    <w:r w:rsidRPr="00127EBA">
      <w:rPr>
        <w:rFonts w:ascii="Arial" w:hAnsi="Arial"/>
        <w:sz w:val="20"/>
        <w:lang w:val="es-ES"/>
      </w:rPr>
      <w:t xml:space="preserve"> – page </w:t>
    </w:r>
    <w:r w:rsidR="001E4EEB" w:rsidRPr="00127EBA">
      <w:rPr>
        <w:rStyle w:val="PageNumber"/>
        <w:rFonts w:ascii="Arial" w:hAnsi="Arial" w:cs="Arial"/>
        <w:sz w:val="20"/>
      </w:rPr>
      <w:fldChar w:fldCharType="begin"/>
    </w:r>
    <w:r w:rsidR="001E4EEB" w:rsidRPr="00127EBA">
      <w:rPr>
        <w:rStyle w:val="PageNumber"/>
        <w:rFonts w:ascii="Arial" w:hAnsi="Arial" w:cs="Arial"/>
        <w:sz w:val="20"/>
        <w:lang w:val="es-ES"/>
      </w:rPr>
      <w:instrText xml:space="preserve"> PAGE </w:instrText>
    </w:r>
    <w:r w:rsidR="001E4EEB" w:rsidRPr="00127EBA">
      <w:rPr>
        <w:rStyle w:val="PageNumber"/>
        <w:rFonts w:ascii="Arial" w:hAnsi="Arial" w:cs="Arial"/>
        <w:sz w:val="20"/>
      </w:rPr>
      <w:fldChar w:fldCharType="separate"/>
    </w:r>
    <w:r w:rsidR="00570814" w:rsidRPr="00127EBA">
      <w:rPr>
        <w:rStyle w:val="PageNumber"/>
        <w:rFonts w:ascii="Arial" w:hAnsi="Arial" w:cs="Arial"/>
        <w:sz w:val="20"/>
        <w:lang w:val="es-ES"/>
      </w:rPr>
      <w:t>3</w:t>
    </w:r>
    <w:r w:rsidR="001E4EEB" w:rsidRPr="00127EBA">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B1DD4" w14:textId="0A5F38E4" w:rsidR="00B6167A" w:rsidRPr="00886BD8" w:rsidRDefault="00D25BC4" w:rsidP="008D2296">
    <w:pPr>
      <w:pStyle w:val="Header"/>
      <w:jc w:val="right"/>
      <w:rPr>
        <w:vanish/>
      </w:rPr>
    </w:pPr>
    <w:r>
      <w:rPr>
        <w:noProof/>
        <w:lang w:val="en-GB"/>
      </w:rPr>
      <w:drawing>
        <wp:anchor distT="0" distB="0" distL="114300" distR="114300" simplePos="0" relativeHeight="251657728" behindDoc="0" locked="0" layoutInCell="1" allowOverlap="1" wp14:anchorId="0D895FEE" wp14:editId="345BBB7A">
          <wp:simplePos x="0" y="0"/>
          <wp:positionH relativeFrom="column">
            <wp:posOffset>0</wp:posOffset>
          </wp:positionH>
          <wp:positionV relativeFrom="paragraph">
            <wp:posOffset>85725</wp:posOffset>
          </wp:positionV>
          <wp:extent cx="1711325" cy="1296035"/>
          <wp:effectExtent l="0" t="0" r="3175" b="0"/>
          <wp:wrapSquare wrapText="bothSides"/>
          <wp:docPr id="435060188" name="Imag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550076" name="Imag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3FA27" w14:textId="3B73DF02" w:rsidR="00105BEB" w:rsidRPr="00F60CFE" w:rsidRDefault="00105BEB" w:rsidP="008D2296">
    <w:pPr>
      <w:pStyle w:val="Header"/>
      <w:tabs>
        <w:tab w:val="clear" w:pos="4536"/>
        <w:tab w:val="center" w:pos="5387"/>
      </w:tabs>
      <w:spacing w:after="520"/>
      <w:jc w:val="right"/>
      <w:rPr>
        <w:rFonts w:ascii="Arial" w:hAnsi="Arial" w:cs="Arial"/>
        <w:b/>
        <w:sz w:val="44"/>
        <w:szCs w:val="44"/>
        <w:lang w:val="es-ES"/>
      </w:rPr>
    </w:pPr>
    <w:r w:rsidRPr="00F60CFE">
      <w:rPr>
        <w:rFonts w:ascii="Arial" w:hAnsi="Arial"/>
        <w:b/>
        <w:sz w:val="44"/>
        <w:lang w:val="pt-PT"/>
      </w:rPr>
      <w:t>EXP THEMA-</w:t>
    </w:r>
    <w:r w:rsidR="002236C8">
      <w:rPr>
        <w:rFonts w:ascii="Arial" w:hAnsi="Arial"/>
        <w:b/>
        <w:sz w:val="44"/>
        <w:lang w:val="pt-PT"/>
      </w:rPr>
      <w:t>CLIMA</w:t>
    </w:r>
  </w:p>
  <w:p w14:paraId="49E05D1F" w14:textId="5A1B871A" w:rsidR="00105BEB" w:rsidRPr="008D2296" w:rsidRDefault="00105BEB" w:rsidP="00105BEB">
    <w:pPr>
      <w:spacing w:after="0"/>
      <w:jc w:val="right"/>
      <w:rPr>
        <w:rFonts w:ascii="Arial" w:hAnsi="Arial" w:cs="Arial"/>
        <w:b/>
        <w:szCs w:val="22"/>
        <w:lang w:val="es-ES"/>
      </w:rPr>
    </w:pPr>
    <w:r w:rsidRPr="00F60CFE">
      <w:rPr>
        <w:rFonts w:ascii="Arial" w:hAnsi="Arial"/>
        <w:b/>
        <w:lang w:val="pt-PT"/>
      </w:rPr>
      <w:t>LHE/2</w:t>
    </w:r>
    <w:r w:rsidR="002236C8">
      <w:rPr>
        <w:rFonts w:ascii="Arial" w:hAnsi="Arial"/>
        <w:b/>
        <w:lang w:val="pt-PT"/>
      </w:rPr>
      <w:t>4</w:t>
    </w:r>
    <w:r w:rsidRPr="00F60CFE">
      <w:rPr>
        <w:rFonts w:ascii="Arial" w:hAnsi="Arial"/>
        <w:b/>
        <w:lang w:val="pt-PT"/>
      </w:rPr>
      <w:t>/</w:t>
    </w:r>
    <w:bookmarkStart w:id="6" w:name="_Hlk94624970"/>
    <w:r w:rsidRPr="00F60CFE">
      <w:rPr>
        <w:rFonts w:ascii="Arial" w:hAnsi="Arial"/>
        <w:b/>
        <w:lang w:val="pt-PT"/>
      </w:rPr>
      <w:t>EXP THEMA-</w:t>
    </w:r>
    <w:r w:rsidR="002236C8">
      <w:rPr>
        <w:rFonts w:ascii="Arial" w:hAnsi="Arial"/>
        <w:b/>
        <w:lang w:val="pt-PT"/>
      </w:rPr>
      <w:t>CLIMA</w:t>
    </w:r>
    <w:r w:rsidRPr="00F60CFE">
      <w:rPr>
        <w:rFonts w:ascii="Arial" w:hAnsi="Arial"/>
        <w:b/>
        <w:lang w:val="pt-PT"/>
      </w:rPr>
      <w:t>/</w:t>
    </w:r>
    <w:r w:rsidR="00EE55B4">
      <w:rPr>
        <w:rFonts w:ascii="Arial" w:hAnsi="Arial"/>
        <w:b/>
        <w:lang w:val="pt-PT"/>
      </w:rPr>
      <w:t>3</w:t>
    </w:r>
  </w:p>
  <w:bookmarkEnd w:id="6"/>
  <w:p w14:paraId="3F614105" w14:textId="7720C808" w:rsidR="00105BEB" w:rsidRPr="00F60CFE" w:rsidRDefault="00105BEB" w:rsidP="00105BEB">
    <w:pPr>
      <w:spacing w:after="0"/>
      <w:jc w:val="right"/>
      <w:rPr>
        <w:rFonts w:ascii="Arial" w:eastAsiaTheme="minorEastAsia" w:hAnsi="Arial" w:cs="Arial"/>
        <w:b/>
        <w:szCs w:val="22"/>
      </w:rPr>
    </w:pPr>
    <w:r w:rsidRPr="00F60CFE">
      <w:rPr>
        <w:rFonts w:ascii="Arial" w:hAnsi="Arial"/>
        <w:b/>
        <w:lang w:val="pt-PT"/>
      </w:rPr>
      <w:t xml:space="preserve">Paris, </w:t>
    </w:r>
    <w:r w:rsidR="00D25BC4">
      <w:rPr>
        <w:rFonts w:ascii="Arial" w:hAnsi="Arial"/>
        <w:b/>
        <w:lang w:val="pt-PT"/>
      </w:rPr>
      <w:t xml:space="preserve">14 </w:t>
    </w:r>
    <w:r w:rsidR="002236C8">
      <w:rPr>
        <w:rFonts w:ascii="Arial" w:hAnsi="Arial"/>
        <w:b/>
        <w:lang w:val="pt-PT"/>
      </w:rPr>
      <w:t>June</w:t>
    </w:r>
    <w:r w:rsidRPr="00F60CFE">
      <w:rPr>
        <w:rFonts w:ascii="Arial" w:hAnsi="Arial"/>
        <w:b/>
        <w:lang w:val="pt-PT"/>
      </w:rPr>
      <w:t xml:space="preserve"> 202</w:t>
    </w:r>
    <w:r w:rsidR="002236C8">
      <w:rPr>
        <w:rFonts w:ascii="Arial" w:hAnsi="Arial"/>
        <w:b/>
        <w:lang w:val="pt-PT"/>
      </w:rPr>
      <w:t>4</w:t>
    </w:r>
  </w:p>
  <w:p w14:paraId="03DAB48F" w14:textId="7B489E7F" w:rsidR="00AE0CCF" w:rsidRPr="00F60CFE" w:rsidRDefault="00AE0CCF" w:rsidP="009F265A">
    <w:pPr>
      <w:spacing w:after="0"/>
      <w:jc w:val="right"/>
      <w:rPr>
        <w:rFonts w:ascii="Arial" w:hAnsi="Arial" w:cs="Arial"/>
        <w:b/>
        <w:szCs w:val="22"/>
      </w:rPr>
    </w:pPr>
    <w:r w:rsidRPr="00105F2A">
      <w:rPr>
        <w:rFonts w:ascii="Arial" w:hAnsi="Arial"/>
        <w:b/>
      </w:rPr>
      <w:t>Original: English</w:t>
    </w:r>
  </w:p>
  <w:p w14:paraId="784D8DE4" w14:textId="77777777" w:rsidR="00B6167A" w:rsidRDefault="00B6167A">
    <w:pPr>
      <w:pStyle w:val="Header"/>
      <w:rPr>
        <w:vanish/>
      </w:rPr>
    </w:pPr>
  </w:p>
  <w:p w14:paraId="2F966F6A" w14:textId="77777777" w:rsidR="00D23F08" w:rsidRPr="00886BD8" w:rsidRDefault="00D23F08">
    <w:pPr>
      <w:pStyle w:val="Header"/>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B910FA"/>
    <w:multiLevelType w:val="hybridMultilevel"/>
    <w:tmpl w:val="F024549A"/>
    <w:lvl w:ilvl="0" w:tplc="20A602E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55926D6"/>
    <w:multiLevelType w:val="hybridMultilevel"/>
    <w:tmpl w:val="5F2A3C14"/>
    <w:lvl w:ilvl="0" w:tplc="FFFFFFFF">
      <w:start w:val="1"/>
      <w:numFmt w:val="upperLetter"/>
      <w:lvlText w:val="%1."/>
      <w:lvlJc w:val="left"/>
      <w:pPr>
        <w:ind w:left="486" w:hanging="360"/>
      </w:pPr>
    </w:lvl>
    <w:lvl w:ilvl="1" w:tplc="FFFFFFFF" w:tentative="1">
      <w:start w:val="1"/>
      <w:numFmt w:val="lowerLetter"/>
      <w:lvlText w:val="%2."/>
      <w:lvlJc w:val="left"/>
      <w:pPr>
        <w:ind w:left="1991" w:hanging="360"/>
      </w:pPr>
    </w:lvl>
    <w:lvl w:ilvl="2" w:tplc="FFFFFFFF" w:tentative="1">
      <w:start w:val="1"/>
      <w:numFmt w:val="lowerRoman"/>
      <w:lvlText w:val="%3."/>
      <w:lvlJc w:val="right"/>
      <w:pPr>
        <w:ind w:left="2711" w:hanging="180"/>
      </w:pPr>
    </w:lvl>
    <w:lvl w:ilvl="3" w:tplc="FFFFFFFF" w:tentative="1">
      <w:start w:val="1"/>
      <w:numFmt w:val="decimal"/>
      <w:lvlText w:val="%4."/>
      <w:lvlJc w:val="left"/>
      <w:pPr>
        <w:ind w:left="3431" w:hanging="360"/>
      </w:pPr>
    </w:lvl>
    <w:lvl w:ilvl="4" w:tplc="FFFFFFFF" w:tentative="1">
      <w:start w:val="1"/>
      <w:numFmt w:val="lowerLetter"/>
      <w:lvlText w:val="%5."/>
      <w:lvlJc w:val="left"/>
      <w:pPr>
        <w:ind w:left="4151" w:hanging="360"/>
      </w:pPr>
    </w:lvl>
    <w:lvl w:ilvl="5" w:tplc="FFFFFFFF" w:tentative="1">
      <w:start w:val="1"/>
      <w:numFmt w:val="lowerRoman"/>
      <w:lvlText w:val="%6."/>
      <w:lvlJc w:val="right"/>
      <w:pPr>
        <w:ind w:left="4871" w:hanging="180"/>
      </w:pPr>
    </w:lvl>
    <w:lvl w:ilvl="6" w:tplc="FFFFFFFF" w:tentative="1">
      <w:start w:val="1"/>
      <w:numFmt w:val="decimal"/>
      <w:lvlText w:val="%7."/>
      <w:lvlJc w:val="left"/>
      <w:pPr>
        <w:ind w:left="5591" w:hanging="360"/>
      </w:pPr>
    </w:lvl>
    <w:lvl w:ilvl="7" w:tplc="FFFFFFFF" w:tentative="1">
      <w:start w:val="1"/>
      <w:numFmt w:val="lowerLetter"/>
      <w:lvlText w:val="%8."/>
      <w:lvlJc w:val="left"/>
      <w:pPr>
        <w:ind w:left="6311" w:hanging="360"/>
      </w:pPr>
    </w:lvl>
    <w:lvl w:ilvl="8" w:tplc="FFFFFFFF" w:tentative="1">
      <w:start w:val="1"/>
      <w:numFmt w:val="lowerRoman"/>
      <w:lvlText w:val="%9."/>
      <w:lvlJc w:val="right"/>
      <w:pPr>
        <w:ind w:left="7031" w:hanging="180"/>
      </w:pPr>
    </w:lvl>
  </w:abstractNum>
  <w:abstractNum w:abstractNumId="3" w15:restartNumberingAfterBreak="0">
    <w:nsid w:val="1BFF2DC9"/>
    <w:multiLevelType w:val="hybridMultilevel"/>
    <w:tmpl w:val="561E37C2"/>
    <w:lvl w:ilvl="0" w:tplc="5C5E1A4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874593"/>
    <w:multiLevelType w:val="hybridMultilevel"/>
    <w:tmpl w:val="3632A1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AE26DA7"/>
    <w:multiLevelType w:val="hybridMultilevel"/>
    <w:tmpl w:val="FCDACE9E"/>
    <w:lvl w:ilvl="0" w:tplc="5BD6B9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B216B"/>
    <w:multiLevelType w:val="multilevel"/>
    <w:tmpl w:val="5BBE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46DE6ABF"/>
    <w:multiLevelType w:val="hybridMultilevel"/>
    <w:tmpl w:val="654A363C"/>
    <w:lvl w:ilvl="0" w:tplc="0809000F">
      <w:start w:val="1"/>
      <w:numFmt w:val="decimal"/>
      <w:lvlText w:val="%1."/>
      <w:lvlJc w:val="left"/>
      <w:pPr>
        <w:ind w:left="928" w:hanging="360"/>
      </w:pPr>
    </w:lvl>
    <w:lvl w:ilvl="1" w:tplc="FFFFFFFF">
      <w:start w:val="1"/>
      <w:numFmt w:val="lowerLetter"/>
      <w:lvlText w:val="%2."/>
      <w:lvlJc w:val="left"/>
      <w:pPr>
        <w:ind w:left="2433" w:hanging="360"/>
      </w:pPr>
    </w:lvl>
    <w:lvl w:ilvl="2" w:tplc="FFFFFFFF">
      <w:start w:val="1"/>
      <w:numFmt w:val="lowerRoman"/>
      <w:lvlText w:val="%3."/>
      <w:lvlJc w:val="right"/>
      <w:pPr>
        <w:ind w:left="3153" w:hanging="180"/>
      </w:pPr>
    </w:lvl>
    <w:lvl w:ilvl="3" w:tplc="FFFFFFFF">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2" w15:restartNumberingAfterBreak="0">
    <w:nsid w:val="5B8424FE"/>
    <w:multiLevelType w:val="hybridMultilevel"/>
    <w:tmpl w:val="9ACE7ECE"/>
    <w:lvl w:ilvl="0" w:tplc="2BD02E7E">
      <w:start w:val="1"/>
      <w:numFmt w:val="bullet"/>
      <w:lvlText w:val=""/>
      <w:lvlJc w:val="left"/>
      <w:pPr>
        <w:ind w:left="720" w:hanging="360"/>
      </w:pPr>
      <w:rPr>
        <w:rFonts w:ascii="Symbol" w:hAnsi="Symbol"/>
      </w:rPr>
    </w:lvl>
    <w:lvl w:ilvl="1" w:tplc="F0A6C45E">
      <w:start w:val="1"/>
      <w:numFmt w:val="bullet"/>
      <w:lvlText w:val=""/>
      <w:lvlJc w:val="left"/>
      <w:pPr>
        <w:ind w:left="720" w:hanging="360"/>
      </w:pPr>
      <w:rPr>
        <w:rFonts w:ascii="Symbol" w:hAnsi="Symbol"/>
      </w:rPr>
    </w:lvl>
    <w:lvl w:ilvl="2" w:tplc="F340652E">
      <w:start w:val="1"/>
      <w:numFmt w:val="bullet"/>
      <w:lvlText w:val=""/>
      <w:lvlJc w:val="left"/>
      <w:pPr>
        <w:ind w:left="720" w:hanging="360"/>
      </w:pPr>
      <w:rPr>
        <w:rFonts w:ascii="Symbol" w:hAnsi="Symbol"/>
      </w:rPr>
    </w:lvl>
    <w:lvl w:ilvl="3" w:tplc="105CE666">
      <w:start w:val="1"/>
      <w:numFmt w:val="bullet"/>
      <w:lvlText w:val=""/>
      <w:lvlJc w:val="left"/>
      <w:pPr>
        <w:ind w:left="720" w:hanging="360"/>
      </w:pPr>
      <w:rPr>
        <w:rFonts w:ascii="Symbol" w:hAnsi="Symbol"/>
      </w:rPr>
    </w:lvl>
    <w:lvl w:ilvl="4" w:tplc="90BE50B4">
      <w:start w:val="1"/>
      <w:numFmt w:val="bullet"/>
      <w:lvlText w:val=""/>
      <w:lvlJc w:val="left"/>
      <w:pPr>
        <w:ind w:left="720" w:hanging="360"/>
      </w:pPr>
      <w:rPr>
        <w:rFonts w:ascii="Symbol" w:hAnsi="Symbol"/>
      </w:rPr>
    </w:lvl>
    <w:lvl w:ilvl="5" w:tplc="9306B46C">
      <w:start w:val="1"/>
      <w:numFmt w:val="bullet"/>
      <w:lvlText w:val=""/>
      <w:lvlJc w:val="left"/>
      <w:pPr>
        <w:ind w:left="720" w:hanging="360"/>
      </w:pPr>
      <w:rPr>
        <w:rFonts w:ascii="Symbol" w:hAnsi="Symbol"/>
      </w:rPr>
    </w:lvl>
    <w:lvl w:ilvl="6" w:tplc="3F82DCBC">
      <w:start w:val="1"/>
      <w:numFmt w:val="bullet"/>
      <w:lvlText w:val=""/>
      <w:lvlJc w:val="left"/>
      <w:pPr>
        <w:ind w:left="720" w:hanging="360"/>
      </w:pPr>
      <w:rPr>
        <w:rFonts w:ascii="Symbol" w:hAnsi="Symbol"/>
      </w:rPr>
    </w:lvl>
    <w:lvl w:ilvl="7" w:tplc="D11A73CA">
      <w:start w:val="1"/>
      <w:numFmt w:val="bullet"/>
      <w:lvlText w:val=""/>
      <w:lvlJc w:val="left"/>
      <w:pPr>
        <w:ind w:left="720" w:hanging="360"/>
      </w:pPr>
      <w:rPr>
        <w:rFonts w:ascii="Symbol" w:hAnsi="Symbol"/>
      </w:rPr>
    </w:lvl>
    <w:lvl w:ilvl="8" w:tplc="9C8637F6">
      <w:start w:val="1"/>
      <w:numFmt w:val="bullet"/>
      <w:lvlText w:val=""/>
      <w:lvlJc w:val="left"/>
      <w:pPr>
        <w:ind w:left="720" w:hanging="360"/>
      </w:pPr>
      <w:rPr>
        <w:rFonts w:ascii="Symbol" w:hAnsi="Symbol"/>
      </w:rPr>
    </w:lvl>
  </w:abstractNum>
  <w:abstractNum w:abstractNumId="1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3A745AA"/>
    <w:multiLevelType w:val="hybridMultilevel"/>
    <w:tmpl w:val="EA6E0A82"/>
    <w:lvl w:ilvl="0" w:tplc="450E7F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401E26"/>
    <w:multiLevelType w:val="hybridMultilevel"/>
    <w:tmpl w:val="984AB370"/>
    <w:lvl w:ilvl="0" w:tplc="5C5E1A42">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813212"/>
    <w:multiLevelType w:val="multilevel"/>
    <w:tmpl w:val="35264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427377"/>
    <w:multiLevelType w:val="hybridMultilevel"/>
    <w:tmpl w:val="4ECEAEFA"/>
    <w:lvl w:ilvl="0" w:tplc="F2649ED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5476ED7"/>
    <w:multiLevelType w:val="hybridMultilevel"/>
    <w:tmpl w:val="E75E9726"/>
    <w:lvl w:ilvl="0" w:tplc="5C5E1A4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956B0E"/>
    <w:multiLevelType w:val="hybridMultilevel"/>
    <w:tmpl w:val="8CBEB964"/>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EB4132"/>
    <w:multiLevelType w:val="hybridMultilevel"/>
    <w:tmpl w:val="D9182F60"/>
    <w:lvl w:ilvl="0" w:tplc="C72EAC80">
      <w:start w:val="1"/>
      <w:numFmt w:val="bullet"/>
      <w:lvlText w:val=""/>
      <w:lvlJc w:val="left"/>
      <w:pPr>
        <w:ind w:left="720" w:hanging="360"/>
      </w:pPr>
      <w:rPr>
        <w:rFonts w:ascii="Symbol" w:hAnsi="Symbol"/>
      </w:rPr>
    </w:lvl>
    <w:lvl w:ilvl="1" w:tplc="5BE02F66">
      <w:start w:val="1"/>
      <w:numFmt w:val="bullet"/>
      <w:lvlText w:val=""/>
      <w:lvlJc w:val="left"/>
      <w:pPr>
        <w:ind w:left="720" w:hanging="360"/>
      </w:pPr>
      <w:rPr>
        <w:rFonts w:ascii="Symbol" w:hAnsi="Symbol"/>
      </w:rPr>
    </w:lvl>
    <w:lvl w:ilvl="2" w:tplc="AF7CD500">
      <w:start w:val="1"/>
      <w:numFmt w:val="bullet"/>
      <w:lvlText w:val=""/>
      <w:lvlJc w:val="left"/>
      <w:pPr>
        <w:ind w:left="720" w:hanging="360"/>
      </w:pPr>
      <w:rPr>
        <w:rFonts w:ascii="Symbol" w:hAnsi="Symbol"/>
      </w:rPr>
    </w:lvl>
    <w:lvl w:ilvl="3" w:tplc="0E38FC80">
      <w:start w:val="1"/>
      <w:numFmt w:val="bullet"/>
      <w:lvlText w:val=""/>
      <w:lvlJc w:val="left"/>
      <w:pPr>
        <w:ind w:left="720" w:hanging="360"/>
      </w:pPr>
      <w:rPr>
        <w:rFonts w:ascii="Symbol" w:hAnsi="Symbol"/>
      </w:rPr>
    </w:lvl>
    <w:lvl w:ilvl="4" w:tplc="5C1AD4A6">
      <w:start w:val="1"/>
      <w:numFmt w:val="bullet"/>
      <w:lvlText w:val=""/>
      <w:lvlJc w:val="left"/>
      <w:pPr>
        <w:ind w:left="720" w:hanging="360"/>
      </w:pPr>
      <w:rPr>
        <w:rFonts w:ascii="Symbol" w:hAnsi="Symbol"/>
      </w:rPr>
    </w:lvl>
    <w:lvl w:ilvl="5" w:tplc="9B86DBCA">
      <w:start w:val="1"/>
      <w:numFmt w:val="bullet"/>
      <w:lvlText w:val=""/>
      <w:lvlJc w:val="left"/>
      <w:pPr>
        <w:ind w:left="720" w:hanging="360"/>
      </w:pPr>
      <w:rPr>
        <w:rFonts w:ascii="Symbol" w:hAnsi="Symbol"/>
      </w:rPr>
    </w:lvl>
    <w:lvl w:ilvl="6" w:tplc="68B6A89C">
      <w:start w:val="1"/>
      <w:numFmt w:val="bullet"/>
      <w:lvlText w:val=""/>
      <w:lvlJc w:val="left"/>
      <w:pPr>
        <w:ind w:left="720" w:hanging="360"/>
      </w:pPr>
      <w:rPr>
        <w:rFonts w:ascii="Symbol" w:hAnsi="Symbol"/>
      </w:rPr>
    </w:lvl>
    <w:lvl w:ilvl="7" w:tplc="11D8E6BA">
      <w:start w:val="1"/>
      <w:numFmt w:val="bullet"/>
      <w:lvlText w:val=""/>
      <w:lvlJc w:val="left"/>
      <w:pPr>
        <w:ind w:left="720" w:hanging="360"/>
      </w:pPr>
      <w:rPr>
        <w:rFonts w:ascii="Symbol" w:hAnsi="Symbol"/>
      </w:rPr>
    </w:lvl>
    <w:lvl w:ilvl="8" w:tplc="2762627E">
      <w:start w:val="1"/>
      <w:numFmt w:val="bullet"/>
      <w:lvlText w:val=""/>
      <w:lvlJc w:val="left"/>
      <w:pPr>
        <w:ind w:left="720" w:hanging="360"/>
      </w:pPr>
      <w:rPr>
        <w:rFonts w:ascii="Symbol" w:hAnsi="Symbol"/>
      </w:rPr>
    </w:lvl>
  </w:abstractNum>
  <w:abstractNum w:abstractNumId="24" w15:restartNumberingAfterBreak="0">
    <w:nsid w:val="7D993041"/>
    <w:multiLevelType w:val="hybridMultilevel"/>
    <w:tmpl w:val="F91684A6"/>
    <w:lvl w:ilvl="0" w:tplc="F55A2D8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9037826">
    <w:abstractNumId w:val="13"/>
  </w:num>
  <w:num w:numId="2" w16cid:durableId="1781993912">
    <w:abstractNumId w:val="10"/>
  </w:num>
  <w:num w:numId="3" w16cid:durableId="38207843">
    <w:abstractNumId w:val="4"/>
  </w:num>
  <w:num w:numId="4" w16cid:durableId="323359568">
    <w:abstractNumId w:val="22"/>
  </w:num>
  <w:num w:numId="5" w16cid:durableId="748893152">
    <w:abstractNumId w:val="17"/>
  </w:num>
  <w:num w:numId="6" w16cid:durableId="810168608">
    <w:abstractNumId w:val="1"/>
  </w:num>
  <w:num w:numId="7" w16cid:durableId="1693913810">
    <w:abstractNumId w:val="6"/>
  </w:num>
  <w:num w:numId="8" w16cid:durableId="228617101">
    <w:abstractNumId w:val="9"/>
  </w:num>
  <w:num w:numId="9" w16cid:durableId="1883442986">
    <w:abstractNumId w:val="19"/>
  </w:num>
  <w:num w:numId="10" w16cid:durableId="629088898">
    <w:abstractNumId w:val="8"/>
  </w:num>
  <w:num w:numId="11" w16cid:durableId="416051630">
    <w:abstractNumId w:val="2"/>
  </w:num>
  <w:num w:numId="12" w16cid:durableId="2073235607">
    <w:abstractNumId w:val="11"/>
  </w:num>
  <w:num w:numId="13" w16cid:durableId="158472369">
    <w:abstractNumId w:val="18"/>
  </w:num>
  <w:num w:numId="14" w16cid:durableId="1041393788">
    <w:abstractNumId w:val="9"/>
    <w:lvlOverride w:ilvl="0">
      <w:startOverride w:val="1"/>
    </w:lvlOverride>
  </w:num>
  <w:num w:numId="15" w16cid:durableId="1446465880">
    <w:abstractNumId w:val="16"/>
  </w:num>
  <w:num w:numId="16" w16cid:durableId="1862670176">
    <w:abstractNumId w:val="24"/>
  </w:num>
  <w:num w:numId="17" w16cid:durableId="1954553501">
    <w:abstractNumId w:val="3"/>
  </w:num>
  <w:num w:numId="18" w16cid:durableId="1937014227">
    <w:abstractNumId w:val="15"/>
  </w:num>
  <w:num w:numId="19" w16cid:durableId="1539855720">
    <w:abstractNumId w:val="7"/>
  </w:num>
  <w:num w:numId="20" w16cid:durableId="1269775964">
    <w:abstractNumId w:val="5"/>
  </w:num>
  <w:num w:numId="21" w16cid:durableId="4016559">
    <w:abstractNumId w:val="20"/>
  </w:num>
  <w:num w:numId="22" w16cid:durableId="446194437">
    <w:abstractNumId w:val="0"/>
  </w:num>
  <w:num w:numId="23" w16cid:durableId="1756314751">
    <w:abstractNumId w:val="14"/>
  </w:num>
  <w:num w:numId="24" w16cid:durableId="1970281976">
    <w:abstractNumId w:val="21"/>
  </w:num>
  <w:num w:numId="25" w16cid:durableId="556094007">
    <w:abstractNumId w:val="12"/>
  </w:num>
  <w:num w:numId="26" w16cid:durableId="479948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0686"/>
    <w:rsid w:val="000016A4"/>
    <w:rsid w:val="000019DB"/>
    <w:rsid w:val="000047CC"/>
    <w:rsid w:val="000120FD"/>
    <w:rsid w:val="00021831"/>
    <w:rsid w:val="00021EA6"/>
    <w:rsid w:val="00023DA5"/>
    <w:rsid w:val="000252C6"/>
    <w:rsid w:val="00026986"/>
    <w:rsid w:val="00030F17"/>
    <w:rsid w:val="00031725"/>
    <w:rsid w:val="000324A2"/>
    <w:rsid w:val="00033FD7"/>
    <w:rsid w:val="000341CC"/>
    <w:rsid w:val="00037ECF"/>
    <w:rsid w:val="00041085"/>
    <w:rsid w:val="000417DA"/>
    <w:rsid w:val="00047676"/>
    <w:rsid w:val="00047E58"/>
    <w:rsid w:val="00050FCC"/>
    <w:rsid w:val="00052F86"/>
    <w:rsid w:val="00057E13"/>
    <w:rsid w:val="00066EBA"/>
    <w:rsid w:val="00067FA4"/>
    <w:rsid w:val="00073D20"/>
    <w:rsid w:val="000755E1"/>
    <w:rsid w:val="0007796C"/>
    <w:rsid w:val="00083C39"/>
    <w:rsid w:val="00085541"/>
    <w:rsid w:val="00086172"/>
    <w:rsid w:val="000864A4"/>
    <w:rsid w:val="00090F5C"/>
    <w:rsid w:val="000919EE"/>
    <w:rsid w:val="00091BDC"/>
    <w:rsid w:val="0009272A"/>
    <w:rsid w:val="00093063"/>
    <w:rsid w:val="00093330"/>
    <w:rsid w:val="000A34CE"/>
    <w:rsid w:val="000A4A5E"/>
    <w:rsid w:val="000A71BF"/>
    <w:rsid w:val="000B2521"/>
    <w:rsid w:val="000B2A3B"/>
    <w:rsid w:val="000C5594"/>
    <w:rsid w:val="000C65E4"/>
    <w:rsid w:val="000C7DCB"/>
    <w:rsid w:val="000D795D"/>
    <w:rsid w:val="000E01E2"/>
    <w:rsid w:val="000E1D6C"/>
    <w:rsid w:val="000F0F1B"/>
    <w:rsid w:val="000F2688"/>
    <w:rsid w:val="000F6B16"/>
    <w:rsid w:val="000F6B42"/>
    <w:rsid w:val="000F6F47"/>
    <w:rsid w:val="00101B98"/>
    <w:rsid w:val="00101D91"/>
    <w:rsid w:val="00105BEB"/>
    <w:rsid w:val="00105F2A"/>
    <w:rsid w:val="001064D8"/>
    <w:rsid w:val="00106B72"/>
    <w:rsid w:val="00112231"/>
    <w:rsid w:val="001128B1"/>
    <w:rsid w:val="0011384C"/>
    <w:rsid w:val="00115BBD"/>
    <w:rsid w:val="0011750D"/>
    <w:rsid w:val="0012095C"/>
    <w:rsid w:val="0012356B"/>
    <w:rsid w:val="00127EBA"/>
    <w:rsid w:val="00131B8A"/>
    <w:rsid w:val="00132D8D"/>
    <w:rsid w:val="001412DE"/>
    <w:rsid w:val="001434A8"/>
    <w:rsid w:val="00144A4D"/>
    <w:rsid w:val="00147755"/>
    <w:rsid w:val="00150270"/>
    <w:rsid w:val="00150C9E"/>
    <w:rsid w:val="00151351"/>
    <w:rsid w:val="001535EA"/>
    <w:rsid w:val="00154073"/>
    <w:rsid w:val="001544B9"/>
    <w:rsid w:val="001555A8"/>
    <w:rsid w:val="0015588B"/>
    <w:rsid w:val="00157A1B"/>
    <w:rsid w:val="00164985"/>
    <w:rsid w:val="001656C7"/>
    <w:rsid w:val="00172D64"/>
    <w:rsid w:val="0017455E"/>
    <w:rsid w:val="00174B39"/>
    <w:rsid w:val="001764CB"/>
    <w:rsid w:val="00176D39"/>
    <w:rsid w:val="00182562"/>
    <w:rsid w:val="00183B4A"/>
    <w:rsid w:val="00184262"/>
    <w:rsid w:val="00190738"/>
    <w:rsid w:val="001943EE"/>
    <w:rsid w:val="00195601"/>
    <w:rsid w:val="001A028E"/>
    <w:rsid w:val="001A431C"/>
    <w:rsid w:val="001A5DBA"/>
    <w:rsid w:val="001A5E0E"/>
    <w:rsid w:val="001A65D4"/>
    <w:rsid w:val="001B36AB"/>
    <w:rsid w:val="001B3BBF"/>
    <w:rsid w:val="001C1B4D"/>
    <w:rsid w:val="001C345F"/>
    <w:rsid w:val="001C4340"/>
    <w:rsid w:val="001C5BA7"/>
    <w:rsid w:val="001D00B5"/>
    <w:rsid w:val="001D092D"/>
    <w:rsid w:val="001D38CE"/>
    <w:rsid w:val="001D3B29"/>
    <w:rsid w:val="001D683D"/>
    <w:rsid w:val="001D7767"/>
    <w:rsid w:val="001E0A74"/>
    <w:rsid w:val="001E4EEB"/>
    <w:rsid w:val="001E51C7"/>
    <w:rsid w:val="001E6026"/>
    <w:rsid w:val="001F26C7"/>
    <w:rsid w:val="001F3696"/>
    <w:rsid w:val="001F37CA"/>
    <w:rsid w:val="001F46F6"/>
    <w:rsid w:val="002031B4"/>
    <w:rsid w:val="002046FF"/>
    <w:rsid w:val="00204B37"/>
    <w:rsid w:val="00204DF5"/>
    <w:rsid w:val="00207CCE"/>
    <w:rsid w:val="002105E4"/>
    <w:rsid w:val="00211AD7"/>
    <w:rsid w:val="002150F9"/>
    <w:rsid w:val="00217563"/>
    <w:rsid w:val="002236C8"/>
    <w:rsid w:val="00225D68"/>
    <w:rsid w:val="002262BA"/>
    <w:rsid w:val="002313FA"/>
    <w:rsid w:val="00235F4C"/>
    <w:rsid w:val="00237E43"/>
    <w:rsid w:val="00237F4F"/>
    <w:rsid w:val="002438D4"/>
    <w:rsid w:val="00244A39"/>
    <w:rsid w:val="00247D26"/>
    <w:rsid w:val="002539FB"/>
    <w:rsid w:val="002565C7"/>
    <w:rsid w:val="00257CCA"/>
    <w:rsid w:val="0026126F"/>
    <w:rsid w:val="002639FE"/>
    <w:rsid w:val="0026556A"/>
    <w:rsid w:val="0027198B"/>
    <w:rsid w:val="0027426A"/>
    <w:rsid w:val="00274B9B"/>
    <w:rsid w:val="00275FE4"/>
    <w:rsid w:val="00277839"/>
    <w:rsid w:val="0028162F"/>
    <w:rsid w:val="0028437E"/>
    <w:rsid w:val="002856CB"/>
    <w:rsid w:val="00285DB7"/>
    <w:rsid w:val="00286C0C"/>
    <w:rsid w:val="00290D5F"/>
    <w:rsid w:val="0029153E"/>
    <w:rsid w:val="002938F2"/>
    <w:rsid w:val="00293DAD"/>
    <w:rsid w:val="002A0820"/>
    <w:rsid w:val="002A0EF4"/>
    <w:rsid w:val="002A407D"/>
    <w:rsid w:val="002A5CAC"/>
    <w:rsid w:val="002A7763"/>
    <w:rsid w:val="002B366E"/>
    <w:rsid w:val="002B68A0"/>
    <w:rsid w:val="002C3A40"/>
    <w:rsid w:val="002C454A"/>
    <w:rsid w:val="002C5280"/>
    <w:rsid w:val="002C56B1"/>
    <w:rsid w:val="002D396D"/>
    <w:rsid w:val="002E258E"/>
    <w:rsid w:val="002E5584"/>
    <w:rsid w:val="002F60D4"/>
    <w:rsid w:val="0030118C"/>
    <w:rsid w:val="003037FF"/>
    <w:rsid w:val="00307B6A"/>
    <w:rsid w:val="00311182"/>
    <w:rsid w:val="003136F8"/>
    <w:rsid w:val="0031478C"/>
    <w:rsid w:val="00315994"/>
    <w:rsid w:val="003215A4"/>
    <w:rsid w:val="00324501"/>
    <w:rsid w:val="00325908"/>
    <w:rsid w:val="00325B01"/>
    <w:rsid w:val="00326DE7"/>
    <w:rsid w:val="00330C43"/>
    <w:rsid w:val="003310CC"/>
    <w:rsid w:val="00334A44"/>
    <w:rsid w:val="003357E5"/>
    <w:rsid w:val="00335D32"/>
    <w:rsid w:val="00343A85"/>
    <w:rsid w:val="00344143"/>
    <w:rsid w:val="003459CA"/>
    <w:rsid w:val="00345E34"/>
    <w:rsid w:val="00355866"/>
    <w:rsid w:val="0035648A"/>
    <w:rsid w:val="00360B4D"/>
    <w:rsid w:val="00363995"/>
    <w:rsid w:val="00365869"/>
    <w:rsid w:val="003664A2"/>
    <w:rsid w:val="00366A03"/>
    <w:rsid w:val="00371F8E"/>
    <w:rsid w:val="00371FC5"/>
    <w:rsid w:val="003744E8"/>
    <w:rsid w:val="00376CAD"/>
    <w:rsid w:val="003800BF"/>
    <w:rsid w:val="00383D34"/>
    <w:rsid w:val="003841AE"/>
    <w:rsid w:val="00386A5F"/>
    <w:rsid w:val="00387BEE"/>
    <w:rsid w:val="00393412"/>
    <w:rsid w:val="0039446E"/>
    <w:rsid w:val="003949CE"/>
    <w:rsid w:val="003A35DC"/>
    <w:rsid w:val="003A5660"/>
    <w:rsid w:val="003B1A62"/>
    <w:rsid w:val="003B2253"/>
    <w:rsid w:val="003B2456"/>
    <w:rsid w:val="003C0169"/>
    <w:rsid w:val="003C3269"/>
    <w:rsid w:val="003C523E"/>
    <w:rsid w:val="003C54A5"/>
    <w:rsid w:val="003C7065"/>
    <w:rsid w:val="003D4197"/>
    <w:rsid w:val="003D47B8"/>
    <w:rsid w:val="003E0024"/>
    <w:rsid w:val="003E0E69"/>
    <w:rsid w:val="003E1A21"/>
    <w:rsid w:val="003E7771"/>
    <w:rsid w:val="003F045A"/>
    <w:rsid w:val="003F39B4"/>
    <w:rsid w:val="0040593F"/>
    <w:rsid w:val="004108B6"/>
    <w:rsid w:val="0041666E"/>
    <w:rsid w:val="004211E5"/>
    <w:rsid w:val="004264D6"/>
    <w:rsid w:val="004279A6"/>
    <w:rsid w:val="00432EF7"/>
    <w:rsid w:val="00434773"/>
    <w:rsid w:val="004467FA"/>
    <w:rsid w:val="00447C66"/>
    <w:rsid w:val="004512FD"/>
    <w:rsid w:val="00451E22"/>
    <w:rsid w:val="00454CD8"/>
    <w:rsid w:val="00454EC2"/>
    <w:rsid w:val="00455200"/>
    <w:rsid w:val="004558AF"/>
    <w:rsid w:val="00455DEA"/>
    <w:rsid w:val="004566E7"/>
    <w:rsid w:val="0045699A"/>
    <w:rsid w:val="00463490"/>
    <w:rsid w:val="00465648"/>
    <w:rsid w:val="0047088C"/>
    <w:rsid w:val="00471B34"/>
    <w:rsid w:val="00471B91"/>
    <w:rsid w:val="0047693C"/>
    <w:rsid w:val="0048093A"/>
    <w:rsid w:val="00483688"/>
    <w:rsid w:val="00484206"/>
    <w:rsid w:val="0048640B"/>
    <w:rsid w:val="004875F4"/>
    <w:rsid w:val="00490429"/>
    <w:rsid w:val="00496999"/>
    <w:rsid w:val="004A2148"/>
    <w:rsid w:val="004A63DB"/>
    <w:rsid w:val="004A6A33"/>
    <w:rsid w:val="004A77A2"/>
    <w:rsid w:val="004A7CF9"/>
    <w:rsid w:val="004B2A50"/>
    <w:rsid w:val="004B4D76"/>
    <w:rsid w:val="004B6612"/>
    <w:rsid w:val="004B6C6B"/>
    <w:rsid w:val="004C4D03"/>
    <w:rsid w:val="004C5555"/>
    <w:rsid w:val="004D123D"/>
    <w:rsid w:val="004D5B56"/>
    <w:rsid w:val="004E056C"/>
    <w:rsid w:val="004E1146"/>
    <w:rsid w:val="004E2817"/>
    <w:rsid w:val="004E3EA7"/>
    <w:rsid w:val="004E62DC"/>
    <w:rsid w:val="004E6C99"/>
    <w:rsid w:val="004F185A"/>
    <w:rsid w:val="004F2112"/>
    <w:rsid w:val="004F23DD"/>
    <w:rsid w:val="004F4635"/>
    <w:rsid w:val="004F68AB"/>
    <w:rsid w:val="00500293"/>
    <w:rsid w:val="005016FB"/>
    <w:rsid w:val="00506921"/>
    <w:rsid w:val="00511453"/>
    <w:rsid w:val="00511955"/>
    <w:rsid w:val="00511D17"/>
    <w:rsid w:val="00512DA7"/>
    <w:rsid w:val="00515C7B"/>
    <w:rsid w:val="00516150"/>
    <w:rsid w:val="0051699F"/>
    <w:rsid w:val="005177F7"/>
    <w:rsid w:val="00525633"/>
    <w:rsid w:val="0052744F"/>
    <w:rsid w:val="005277E9"/>
    <w:rsid w:val="00530B4C"/>
    <w:rsid w:val="00532E7A"/>
    <w:rsid w:val="00540418"/>
    <w:rsid w:val="005414A1"/>
    <w:rsid w:val="0054228F"/>
    <w:rsid w:val="00546B83"/>
    <w:rsid w:val="0055787B"/>
    <w:rsid w:val="005617F2"/>
    <w:rsid w:val="005637A6"/>
    <w:rsid w:val="00563BA5"/>
    <w:rsid w:val="00566CE6"/>
    <w:rsid w:val="00570814"/>
    <w:rsid w:val="0057244C"/>
    <w:rsid w:val="005738BF"/>
    <w:rsid w:val="00576970"/>
    <w:rsid w:val="00580134"/>
    <w:rsid w:val="005804CC"/>
    <w:rsid w:val="00583611"/>
    <w:rsid w:val="00592F94"/>
    <w:rsid w:val="0059515A"/>
    <w:rsid w:val="005A1AA8"/>
    <w:rsid w:val="005A48D3"/>
    <w:rsid w:val="005A5B66"/>
    <w:rsid w:val="005B07D7"/>
    <w:rsid w:val="005B28ED"/>
    <w:rsid w:val="005B5721"/>
    <w:rsid w:val="005C0660"/>
    <w:rsid w:val="005C2D77"/>
    <w:rsid w:val="005D3E69"/>
    <w:rsid w:val="005D5F76"/>
    <w:rsid w:val="005E0377"/>
    <w:rsid w:val="005E2B26"/>
    <w:rsid w:val="005E3553"/>
    <w:rsid w:val="005E469F"/>
    <w:rsid w:val="005F0207"/>
    <w:rsid w:val="005F49FB"/>
    <w:rsid w:val="00601DD6"/>
    <w:rsid w:val="0060383A"/>
    <w:rsid w:val="00603F71"/>
    <w:rsid w:val="00606398"/>
    <w:rsid w:val="00610B21"/>
    <w:rsid w:val="00613CA4"/>
    <w:rsid w:val="00615D44"/>
    <w:rsid w:val="00624540"/>
    <w:rsid w:val="00627E2F"/>
    <w:rsid w:val="0063131C"/>
    <w:rsid w:val="00636760"/>
    <w:rsid w:val="0064242D"/>
    <w:rsid w:val="00644077"/>
    <w:rsid w:val="00646BE5"/>
    <w:rsid w:val="006515C9"/>
    <w:rsid w:val="00651F57"/>
    <w:rsid w:val="00652318"/>
    <w:rsid w:val="006529D5"/>
    <w:rsid w:val="00656729"/>
    <w:rsid w:val="00660BC5"/>
    <w:rsid w:val="00667870"/>
    <w:rsid w:val="0067005F"/>
    <w:rsid w:val="0067176D"/>
    <w:rsid w:val="006728BF"/>
    <w:rsid w:val="0067421A"/>
    <w:rsid w:val="00677DF6"/>
    <w:rsid w:val="006810A0"/>
    <w:rsid w:val="006818D7"/>
    <w:rsid w:val="00683396"/>
    <w:rsid w:val="00691B29"/>
    <w:rsid w:val="00691B3B"/>
    <w:rsid w:val="00697F77"/>
    <w:rsid w:val="006A0D86"/>
    <w:rsid w:val="006A1249"/>
    <w:rsid w:val="006A4ED4"/>
    <w:rsid w:val="006A778E"/>
    <w:rsid w:val="006B0EDC"/>
    <w:rsid w:val="006B29D3"/>
    <w:rsid w:val="006B37B5"/>
    <w:rsid w:val="006C0911"/>
    <w:rsid w:val="006C3BEA"/>
    <w:rsid w:val="006D3C96"/>
    <w:rsid w:val="006D46FB"/>
    <w:rsid w:val="006D5797"/>
    <w:rsid w:val="006D7323"/>
    <w:rsid w:val="006E31B2"/>
    <w:rsid w:val="006E7E1A"/>
    <w:rsid w:val="006E7F18"/>
    <w:rsid w:val="006F0449"/>
    <w:rsid w:val="006F3575"/>
    <w:rsid w:val="006F40B0"/>
    <w:rsid w:val="006F46C7"/>
    <w:rsid w:val="006F6049"/>
    <w:rsid w:val="00701184"/>
    <w:rsid w:val="00701B11"/>
    <w:rsid w:val="00702F5F"/>
    <w:rsid w:val="007051DD"/>
    <w:rsid w:val="007058ED"/>
    <w:rsid w:val="00707540"/>
    <w:rsid w:val="00712C3E"/>
    <w:rsid w:val="00723FD7"/>
    <w:rsid w:val="00724E8C"/>
    <w:rsid w:val="00725F58"/>
    <w:rsid w:val="00731C2D"/>
    <w:rsid w:val="00733F1A"/>
    <w:rsid w:val="00734406"/>
    <w:rsid w:val="007420D3"/>
    <w:rsid w:val="00742C6C"/>
    <w:rsid w:val="00746204"/>
    <w:rsid w:val="00747715"/>
    <w:rsid w:val="0074791F"/>
    <w:rsid w:val="00750138"/>
    <w:rsid w:val="00751220"/>
    <w:rsid w:val="007516BF"/>
    <w:rsid w:val="00753A72"/>
    <w:rsid w:val="00753DA3"/>
    <w:rsid w:val="007558A4"/>
    <w:rsid w:val="00757381"/>
    <w:rsid w:val="00761557"/>
    <w:rsid w:val="0076393E"/>
    <w:rsid w:val="00764F50"/>
    <w:rsid w:val="007657F4"/>
    <w:rsid w:val="00770A92"/>
    <w:rsid w:val="0077128C"/>
    <w:rsid w:val="00771AD1"/>
    <w:rsid w:val="00772402"/>
    <w:rsid w:val="00773B6D"/>
    <w:rsid w:val="00774A47"/>
    <w:rsid w:val="00785357"/>
    <w:rsid w:val="00790C65"/>
    <w:rsid w:val="0079502C"/>
    <w:rsid w:val="00795991"/>
    <w:rsid w:val="0079671B"/>
    <w:rsid w:val="007A3A50"/>
    <w:rsid w:val="007A5EA0"/>
    <w:rsid w:val="007A7D45"/>
    <w:rsid w:val="007B0AE6"/>
    <w:rsid w:val="007B5137"/>
    <w:rsid w:val="007B7C4B"/>
    <w:rsid w:val="007C1B00"/>
    <w:rsid w:val="007C4E20"/>
    <w:rsid w:val="007C695A"/>
    <w:rsid w:val="007D13D9"/>
    <w:rsid w:val="007D31CE"/>
    <w:rsid w:val="007D4665"/>
    <w:rsid w:val="007D5BB7"/>
    <w:rsid w:val="007D6E3D"/>
    <w:rsid w:val="007E0621"/>
    <w:rsid w:val="007E2DBC"/>
    <w:rsid w:val="007E3518"/>
    <w:rsid w:val="007E4E37"/>
    <w:rsid w:val="007E6D1B"/>
    <w:rsid w:val="007F3697"/>
    <w:rsid w:val="007F4B07"/>
    <w:rsid w:val="00800498"/>
    <w:rsid w:val="00804F3F"/>
    <w:rsid w:val="008176D5"/>
    <w:rsid w:val="0082016E"/>
    <w:rsid w:val="008346AA"/>
    <w:rsid w:val="0083488D"/>
    <w:rsid w:val="00841E59"/>
    <w:rsid w:val="008452F2"/>
    <w:rsid w:val="0084612E"/>
    <w:rsid w:val="008466C3"/>
    <w:rsid w:val="00851458"/>
    <w:rsid w:val="0086047D"/>
    <w:rsid w:val="00861192"/>
    <w:rsid w:val="00861A47"/>
    <w:rsid w:val="008645BB"/>
    <w:rsid w:val="00867F3C"/>
    <w:rsid w:val="008707FF"/>
    <w:rsid w:val="00872366"/>
    <w:rsid w:val="008724DB"/>
    <w:rsid w:val="008724E5"/>
    <w:rsid w:val="0087347C"/>
    <w:rsid w:val="008742B1"/>
    <w:rsid w:val="00874EE6"/>
    <w:rsid w:val="00881FDC"/>
    <w:rsid w:val="00882572"/>
    <w:rsid w:val="0088393A"/>
    <w:rsid w:val="0088468D"/>
    <w:rsid w:val="00886BD8"/>
    <w:rsid w:val="00886C7C"/>
    <w:rsid w:val="00896278"/>
    <w:rsid w:val="008A2D69"/>
    <w:rsid w:val="008A7908"/>
    <w:rsid w:val="008A7C95"/>
    <w:rsid w:val="008B086C"/>
    <w:rsid w:val="008B0D3F"/>
    <w:rsid w:val="008B0D8E"/>
    <w:rsid w:val="008B1039"/>
    <w:rsid w:val="008B141A"/>
    <w:rsid w:val="008B1F33"/>
    <w:rsid w:val="008B2898"/>
    <w:rsid w:val="008B324B"/>
    <w:rsid w:val="008B4CD8"/>
    <w:rsid w:val="008B5361"/>
    <w:rsid w:val="008B53B6"/>
    <w:rsid w:val="008B7874"/>
    <w:rsid w:val="008C0F9B"/>
    <w:rsid w:val="008C3D50"/>
    <w:rsid w:val="008C5DB4"/>
    <w:rsid w:val="008D01F0"/>
    <w:rsid w:val="008D2296"/>
    <w:rsid w:val="008D3BF7"/>
    <w:rsid w:val="008D7047"/>
    <w:rsid w:val="008E0C2E"/>
    <w:rsid w:val="008E42B8"/>
    <w:rsid w:val="008E6485"/>
    <w:rsid w:val="008F0EE9"/>
    <w:rsid w:val="008F16C6"/>
    <w:rsid w:val="008F29E5"/>
    <w:rsid w:val="008F34A1"/>
    <w:rsid w:val="008F422F"/>
    <w:rsid w:val="008F5923"/>
    <w:rsid w:val="008F779C"/>
    <w:rsid w:val="008F7B13"/>
    <w:rsid w:val="00903324"/>
    <w:rsid w:val="00911B46"/>
    <w:rsid w:val="009121CE"/>
    <w:rsid w:val="009127D8"/>
    <w:rsid w:val="00917177"/>
    <w:rsid w:val="009211BE"/>
    <w:rsid w:val="00921F65"/>
    <w:rsid w:val="00925993"/>
    <w:rsid w:val="009265DE"/>
    <w:rsid w:val="00936A1B"/>
    <w:rsid w:val="00937A5E"/>
    <w:rsid w:val="00940EC7"/>
    <w:rsid w:val="0094561C"/>
    <w:rsid w:val="009552A9"/>
    <w:rsid w:val="0096132D"/>
    <w:rsid w:val="009618BE"/>
    <w:rsid w:val="00963471"/>
    <w:rsid w:val="00972E7E"/>
    <w:rsid w:val="0097349C"/>
    <w:rsid w:val="00975E5C"/>
    <w:rsid w:val="009814A5"/>
    <w:rsid w:val="009863FC"/>
    <w:rsid w:val="00987645"/>
    <w:rsid w:val="00987B4F"/>
    <w:rsid w:val="009943E8"/>
    <w:rsid w:val="00994A74"/>
    <w:rsid w:val="009956B5"/>
    <w:rsid w:val="00997053"/>
    <w:rsid w:val="009A2676"/>
    <w:rsid w:val="009A4C75"/>
    <w:rsid w:val="009A6A05"/>
    <w:rsid w:val="009B236F"/>
    <w:rsid w:val="009B55AC"/>
    <w:rsid w:val="009B6974"/>
    <w:rsid w:val="009C0C87"/>
    <w:rsid w:val="009C16BF"/>
    <w:rsid w:val="009C5316"/>
    <w:rsid w:val="009D4547"/>
    <w:rsid w:val="009D5910"/>
    <w:rsid w:val="009D5E38"/>
    <w:rsid w:val="009D7913"/>
    <w:rsid w:val="009D79F4"/>
    <w:rsid w:val="009E5959"/>
    <w:rsid w:val="009E73DA"/>
    <w:rsid w:val="009E7766"/>
    <w:rsid w:val="009F0756"/>
    <w:rsid w:val="009F1955"/>
    <w:rsid w:val="009F265A"/>
    <w:rsid w:val="009F2C29"/>
    <w:rsid w:val="009F34A4"/>
    <w:rsid w:val="009F3988"/>
    <w:rsid w:val="009F4744"/>
    <w:rsid w:val="009F685A"/>
    <w:rsid w:val="00A03FBB"/>
    <w:rsid w:val="00A04204"/>
    <w:rsid w:val="00A101A7"/>
    <w:rsid w:val="00A150C7"/>
    <w:rsid w:val="00A16D7A"/>
    <w:rsid w:val="00A25BCC"/>
    <w:rsid w:val="00A3032D"/>
    <w:rsid w:val="00A30A86"/>
    <w:rsid w:val="00A347E5"/>
    <w:rsid w:val="00A36E4C"/>
    <w:rsid w:val="00A3777D"/>
    <w:rsid w:val="00A431EE"/>
    <w:rsid w:val="00A43C62"/>
    <w:rsid w:val="00A468CB"/>
    <w:rsid w:val="00A519A2"/>
    <w:rsid w:val="00A57F9A"/>
    <w:rsid w:val="00A6407E"/>
    <w:rsid w:val="00A650DF"/>
    <w:rsid w:val="00A67B78"/>
    <w:rsid w:val="00A70883"/>
    <w:rsid w:val="00A77AEB"/>
    <w:rsid w:val="00A839E3"/>
    <w:rsid w:val="00A84806"/>
    <w:rsid w:val="00A86042"/>
    <w:rsid w:val="00A90F27"/>
    <w:rsid w:val="00A922A3"/>
    <w:rsid w:val="00A92AE0"/>
    <w:rsid w:val="00A97E1D"/>
    <w:rsid w:val="00AA0784"/>
    <w:rsid w:val="00AA302A"/>
    <w:rsid w:val="00AA444A"/>
    <w:rsid w:val="00AA7522"/>
    <w:rsid w:val="00AB1528"/>
    <w:rsid w:val="00AC00A2"/>
    <w:rsid w:val="00AD09A4"/>
    <w:rsid w:val="00AD1414"/>
    <w:rsid w:val="00AD3461"/>
    <w:rsid w:val="00AD7563"/>
    <w:rsid w:val="00AE0CCF"/>
    <w:rsid w:val="00AE1B18"/>
    <w:rsid w:val="00AF1C32"/>
    <w:rsid w:val="00AF3417"/>
    <w:rsid w:val="00B007E5"/>
    <w:rsid w:val="00B00D17"/>
    <w:rsid w:val="00B10B74"/>
    <w:rsid w:val="00B11AE3"/>
    <w:rsid w:val="00B12E2B"/>
    <w:rsid w:val="00B21F51"/>
    <w:rsid w:val="00B222BE"/>
    <w:rsid w:val="00B2485A"/>
    <w:rsid w:val="00B314FE"/>
    <w:rsid w:val="00B42F57"/>
    <w:rsid w:val="00B43F93"/>
    <w:rsid w:val="00B4491A"/>
    <w:rsid w:val="00B45306"/>
    <w:rsid w:val="00B46D2E"/>
    <w:rsid w:val="00B54F05"/>
    <w:rsid w:val="00B6167A"/>
    <w:rsid w:val="00B65E0F"/>
    <w:rsid w:val="00B703EC"/>
    <w:rsid w:val="00B7244E"/>
    <w:rsid w:val="00B76262"/>
    <w:rsid w:val="00B766B1"/>
    <w:rsid w:val="00B77B39"/>
    <w:rsid w:val="00B80C8C"/>
    <w:rsid w:val="00B8417D"/>
    <w:rsid w:val="00B853CC"/>
    <w:rsid w:val="00B85471"/>
    <w:rsid w:val="00B931F1"/>
    <w:rsid w:val="00B96814"/>
    <w:rsid w:val="00B968A9"/>
    <w:rsid w:val="00B96CCA"/>
    <w:rsid w:val="00B9703D"/>
    <w:rsid w:val="00B973B5"/>
    <w:rsid w:val="00BA1D83"/>
    <w:rsid w:val="00BB1EDC"/>
    <w:rsid w:val="00BB3D37"/>
    <w:rsid w:val="00BC3EB9"/>
    <w:rsid w:val="00BC6208"/>
    <w:rsid w:val="00BC6475"/>
    <w:rsid w:val="00BD3158"/>
    <w:rsid w:val="00BD44DF"/>
    <w:rsid w:val="00BD59BD"/>
    <w:rsid w:val="00BD7180"/>
    <w:rsid w:val="00BE0B20"/>
    <w:rsid w:val="00BE2F94"/>
    <w:rsid w:val="00BE4AD0"/>
    <w:rsid w:val="00BF2CE5"/>
    <w:rsid w:val="00BF36C7"/>
    <w:rsid w:val="00BF5883"/>
    <w:rsid w:val="00C02AF6"/>
    <w:rsid w:val="00C031C5"/>
    <w:rsid w:val="00C079C4"/>
    <w:rsid w:val="00C13BE6"/>
    <w:rsid w:val="00C13E9D"/>
    <w:rsid w:val="00C1586F"/>
    <w:rsid w:val="00C1651E"/>
    <w:rsid w:val="00C20276"/>
    <w:rsid w:val="00C20592"/>
    <w:rsid w:val="00C20679"/>
    <w:rsid w:val="00C22D1C"/>
    <w:rsid w:val="00C277FF"/>
    <w:rsid w:val="00C33658"/>
    <w:rsid w:val="00C33F8D"/>
    <w:rsid w:val="00C34F81"/>
    <w:rsid w:val="00C34F9C"/>
    <w:rsid w:val="00C356C6"/>
    <w:rsid w:val="00C4406C"/>
    <w:rsid w:val="00C46678"/>
    <w:rsid w:val="00C47A3D"/>
    <w:rsid w:val="00C50507"/>
    <w:rsid w:val="00C520B8"/>
    <w:rsid w:val="00C5369B"/>
    <w:rsid w:val="00C56666"/>
    <w:rsid w:val="00C578EC"/>
    <w:rsid w:val="00C61C42"/>
    <w:rsid w:val="00C61E7F"/>
    <w:rsid w:val="00C6269B"/>
    <w:rsid w:val="00C6297F"/>
    <w:rsid w:val="00C6478B"/>
    <w:rsid w:val="00C6511F"/>
    <w:rsid w:val="00C65379"/>
    <w:rsid w:val="00C67603"/>
    <w:rsid w:val="00C70EFC"/>
    <w:rsid w:val="00C72D69"/>
    <w:rsid w:val="00C824FA"/>
    <w:rsid w:val="00C85065"/>
    <w:rsid w:val="00C8546C"/>
    <w:rsid w:val="00C86104"/>
    <w:rsid w:val="00C86AB5"/>
    <w:rsid w:val="00C86B70"/>
    <w:rsid w:val="00C90D51"/>
    <w:rsid w:val="00C9450E"/>
    <w:rsid w:val="00C947AA"/>
    <w:rsid w:val="00C9679A"/>
    <w:rsid w:val="00C976BF"/>
    <w:rsid w:val="00CA41F1"/>
    <w:rsid w:val="00CA6E42"/>
    <w:rsid w:val="00CB0F37"/>
    <w:rsid w:val="00CB2C40"/>
    <w:rsid w:val="00CB3C62"/>
    <w:rsid w:val="00CB3DA2"/>
    <w:rsid w:val="00CB4CDC"/>
    <w:rsid w:val="00CB5CC5"/>
    <w:rsid w:val="00CC24BF"/>
    <w:rsid w:val="00CC2BC6"/>
    <w:rsid w:val="00CC4587"/>
    <w:rsid w:val="00CC6573"/>
    <w:rsid w:val="00CC6946"/>
    <w:rsid w:val="00CC7421"/>
    <w:rsid w:val="00CC7BFC"/>
    <w:rsid w:val="00CD1E38"/>
    <w:rsid w:val="00CD32EB"/>
    <w:rsid w:val="00CD6638"/>
    <w:rsid w:val="00CE1D16"/>
    <w:rsid w:val="00CE2586"/>
    <w:rsid w:val="00CE40E8"/>
    <w:rsid w:val="00CE7EF6"/>
    <w:rsid w:val="00CF2386"/>
    <w:rsid w:val="00CF36F1"/>
    <w:rsid w:val="00CF442F"/>
    <w:rsid w:val="00CF63A1"/>
    <w:rsid w:val="00D006E7"/>
    <w:rsid w:val="00D01751"/>
    <w:rsid w:val="00D04F53"/>
    <w:rsid w:val="00D105A7"/>
    <w:rsid w:val="00D1200B"/>
    <w:rsid w:val="00D125C6"/>
    <w:rsid w:val="00D14541"/>
    <w:rsid w:val="00D207F6"/>
    <w:rsid w:val="00D23F08"/>
    <w:rsid w:val="00D25BC4"/>
    <w:rsid w:val="00D31859"/>
    <w:rsid w:val="00D34250"/>
    <w:rsid w:val="00D35ABA"/>
    <w:rsid w:val="00D367E7"/>
    <w:rsid w:val="00D404B7"/>
    <w:rsid w:val="00D43C09"/>
    <w:rsid w:val="00D44238"/>
    <w:rsid w:val="00D44DE5"/>
    <w:rsid w:val="00D45B49"/>
    <w:rsid w:val="00D45E01"/>
    <w:rsid w:val="00D46EBD"/>
    <w:rsid w:val="00D46F2D"/>
    <w:rsid w:val="00D65BC5"/>
    <w:rsid w:val="00D67A76"/>
    <w:rsid w:val="00D71903"/>
    <w:rsid w:val="00D71E1B"/>
    <w:rsid w:val="00D75F59"/>
    <w:rsid w:val="00D8091D"/>
    <w:rsid w:val="00D809E5"/>
    <w:rsid w:val="00D81948"/>
    <w:rsid w:val="00D8328B"/>
    <w:rsid w:val="00D8746F"/>
    <w:rsid w:val="00D9015E"/>
    <w:rsid w:val="00D91588"/>
    <w:rsid w:val="00D91C20"/>
    <w:rsid w:val="00D9501F"/>
    <w:rsid w:val="00DA18EA"/>
    <w:rsid w:val="00DA3598"/>
    <w:rsid w:val="00DA50E9"/>
    <w:rsid w:val="00DA544A"/>
    <w:rsid w:val="00DB00B3"/>
    <w:rsid w:val="00DB00EE"/>
    <w:rsid w:val="00DB18B3"/>
    <w:rsid w:val="00DB2F9A"/>
    <w:rsid w:val="00DB50D5"/>
    <w:rsid w:val="00DC410B"/>
    <w:rsid w:val="00DC41ED"/>
    <w:rsid w:val="00DC6DFF"/>
    <w:rsid w:val="00DC7419"/>
    <w:rsid w:val="00DD028C"/>
    <w:rsid w:val="00DD2497"/>
    <w:rsid w:val="00DD72EE"/>
    <w:rsid w:val="00DE1225"/>
    <w:rsid w:val="00DE158B"/>
    <w:rsid w:val="00DE5793"/>
    <w:rsid w:val="00DE7275"/>
    <w:rsid w:val="00DF1A31"/>
    <w:rsid w:val="00DF3DA3"/>
    <w:rsid w:val="00DF3F10"/>
    <w:rsid w:val="00DF4E2A"/>
    <w:rsid w:val="00DF7715"/>
    <w:rsid w:val="00E00E22"/>
    <w:rsid w:val="00E0258C"/>
    <w:rsid w:val="00E047E6"/>
    <w:rsid w:val="00E06A00"/>
    <w:rsid w:val="00E152FF"/>
    <w:rsid w:val="00E15CAE"/>
    <w:rsid w:val="00E21127"/>
    <w:rsid w:val="00E213BE"/>
    <w:rsid w:val="00E22B99"/>
    <w:rsid w:val="00E232F4"/>
    <w:rsid w:val="00E24D5B"/>
    <w:rsid w:val="00E2500B"/>
    <w:rsid w:val="00E258D9"/>
    <w:rsid w:val="00E3509F"/>
    <w:rsid w:val="00E35D55"/>
    <w:rsid w:val="00E40039"/>
    <w:rsid w:val="00E41944"/>
    <w:rsid w:val="00E42AE5"/>
    <w:rsid w:val="00E43025"/>
    <w:rsid w:val="00E4352B"/>
    <w:rsid w:val="00E439CA"/>
    <w:rsid w:val="00E44160"/>
    <w:rsid w:val="00E4418F"/>
    <w:rsid w:val="00E47D28"/>
    <w:rsid w:val="00E5219B"/>
    <w:rsid w:val="00E55A01"/>
    <w:rsid w:val="00E623AD"/>
    <w:rsid w:val="00E65EB8"/>
    <w:rsid w:val="00E65EF0"/>
    <w:rsid w:val="00E722A1"/>
    <w:rsid w:val="00E72B36"/>
    <w:rsid w:val="00E7558C"/>
    <w:rsid w:val="00E82319"/>
    <w:rsid w:val="00E851AB"/>
    <w:rsid w:val="00E876C9"/>
    <w:rsid w:val="00E91A25"/>
    <w:rsid w:val="00E9262B"/>
    <w:rsid w:val="00E92F89"/>
    <w:rsid w:val="00E93F6E"/>
    <w:rsid w:val="00EA198F"/>
    <w:rsid w:val="00EA521B"/>
    <w:rsid w:val="00EA5C82"/>
    <w:rsid w:val="00EB0345"/>
    <w:rsid w:val="00EC05DC"/>
    <w:rsid w:val="00EC1AF1"/>
    <w:rsid w:val="00EC4084"/>
    <w:rsid w:val="00EC438D"/>
    <w:rsid w:val="00EC4B25"/>
    <w:rsid w:val="00ED0296"/>
    <w:rsid w:val="00ED0BC9"/>
    <w:rsid w:val="00ED11FD"/>
    <w:rsid w:val="00ED18DF"/>
    <w:rsid w:val="00ED339F"/>
    <w:rsid w:val="00ED542D"/>
    <w:rsid w:val="00EE1F10"/>
    <w:rsid w:val="00EE55B4"/>
    <w:rsid w:val="00EE7F54"/>
    <w:rsid w:val="00EE7FA6"/>
    <w:rsid w:val="00EF0BCB"/>
    <w:rsid w:val="00EF0E74"/>
    <w:rsid w:val="00EF13EB"/>
    <w:rsid w:val="00EF5734"/>
    <w:rsid w:val="00EF613D"/>
    <w:rsid w:val="00F00E8A"/>
    <w:rsid w:val="00F01430"/>
    <w:rsid w:val="00F02FCF"/>
    <w:rsid w:val="00F05724"/>
    <w:rsid w:val="00F110F3"/>
    <w:rsid w:val="00F143E0"/>
    <w:rsid w:val="00F216B1"/>
    <w:rsid w:val="00F228E9"/>
    <w:rsid w:val="00F23799"/>
    <w:rsid w:val="00F25543"/>
    <w:rsid w:val="00F25FEB"/>
    <w:rsid w:val="00F3227A"/>
    <w:rsid w:val="00F3266D"/>
    <w:rsid w:val="00F328C3"/>
    <w:rsid w:val="00F33650"/>
    <w:rsid w:val="00F3601F"/>
    <w:rsid w:val="00F37362"/>
    <w:rsid w:val="00F4418A"/>
    <w:rsid w:val="00F4508F"/>
    <w:rsid w:val="00F473CB"/>
    <w:rsid w:val="00F50245"/>
    <w:rsid w:val="00F50814"/>
    <w:rsid w:val="00F544D6"/>
    <w:rsid w:val="00F60CFE"/>
    <w:rsid w:val="00F60E99"/>
    <w:rsid w:val="00F633A0"/>
    <w:rsid w:val="00F63DDA"/>
    <w:rsid w:val="00F64434"/>
    <w:rsid w:val="00F65BF1"/>
    <w:rsid w:val="00F70858"/>
    <w:rsid w:val="00F709ED"/>
    <w:rsid w:val="00F718F1"/>
    <w:rsid w:val="00F726D8"/>
    <w:rsid w:val="00F728F3"/>
    <w:rsid w:val="00F73176"/>
    <w:rsid w:val="00F7397F"/>
    <w:rsid w:val="00F749BF"/>
    <w:rsid w:val="00F7519E"/>
    <w:rsid w:val="00F75949"/>
    <w:rsid w:val="00F904F3"/>
    <w:rsid w:val="00F90F5D"/>
    <w:rsid w:val="00F91ED8"/>
    <w:rsid w:val="00F93C7E"/>
    <w:rsid w:val="00F941F0"/>
    <w:rsid w:val="00F9645F"/>
    <w:rsid w:val="00FA54F1"/>
    <w:rsid w:val="00FB0C7F"/>
    <w:rsid w:val="00FC0DF0"/>
    <w:rsid w:val="00FC16B3"/>
    <w:rsid w:val="00FC1B83"/>
    <w:rsid w:val="00FC2771"/>
    <w:rsid w:val="00FC38B4"/>
    <w:rsid w:val="00FC4318"/>
    <w:rsid w:val="00FC5228"/>
    <w:rsid w:val="00FC6454"/>
    <w:rsid w:val="00FD1941"/>
    <w:rsid w:val="00FD3235"/>
    <w:rsid w:val="00FD659D"/>
    <w:rsid w:val="00FD66D1"/>
    <w:rsid w:val="00FD6E38"/>
    <w:rsid w:val="00FE5797"/>
    <w:rsid w:val="00FF2B1D"/>
    <w:rsid w:val="00FF32D5"/>
    <w:rsid w:val="00FF4213"/>
    <w:rsid w:val="00FF62BF"/>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AE0D3"/>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rPr>
  </w:style>
  <w:style w:type="paragraph" w:styleId="Heading1">
    <w:name w:val="heading 1"/>
    <w:basedOn w:val="Normal"/>
    <w:next w:val="Normal"/>
    <w:link w:val="Heading1Char"/>
    <w:uiPriority w:val="9"/>
    <w:qFormat/>
    <w:rsid w:val="0017455E"/>
    <w:pPr>
      <w:keepNext/>
      <w:keepLines/>
      <w:spacing w:before="240" w:after="0"/>
      <w:outlineLvl w:val="0"/>
    </w:pPr>
    <w:rPr>
      <w:rFonts w:ascii="Calibri Light" w:eastAsia="DengXian Light" w:hAnsi="Calibri Light"/>
      <w:color w:val="2F5496"/>
      <w:sz w:val="32"/>
      <w:szCs w:val="32"/>
      <w:lang w:val="en-GB" w:eastAsia="en-US"/>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5BC5"/>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rsid w:val="00B11AE3"/>
    <w:rPr>
      <w:rFonts w:ascii="Times New Roman" w:eastAsia="Times New Roman" w:hAnsi="Times New Roman"/>
      <w:lang w:val="fr-FR"/>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fr-FR"/>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D65BC5"/>
    <w:rPr>
      <w:rFonts w:asciiTheme="majorHAnsi" w:eastAsiaTheme="majorEastAsia" w:hAnsiTheme="majorHAnsi" w:cstheme="majorBidi"/>
      <w:color w:val="243F60" w:themeColor="accent1" w:themeShade="7F"/>
      <w:sz w:val="24"/>
      <w:szCs w:val="24"/>
      <w:lang w:val="fr-FR"/>
    </w:rPr>
  </w:style>
  <w:style w:type="paragraph" w:customStyle="1" w:styleId="lmttranslationsastextitem">
    <w:name w:val="lmt__translations_as_text__item"/>
    <w:basedOn w:val="Normal"/>
    <w:rsid w:val="00D65BC5"/>
    <w:pPr>
      <w:spacing w:before="100" w:beforeAutospacing="1" w:after="100" w:afterAutospacing="1"/>
    </w:pPr>
    <w:rPr>
      <w:sz w:val="24"/>
      <w:lang w:eastAsia="zh-CN"/>
    </w:rPr>
  </w:style>
  <w:style w:type="paragraph" w:styleId="FootnoteText">
    <w:name w:val="footnote text"/>
    <w:basedOn w:val="Normal"/>
    <w:link w:val="FootnoteTextChar"/>
    <w:uiPriority w:val="99"/>
    <w:semiHidden/>
    <w:unhideWhenUsed/>
    <w:rsid w:val="00451E22"/>
    <w:pPr>
      <w:spacing w:after="0"/>
    </w:pPr>
    <w:rPr>
      <w:sz w:val="20"/>
      <w:szCs w:val="20"/>
      <w:lang w:eastAsia="en-GB"/>
    </w:rPr>
  </w:style>
  <w:style w:type="character" w:customStyle="1" w:styleId="FootnoteTextChar">
    <w:name w:val="Footnote Text Char"/>
    <w:basedOn w:val="DefaultParagraphFont"/>
    <w:link w:val="FootnoteText"/>
    <w:uiPriority w:val="99"/>
    <w:semiHidden/>
    <w:rsid w:val="00451E22"/>
    <w:rPr>
      <w:rFonts w:ascii="Times New Roman" w:eastAsia="Times New Roman" w:hAnsi="Times New Roman"/>
      <w:lang w:val="fr-FR" w:eastAsia="en-GB"/>
    </w:rPr>
  </w:style>
  <w:style w:type="character" w:styleId="FootnoteReference">
    <w:name w:val="footnote reference"/>
    <w:basedOn w:val="DefaultParagraphFont"/>
    <w:uiPriority w:val="99"/>
    <w:semiHidden/>
    <w:unhideWhenUsed/>
    <w:rsid w:val="00451E22"/>
    <w:rPr>
      <w:vertAlign w:val="superscript"/>
    </w:rPr>
  </w:style>
  <w:style w:type="paragraph" w:customStyle="1" w:styleId="gmail-p1">
    <w:name w:val="gmail-p1"/>
    <w:basedOn w:val="Normal"/>
    <w:rsid w:val="00451E22"/>
    <w:pPr>
      <w:spacing w:before="100" w:beforeAutospacing="1" w:after="100" w:afterAutospacing="1"/>
    </w:pPr>
    <w:rPr>
      <w:rFonts w:ascii="Calibri" w:eastAsiaTheme="minorEastAsia" w:hAnsi="Calibri" w:cs="Calibri"/>
      <w:szCs w:val="22"/>
      <w:lang w:eastAsia="zh-CN"/>
    </w:rPr>
  </w:style>
  <w:style w:type="paragraph" w:styleId="NormalWeb">
    <w:name w:val="Normal (Web)"/>
    <w:basedOn w:val="Normal"/>
    <w:uiPriority w:val="99"/>
    <w:unhideWhenUsed/>
    <w:rsid w:val="00DC6DFF"/>
    <w:pPr>
      <w:spacing w:before="100" w:beforeAutospacing="1" w:after="100" w:afterAutospacing="1"/>
    </w:pPr>
    <w:rPr>
      <w:rFonts w:ascii="Calibri" w:eastAsiaTheme="minorEastAsia" w:hAnsi="Calibri" w:cs="Calibri"/>
      <w:szCs w:val="22"/>
      <w:lang w:eastAsia="zh-CN"/>
    </w:rPr>
  </w:style>
  <w:style w:type="character" w:styleId="Hyperlink">
    <w:name w:val="Hyperlink"/>
    <w:basedOn w:val="DefaultParagraphFont"/>
    <w:uiPriority w:val="99"/>
    <w:unhideWhenUsed/>
    <w:rsid w:val="007B0AE6"/>
    <w:rPr>
      <w:color w:val="0000FF"/>
      <w:u w:val="single"/>
    </w:rPr>
  </w:style>
  <w:style w:type="paragraph" w:customStyle="1" w:styleId="Default">
    <w:name w:val="Default"/>
    <w:rsid w:val="001F46F6"/>
    <w:pPr>
      <w:autoSpaceDE w:val="0"/>
      <w:autoSpaceDN w:val="0"/>
      <w:adjustRightInd w:val="0"/>
    </w:pPr>
    <w:rPr>
      <w:rFonts w:eastAsiaTheme="minorHAnsi" w:cs="Calibri"/>
      <w:color w:val="000000"/>
      <w:sz w:val="24"/>
      <w:szCs w:val="24"/>
      <w:lang w:eastAsia="en-US"/>
    </w:rPr>
  </w:style>
  <w:style w:type="character" w:customStyle="1" w:styleId="contentpasted0">
    <w:name w:val="contentpasted0"/>
    <w:basedOn w:val="DefaultParagraphFont"/>
    <w:rsid w:val="001764CB"/>
  </w:style>
  <w:style w:type="character" w:customStyle="1" w:styleId="ui-provider">
    <w:name w:val="ui-provider"/>
    <w:basedOn w:val="DefaultParagraphFont"/>
    <w:rsid w:val="002438D4"/>
  </w:style>
  <w:style w:type="character" w:styleId="UnresolvedMention">
    <w:name w:val="Unresolved Mention"/>
    <w:basedOn w:val="DefaultParagraphFont"/>
    <w:uiPriority w:val="99"/>
    <w:semiHidden/>
    <w:unhideWhenUsed/>
    <w:rsid w:val="002438D4"/>
    <w:rPr>
      <w:color w:val="605E5C"/>
      <w:shd w:val="clear" w:color="auto" w:fill="E1DFDD"/>
    </w:rPr>
  </w:style>
  <w:style w:type="character" w:styleId="FollowedHyperlink">
    <w:name w:val="FollowedHyperlink"/>
    <w:basedOn w:val="DefaultParagraphFont"/>
    <w:semiHidden/>
    <w:unhideWhenUsed/>
    <w:rsid w:val="00B4491A"/>
    <w:rPr>
      <w:color w:val="800080" w:themeColor="followedHyperlink"/>
      <w:u w:val="single"/>
    </w:rPr>
  </w:style>
  <w:style w:type="paragraph" w:styleId="Revision">
    <w:name w:val="Revision"/>
    <w:hidden/>
    <w:semiHidden/>
    <w:rsid w:val="00896278"/>
    <w:rPr>
      <w:rFonts w:ascii="Times New Roman" w:eastAsia="Times New Roman" w:hAnsi="Times New Roman"/>
      <w:sz w:val="22"/>
      <w:szCs w:val="24"/>
    </w:rPr>
  </w:style>
  <w:style w:type="character" w:customStyle="1" w:styleId="cf01">
    <w:name w:val="cf01"/>
    <w:basedOn w:val="DefaultParagraphFont"/>
    <w:rsid w:val="00AC00A2"/>
    <w:rPr>
      <w:rFonts w:ascii="Segoe UI" w:hAnsi="Segoe UI" w:cs="Segoe UI" w:hint="default"/>
      <w:sz w:val="18"/>
      <w:szCs w:val="18"/>
    </w:rPr>
  </w:style>
  <w:style w:type="paragraph" w:customStyle="1" w:styleId="Heading11">
    <w:name w:val="Heading 11"/>
    <w:basedOn w:val="Normal"/>
    <w:next w:val="Normal"/>
    <w:uiPriority w:val="9"/>
    <w:qFormat/>
    <w:rsid w:val="0017455E"/>
    <w:pPr>
      <w:keepNext/>
      <w:keepLines/>
      <w:spacing w:before="240" w:after="0" w:line="256" w:lineRule="auto"/>
      <w:outlineLvl w:val="0"/>
    </w:pPr>
    <w:rPr>
      <w:rFonts w:ascii="Calibri Light" w:eastAsia="DengXian Light" w:hAnsi="Calibri Light"/>
      <w:color w:val="2F5496"/>
      <w:sz w:val="32"/>
      <w:szCs w:val="32"/>
      <w:lang w:val="en-GB" w:eastAsia="en-US"/>
    </w:rPr>
  </w:style>
  <w:style w:type="character" w:customStyle="1" w:styleId="Heading1Char">
    <w:name w:val="Heading 1 Char"/>
    <w:basedOn w:val="DefaultParagraphFont"/>
    <w:link w:val="Heading1"/>
    <w:uiPriority w:val="9"/>
    <w:rsid w:val="0017455E"/>
    <w:rPr>
      <w:rFonts w:ascii="Calibri Light" w:eastAsia="DengXian Light" w:hAnsi="Calibri Light"/>
      <w:color w:val="2F5496"/>
      <w:sz w:val="32"/>
      <w:szCs w:val="32"/>
      <w:lang w:val="en-GB" w:eastAsia="en-US"/>
    </w:rPr>
  </w:style>
  <w:style w:type="character" w:customStyle="1" w:styleId="Heading1Char1">
    <w:name w:val="Heading 1 Char1"/>
    <w:basedOn w:val="DefaultParagraphFont"/>
    <w:rsid w:val="0017455E"/>
    <w:rPr>
      <w:rFonts w:asciiTheme="majorHAnsi" w:eastAsiaTheme="majorEastAsia" w:hAnsiTheme="majorHAnsi" w:cstheme="majorBidi"/>
      <w:color w:val="365F91" w:themeColor="accent1" w:themeShade="BF"/>
      <w:sz w:val="32"/>
      <w:szCs w:val="32"/>
    </w:rPr>
  </w:style>
  <w:style w:type="paragraph" w:customStyle="1" w:styleId="COMPara">
    <w:name w:val="COM Para"/>
    <w:qFormat/>
    <w:rsid w:val="00371FC5"/>
    <w:pPr>
      <w:spacing w:after="120"/>
      <w:ind w:left="360" w:hanging="360"/>
    </w:pPr>
    <w:rPr>
      <w:rFonts w:ascii="Arial" w:eastAsia="Times New Roman" w:hAnsi="Arial" w:cs="Arial"/>
      <w:snapToGrid w:val="0"/>
      <w:sz w:val="22"/>
      <w:szCs w:val="22"/>
      <w:lang w:val="en-GB" w:eastAsia="en-US"/>
    </w:rPr>
  </w:style>
  <w:style w:type="paragraph" w:customStyle="1" w:styleId="Foornote1">
    <w:name w:val="Foornote 1"/>
    <w:basedOn w:val="FootnoteText"/>
    <w:link w:val="Foornote1Char"/>
    <w:qFormat/>
    <w:rsid w:val="00371FC5"/>
    <w:pPr>
      <w:spacing w:after="40"/>
      <w:jc w:val="both"/>
    </w:pPr>
    <w:rPr>
      <w:rFonts w:asciiTheme="minorBidi" w:hAnsiTheme="minorBidi" w:cstheme="minorBidi"/>
      <w:sz w:val="18"/>
      <w:szCs w:val="18"/>
      <w:lang w:val="en-US"/>
    </w:rPr>
  </w:style>
  <w:style w:type="character" w:customStyle="1" w:styleId="Foornote1Char">
    <w:name w:val="Foornote 1 Char"/>
    <w:basedOn w:val="FootnoteTextChar"/>
    <w:link w:val="Foornote1"/>
    <w:rsid w:val="00371FC5"/>
    <w:rPr>
      <w:rFonts w:asciiTheme="minorBidi" w:eastAsia="Times New Roman" w:hAnsiTheme="minorBidi" w:cstheme="minorBidi"/>
      <w:sz w:val="18"/>
      <w:szCs w:val="18"/>
      <w:lang w:val="en-US" w:eastAsia="en-GB"/>
    </w:rPr>
  </w:style>
  <w:style w:type="paragraph" w:styleId="HTMLPreformatted">
    <w:name w:val="HTML Preformatted"/>
    <w:basedOn w:val="Normal"/>
    <w:link w:val="HTMLPreformattedChar"/>
    <w:semiHidden/>
    <w:unhideWhenUsed/>
    <w:rsid w:val="0079671B"/>
    <w:pPr>
      <w:spacing w:after="0"/>
    </w:pPr>
    <w:rPr>
      <w:rFonts w:ascii="Consolas" w:hAnsi="Consolas"/>
      <w:sz w:val="20"/>
      <w:szCs w:val="20"/>
    </w:rPr>
  </w:style>
  <w:style w:type="character" w:customStyle="1" w:styleId="HTMLPreformattedChar">
    <w:name w:val="HTML Preformatted Char"/>
    <w:basedOn w:val="DefaultParagraphFont"/>
    <w:link w:val="HTMLPreformatted"/>
    <w:semiHidden/>
    <w:rsid w:val="0079671B"/>
    <w:rPr>
      <w:rFonts w:ascii="Consolas" w:eastAsia="Times New Roman" w:hAnsi="Consolas"/>
    </w:rPr>
  </w:style>
  <w:style w:type="paragraph" w:styleId="ListParagraph">
    <w:name w:val="List Paragraph"/>
    <w:basedOn w:val="Normal"/>
    <w:uiPriority w:val="34"/>
    <w:qFormat/>
    <w:rsid w:val="00CC7421"/>
    <w:pPr>
      <w:spacing w:after="160" w:line="259" w:lineRule="auto"/>
      <w:ind w:left="720"/>
      <w:contextualSpacing/>
    </w:pPr>
    <w:rPr>
      <w:rFonts w:ascii="Arial" w:eastAsiaTheme="minorHAnsi" w:hAnsi="Arial" w:cs="Arial"/>
      <w:sz w:val="20"/>
      <w:szCs w:val="20"/>
      <w:lang w:val="en-AU" w:eastAsia="en-US"/>
    </w:rPr>
  </w:style>
  <w:style w:type="paragraph" w:styleId="EndnoteText">
    <w:name w:val="endnote text"/>
    <w:basedOn w:val="Normal"/>
    <w:link w:val="EndnoteTextChar"/>
    <w:uiPriority w:val="99"/>
    <w:semiHidden/>
    <w:unhideWhenUsed/>
    <w:rsid w:val="00BB3D37"/>
    <w:pPr>
      <w:spacing w:after="0"/>
    </w:pPr>
    <w:rPr>
      <w:rFonts w:ascii="Arial" w:eastAsiaTheme="minorHAnsi" w:hAnsi="Arial" w:cs="Arial"/>
      <w:sz w:val="20"/>
      <w:szCs w:val="20"/>
      <w:lang w:val="en-AU" w:eastAsia="en-US"/>
    </w:rPr>
  </w:style>
  <w:style w:type="character" w:customStyle="1" w:styleId="EndnoteTextChar">
    <w:name w:val="Endnote Text Char"/>
    <w:basedOn w:val="DefaultParagraphFont"/>
    <w:link w:val="EndnoteText"/>
    <w:uiPriority w:val="99"/>
    <w:semiHidden/>
    <w:rsid w:val="00BB3D37"/>
    <w:rPr>
      <w:rFonts w:ascii="Arial" w:eastAsiaTheme="minorHAnsi" w:hAnsi="Arial" w:cs="Arial"/>
      <w:lang w:val="en-AU" w:eastAsia="en-US"/>
    </w:rPr>
  </w:style>
  <w:style w:type="character" w:styleId="EndnoteReference">
    <w:name w:val="endnote reference"/>
    <w:basedOn w:val="DefaultParagraphFont"/>
    <w:uiPriority w:val="99"/>
    <w:semiHidden/>
    <w:unhideWhenUsed/>
    <w:rsid w:val="00BB3D37"/>
    <w:rPr>
      <w:vertAlign w:val="superscript"/>
    </w:rPr>
  </w:style>
  <w:style w:type="character" w:customStyle="1" w:styleId="cf11">
    <w:name w:val="cf11"/>
    <w:basedOn w:val="DefaultParagraphFont"/>
    <w:rsid w:val="00CC24BF"/>
    <w:rPr>
      <w:rFonts w:ascii="Segoe UI" w:hAnsi="Segoe UI" w:cs="Segoe UI" w:hint="default"/>
      <w:sz w:val="18"/>
      <w:szCs w:val="18"/>
    </w:rPr>
  </w:style>
  <w:style w:type="character" w:styleId="Strong">
    <w:name w:val="Strong"/>
    <w:basedOn w:val="DefaultParagraphFont"/>
    <w:uiPriority w:val="22"/>
    <w:qFormat/>
    <w:rsid w:val="002C4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4463">
      <w:bodyDiv w:val="1"/>
      <w:marLeft w:val="0"/>
      <w:marRight w:val="0"/>
      <w:marTop w:val="0"/>
      <w:marBottom w:val="0"/>
      <w:divBdr>
        <w:top w:val="none" w:sz="0" w:space="0" w:color="auto"/>
        <w:left w:val="none" w:sz="0" w:space="0" w:color="auto"/>
        <w:bottom w:val="none" w:sz="0" w:space="0" w:color="auto"/>
        <w:right w:val="none" w:sz="0" w:space="0" w:color="auto"/>
      </w:divBdr>
    </w:div>
    <w:div w:id="21906485">
      <w:bodyDiv w:val="1"/>
      <w:marLeft w:val="0"/>
      <w:marRight w:val="0"/>
      <w:marTop w:val="0"/>
      <w:marBottom w:val="0"/>
      <w:divBdr>
        <w:top w:val="none" w:sz="0" w:space="0" w:color="auto"/>
        <w:left w:val="none" w:sz="0" w:space="0" w:color="auto"/>
        <w:bottom w:val="none" w:sz="0" w:space="0" w:color="auto"/>
        <w:right w:val="none" w:sz="0" w:space="0" w:color="auto"/>
      </w:divBdr>
    </w:div>
    <w:div w:id="49036140">
      <w:bodyDiv w:val="1"/>
      <w:marLeft w:val="0"/>
      <w:marRight w:val="0"/>
      <w:marTop w:val="0"/>
      <w:marBottom w:val="0"/>
      <w:divBdr>
        <w:top w:val="none" w:sz="0" w:space="0" w:color="auto"/>
        <w:left w:val="none" w:sz="0" w:space="0" w:color="auto"/>
        <w:bottom w:val="none" w:sz="0" w:space="0" w:color="auto"/>
        <w:right w:val="none" w:sz="0" w:space="0" w:color="auto"/>
      </w:divBdr>
    </w:div>
    <w:div w:id="66928643">
      <w:bodyDiv w:val="1"/>
      <w:marLeft w:val="0"/>
      <w:marRight w:val="0"/>
      <w:marTop w:val="0"/>
      <w:marBottom w:val="0"/>
      <w:divBdr>
        <w:top w:val="none" w:sz="0" w:space="0" w:color="auto"/>
        <w:left w:val="none" w:sz="0" w:space="0" w:color="auto"/>
        <w:bottom w:val="none" w:sz="0" w:space="0" w:color="auto"/>
        <w:right w:val="none" w:sz="0" w:space="0" w:color="auto"/>
      </w:divBdr>
    </w:div>
    <w:div w:id="89594376">
      <w:bodyDiv w:val="1"/>
      <w:marLeft w:val="0"/>
      <w:marRight w:val="0"/>
      <w:marTop w:val="0"/>
      <w:marBottom w:val="0"/>
      <w:divBdr>
        <w:top w:val="none" w:sz="0" w:space="0" w:color="auto"/>
        <w:left w:val="none" w:sz="0" w:space="0" w:color="auto"/>
        <w:bottom w:val="none" w:sz="0" w:space="0" w:color="auto"/>
        <w:right w:val="none" w:sz="0" w:space="0" w:color="auto"/>
      </w:divBdr>
    </w:div>
    <w:div w:id="385951934">
      <w:bodyDiv w:val="1"/>
      <w:marLeft w:val="0"/>
      <w:marRight w:val="0"/>
      <w:marTop w:val="0"/>
      <w:marBottom w:val="0"/>
      <w:divBdr>
        <w:top w:val="none" w:sz="0" w:space="0" w:color="auto"/>
        <w:left w:val="none" w:sz="0" w:space="0" w:color="auto"/>
        <w:bottom w:val="none" w:sz="0" w:space="0" w:color="auto"/>
        <w:right w:val="none" w:sz="0" w:space="0" w:color="auto"/>
      </w:divBdr>
    </w:div>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516507108">
      <w:bodyDiv w:val="1"/>
      <w:marLeft w:val="0"/>
      <w:marRight w:val="0"/>
      <w:marTop w:val="0"/>
      <w:marBottom w:val="0"/>
      <w:divBdr>
        <w:top w:val="none" w:sz="0" w:space="0" w:color="auto"/>
        <w:left w:val="none" w:sz="0" w:space="0" w:color="auto"/>
        <w:bottom w:val="none" w:sz="0" w:space="0" w:color="auto"/>
        <w:right w:val="none" w:sz="0" w:space="0" w:color="auto"/>
      </w:divBdr>
    </w:div>
    <w:div w:id="522983359">
      <w:bodyDiv w:val="1"/>
      <w:marLeft w:val="0"/>
      <w:marRight w:val="0"/>
      <w:marTop w:val="0"/>
      <w:marBottom w:val="0"/>
      <w:divBdr>
        <w:top w:val="none" w:sz="0" w:space="0" w:color="auto"/>
        <w:left w:val="none" w:sz="0" w:space="0" w:color="auto"/>
        <w:bottom w:val="none" w:sz="0" w:space="0" w:color="auto"/>
        <w:right w:val="none" w:sz="0" w:space="0" w:color="auto"/>
      </w:divBdr>
    </w:div>
    <w:div w:id="526647770">
      <w:bodyDiv w:val="1"/>
      <w:marLeft w:val="0"/>
      <w:marRight w:val="0"/>
      <w:marTop w:val="0"/>
      <w:marBottom w:val="0"/>
      <w:divBdr>
        <w:top w:val="none" w:sz="0" w:space="0" w:color="auto"/>
        <w:left w:val="none" w:sz="0" w:space="0" w:color="auto"/>
        <w:bottom w:val="none" w:sz="0" w:space="0" w:color="auto"/>
        <w:right w:val="none" w:sz="0" w:space="0" w:color="auto"/>
      </w:divBdr>
    </w:div>
    <w:div w:id="534582252">
      <w:bodyDiv w:val="1"/>
      <w:marLeft w:val="0"/>
      <w:marRight w:val="0"/>
      <w:marTop w:val="0"/>
      <w:marBottom w:val="0"/>
      <w:divBdr>
        <w:top w:val="none" w:sz="0" w:space="0" w:color="auto"/>
        <w:left w:val="none" w:sz="0" w:space="0" w:color="auto"/>
        <w:bottom w:val="none" w:sz="0" w:space="0" w:color="auto"/>
        <w:right w:val="none" w:sz="0" w:space="0" w:color="auto"/>
      </w:divBdr>
    </w:div>
    <w:div w:id="534924649">
      <w:bodyDiv w:val="1"/>
      <w:marLeft w:val="0"/>
      <w:marRight w:val="0"/>
      <w:marTop w:val="0"/>
      <w:marBottom w:val="0"/>
      <w:divBdr>
        <w:top w:val="none" w:sz="0" w:space="0" w:color="auto"/>
        <w:left w:val="none" w:sz="0" w:space="0" w:color="auto"/>
        <w:bottom w:val="none" w:sz="0" w:space="0" w:color="auto"/>
        <w:right w:val="none" w:sz="0" w:space="0" w:color="auto"/>
      </w:divBdr>
    </w:div>
    <w:div w:id="578027529">
      <w:bodyDiv w:val="1"/>
      <w:marLeft w:val="0"/>
      <w:marRight w:val="0"/>
      <w:marTop w:val="0"/>
      <w:marBottom w:val="0"/>
      <w:divBdr>
        <w:top w:val="none" w:sz="0" w:space="0" w:color="auto"/>
        <w:left w:val="none" w:sz="0" w:space="0" w:color="auto"/>
        <w:bottom w:val="none" w:sz="0" w:space="0" w:color="auto"/>
        <w:right w:val="none" w:sz="0" w:space="0" w:color="auto"/>
      </w:divBdr>
    </w:div>
    <w:div w:id="603616637">
      <w:bodyDiv w:val="1"/>
      <w:marLeft w:val="0"/>
      <w:marRight w:val="0"/>
      <w:marTop w:val="0"/>
      <w:marBottom w:val="0"/>
      <w:divBdr>
        <w:top w:val="none" w:sz="0" w:space="0" w:color="auto"/>
        <w:left w:val="none" w:sz="0" w:space="0" w:color="auto"/>
        <w:bottom w:val="none" w:sz="0" w:space="0" w:color="auto"/>
        <w:right w:val="none" w:sz="0" w:space="0" w:color="auto"/>
      </w:divBdr>
    </w:div>
    <w:div w:id="606085379">
      <w:bodyDiv w:val="1"/>
      <w:marLeft w:val="0"/>
      <w:marRight w:val="0"/>
      <w:marTop w:val="0"/>
      <w:marBottom w:val="0"/>
      <w:divBdr>
        <w:top w:val="none" w:sz="0" w:space="0" w:color="auto"/>
        <w:left w:val="none" w:sz="0" w:space="0" w:color="auto"/>
        <w:bottom w:val="none" w:sz="0" w:space="0" w:color="auto"/>
        <w:right w:val="none" w:sz="0" w:space="0" w:color="auto"/>
      </w:divBdr>
    </w:div>
    <w:div w:id="668295001">
      <w:bodyDiv w:val="1"/>
      <w:marLeft w:val="0"/>
      <w:marRight w:val="0"/>
      <w:marTop w:val="0"/>
      <w:marBottom w:val="0"/>
      <w:divBdr>
        <w:top w:val="none" w:sz="0" w:space="0" w:color="auto"/>
        <w:left w:val="none" w:sz="0" w:space="0" w:color="auto"/>
        <w:bottom w:val="none" w:sz="0" w:space="0" w:color="auto"/>
        <w:right w:val="none" w:sz="0" w:space="0" w:color="auto"/>
      </w:divBdr>
    </w:div>
    <w:div w:id="700130172">
      <w:bodyDiv w:val="1"/>
      <w:marLeft w:val="0"/>
      <w:marRight w:val="0"/>
      <w:marTop w:val="0"/>
      <w:marBottom w:val="0"/>
      <w:divBdr>
        <w:top w:val="none" w:sz="0" w:space="0" w:color="auto"/>
        <w:left w:val="none" w:sz="0" w:space="0" w:color="auto"/>
        <w:bottom w:val="none" w:sz="0" w:space="0" w:color="auto"/>
        <w:right w:val="none" w:sz="0" w:space="0" w:color="auto"/>
      </w:divBdr>
    </w:div>
    <w:div w:id="739327671">
      <w:bodyDiv w:val="1"/>
      <w:marLeft w:val="0"/>
      <w:marRight w:val="0"/>
      <w:marTop w:val="0"/>
      <w:marBottom w:val="0"/>
      <w:divBdr>
        <w:top w:val="none" w:sz="0" w:space="0" w:color="auto"/>
        <w:left w:val="none" w:sz="0" w:space="0" w:color="auto"/>
        <w:bottom w:val="none" w:sz="0" w:space="0" w:color="auto"/>
        <w:right w:val="none" w:sz="0" w:space="0" w:color="auto"/>
      </w:divBdr>
    </w:div>
    <w:div w:id="772557487">
      <w:bodyDiv w:val="1"/>
      <w:marLeft w:val="0"/>
      <w:marRight w:val="0"/>
      <w:marTop w:val="0"/>
      <w:marBottom w:val="0"/>
      <w:divBdr>
        <w:top w:val="none" w:sz="0" w:space="0" w:color="auto"/>
        <w:left w:val="none" w:sz="0" w:space="0" w:color="auto"/>
        <w:bottom w:val="none" w:sz="0" w:space="0" w:color="auto"/>
        <w:right w:val="none" w:sz="0" w:space="0" w:color="auto"/>
      </w:divBdr>
    </w:div>
    <w:div w:id="814638673">
      <w:bodyDiv w:val="1"/>
      <w:marLeft w:val="0"/>
      <w:marRight w:val="0"/>
      <w:marTop w:val="0"/>
      <w:marBottom w:val="0"/>
      <w:divBdr>
        <w:top w:val="none" w:sz="0" w:space="0" w:color="auto"/>
        <w:left w:val="none" w:sz="0" w:space="0" w:color="auto"/>
        <w:bottom w:val="none" w:sz="0" w:space="0" w:color="auto"/>
        <w:right w:val="none" w:sz="0" w:space="0" w:color="auto"/>
      </w:divBdr>
    </w:div>
    <w:div w:id="896815630">
      <w:bodyDiv w:val="1"/>
      <w:marLeft w:val="0"/>
      <w:marRight w:val="0"/>
      <w:marTop w:val="0"/>
      <w:marBottom w:val="0"/>
      <w:divBdr>
        <w:top w:val="none" w:sz="0" w:space="0" w:color="auto"/>
        <w:left w:val="none" w:sz="0" w:space="0" w:color="auto"/>
        <w:bottom w:val="none" w:sz="0" w:space="0" w:color="auto"/>
        <w:right w:val="none" w:sz="0" w:space="0" w:color="auto"/>
      </w:divBdr>
    </w:div>
    <w:div w:id="902914139">
      <w:bodyDiv w:val="1"/>
      <w:marLeft w:val="0"/>
      <w:marRight w:val="0"/>
      <w:marTop w:val="0"/>
      <w:marBottom w:val="0"/>
      <w:divBdr>
        <w:top w:val="none" w:sz="0" w:space="0" w:color="auto"/>
        <w:left w:val="none" w:sz="0" w:space="0" w:color="auto"/>
        <w:bottom w:val="none" w:sz="0" w:space="0" w:color="auto"/>
        <w:right w:val="none" w:sz="0" w:space="0" w:color="auto"/>
      </w:divBdr>
    </w:div>
    <w:div w:id="960498700">
      <w:bodyDiv w:val="1"/>
      <w:marLeft w:val="0"/>
      <w:marRight w:val="0"/>
      <w:marTop w:val="0"/>
      <w:marBottom w:val="0"/>
      <w:divBdr>
        <w:top w:val="none" w:sz="0" w:space="0" w:color="auto"/>
        <w:left w:val="none" w:sz="0" w:space="0" w:color="auto"/>
        <w:bottom w:val="none" w:sz="0" w:space="0" w:color="auto"/>
        <w:right w:val="none" w:sz="0" w:space="0" w:color="auto"/>
      </w:divBdr>
    </w:div>
    <w:div w:id="978147324">
      <w:bodyDiv w:val="1"/>
      <w:marLeft w:val="0"/>
      <w:marRight w:val="0"/>
      <w:marTop w:val="0"/>
      <w:marBottom w:val="0"/>
      <w:divBdr>
        <w:top w:val="none" w:sz="0" w:space="0" w:color="auto"/>
        <w:left w:val="none" w:sz="0" w:space="0" w:color="auto"/>
        <w:bottom w:val="none" w:sz="0" w:space="0" w:color="auto"/>
        <w:right w:val="none" w:sz="0" w:space="0" w:color="auto"/>
      </w:divBdr>
    </w:div>
    <w:div w:id="1024329560">
      <w:bodyDiv w:val="1"/>
      <w:marLeft w:val="0"/>
      <w:marRight w:val="0"/>
      <w:marTop w:val="0"/>
      <w:marBottom w:val="0"/>
      <w:divBdr>
        <w:top w:val="none" w:sz="0" w:space="0" w:color="auto"/>
        <w:left w:val="none" w:sz="0" w:space="0" w:color="auto"/>
        <w:bottom w:val="none" w:sz="0" w:space="0" w:color="auto"/>
        <w:right w:val="none" w:sz="0" w:space="0" w:color="auto"/>
      </w:divBdr>
    </w:div>
    <w:div w:id="1049187481">
      <w:bodyDiv w:val="1"/>
      <w:marLeft w:val="0"/>
      <w:marRight w:val="0"/>
      <w:marTop w:val="0"/>
      <w:marBottom w:val="0"/>
      <w:divBdr>
        <w:top w:val="none" w:sz="0" w:space="0" w:color="auto"/>
        <w:left w:val="none" w:sz="0" w:space="0" w:color="auto"/>
        <w:bottom w:val="none" w:sz="0" w:space="0" w:color="auto"/>
        <w:right w:val="none" w:sz="0" w:space="0" w:color="auto"/>
      </w:divBdr>
    </w:div>
    <w:div w:id="1087381861">
      <w:bodyDiv w:val="1"/>
      <w:marLeft w:val="0"/>
      <w:marRight w:val="0"/>
      <w:marTop w:val="0"/>
      <w:marBottom w:val="0"/>
      <w:divBdr>
        <w:top w:val="none" w:sz="0" w:space="0" w:color="auto"/>
        <w:left w:val="none" w:sz="0" w:space="0" w:color="auto"/>
        <w:bottom w:val="none" w:sz="0" w:space="0" w:color="auto"/>
        <w:right w:val="none" w:sz="0" w:space="0" w:color="auto"/>
      </w:divBdr>
    </w:div>
    <w:div w:id="1102578527">
      <w:bodyDiv w:val="1"/>
      <w:marLeft w:val="0"/>
      <w:marRight w:val="0"/>
      <w:marTop w:val="0"/>
      <w:marBottom w:val="0"/>
      <w:divBdr>
        <w:top w:val="none" w:sz="0" w:space="0" w:color="auto"/>
        <w:left w:val="none" w:sz="0" w:space="0" w:color="auto"/>
        <w:bottom w:val="none" w:sz="0" w:space="0" w:color="auto"/>
        <w:right w:val="none" w:sz="0" w:space="0" w:color="auto"/>
      </w:divBdr>
    </w:div>
    <w:div w:id="1170675451">
      <w:bodyDiv w:val="1"/>
      <w:marLeft w:val="0"/>
      <w:marRight w:val="0"/>
      <w:marTop w:val="0"/>
      <w:marBottom w:val="0"/>
      <w:divBdr>
        <w:top w:val="none" w:sz="0" w:space="0" w:color="auto"/>
        <w:left w:val="none" w:sz="0" w:space="0" w:color="auto"/>
        <w:bottom w:val="none" w:sz="0" w:space="0" w:color="auto"/>
        <w:right w:val="none" w:sz="0" w:space="0" w:color="auto"/>
      </w:divBdr>
    </w:div>
    <w:div w:id="1227759205">
      <w:bodyDiv w:val="1"/>
      <w:marLeft w:val="0"/>
      <w:marRight w:val="0"/>
      <w:marTop w:val="0"/>
      <w:marBottom w:val="0"/>
      <w:divBdr>
        <w:top w:val="none" w:sz="0" w:space="0" w:color="auto"/>
        <w:left w:val="none" w:sz="0" w:space="0" w:color="auto"/>
        <w:bottom w:val="none" w:sz="0" w:space="0" w:color="auto"/>
        <w:right w:val="none" w:sz="0" w:space="0" w:color="auto"/>
      </w:divBdr>
    </w:div>
    <w:div w:id="1257521782">
      <w:bodyDiv w:val="1"/>
      <w:marLeft w:val="0"/>
      <w:marRight w:val="0"/>
      <w:marTop w:val="0"/>
      <w:marBottom w:val="0"/>
      <w:divBdr>
        <w:top w:val="none" w:sz="0" w:space="0" w:color="auto"/>
        <w:left w:val="none" w:sz="0" w:space="0" w:color="auto"/>
        <w:bottom w:val="none" w:sz="0" w:space="0" w:color="auto"/>
        <w:right w:val="none" w:sz="0" w:space="0" w:color="auto"/>
      </w:divBdr>
    </w:div>
    <w:div w:id="1262760242">
      <w:bodyDiv w:val="1"/>
      <w:marLeft w:val="0"/>
      <w:marRight w:val="0"/>
      <w:marTop w:val="0"/>
      <w:marBottom w:val="0"/>
      <w:divBdr>
        <w:top w:val="none" w:sz="0" w:space="0" w:color="auto"/>
        <w:left w:val="none" w:sz="0" w:space="0" w:color="auto"/>
        <w:bottom w:val="none" w:sz="0" w:space="0" w:color="auto"/>
        <w:right w:val="none" w:sz="0" w:space="0" w:color="auto"/>
      </w:divBdr>
    </w:div>
    <w:div w:id="1336104623">
      <w:bodyDiv w:val="1"/>
      <w:marLeft w:val="0"/>
      <w:marRight w:val="0"/>
      <w:marTop w:val="0"/>
      <w:marBottom w:val="0"/>
      <w:divBdr>
        <w:top w:val="none" w:sz="0" w:space="0" w:color="auto"/>
        <w:left w:val="none" w:sz="0" w:space="0" w:color="auto"/>
        <w:bottom w:val="none" w:sz="0" w:space="0" w:color="auto"/>
        <w:right w:val="none" w:sz="0" w:space="0" w:color="auto"/>
      </w:divBdr>
    </w:div>
    <w:div w:id="1378509296">
      <w:bodyDiv w:val="1"/>
      <w:marLeft w:val="0"/>
      <w:marRight w:val="0"/>
      <w:marTop w:val="0"/>
      <w:marBottom w:val="0"/>
      <w:divBdr>
        <w:top w:val="none" w:sz="0" w:space="0" w:color="auto"/>
        <w:left w:val="none" w:sz="0" w:space="0" w:color="auto"/>
        <w:bottom w:val="none" w:sz="0" w:space="0" w:color="auto"/>
        <w:right w:val="none" w:sz="0" w:space="0" w:color="auto"/>
      </w:divBdr>
    </w:div>
    <w:div w:id="1381131523">
      <w:bodyDiv w:val="1"/>
      <w:marLeft w:val="0"/>
      <w:marRight w:val="0"/>
      <w:marTop w:val="0"/>
      <w:marBottom w:val="0"/>
      <w:divBdr>
        <w:top w:val="none" w:sz="0" w:space="0" w:color="auto"/>
        <w:left w:val="none" w:sz="0" w:space="0" w:color="auto"/>
        <w:bottom w:val="none" w:sz="0" w:space="0" w:color="auto"/>
        <w:right w:val="none" w:sz="0" w:space="0" w:color="auto"/>
      </w:divBdr>
    </w:div>
    <w:div w:id="1388454592">
      <w:bodyDiv w:val="1"/>
      <w:marLeft w:val="0"/>
      <w:marRight w:val="0"/>
      <w:marTop w:val="0"/>
      <w:marBottom w:val="0"/>
      <w:divBdr>
        <w:top w:val="none" w:sz="0" w:space="0" w:color="auto"/>
        <w:left w:val="none" w:sz="0" w:space="0" w:color="auto"/>
        <w:bottom w:val="none" w:sz="0" w:space="0" w:color="auto"/>
        <w:right w:val="none" w:sz="0" w:space="0" w:color="auto"/>
      </w:divBdr>
    </w:div>
    <w:div w:id="1427923162">
      <w:bodyDiv w:val="1"/>
      <w:marLeft w:val="0"/>
      <w:marRight w:val="0"/>
      <w:marTop w:val="0"/>
      <w:marBottom w:val="0"/>
      <w:divBdr>
        <w:top w:val="none" w:sz="0" w:space="0" w:color="auto"/>
        <w:left w:val="none" w:sz="0" w:space="0" w:color="auto"/>
        <w:bottom w:val="none" w:sz="0" w:space="0" w:color="auto"/>
        <w:right w:val="none" w:sz="0" w:space="0" w:color="auto"/>
      </w:divBdr>
    </w:div>
    <w:div w:id="1479492452">
      <w:bodyDiv w:val="1"/>
      <w:marLeft w:val="0"/>
      <w:marRight w:val="0"/>
      <w:marTop w:val="0"/>
      <w:marBottom w:val="0"/>
      <w:divBdr>
        <w:top w:val="none" w:sz="0" w:space="0" w:color="auto"/>
        <w:left w:val="none" w:sz="0" w:space="0" w:color="auto"/>
        <w:bottom w:val="none" w:sz="0" w:space="0" w:color="auto"/>
        <w:right w:val="none" w:sz="0" w:space="0" w:color="auto"/>
      </w:divBdr>
    </w:div>
    <w:div w:id="1481507021">
      <w:bodyDiv w:val="1"/>
      <w:marLeft w:val="0"/>
      <w:marRight w:val="0"/>
      <w:marTop w:val="0"/>
      <w:marBottom w:val="0"/>
      <w:divBdr>
        <w:top w:val="none" w:sz="0" w:space="0" w:color="auto"/>
        <w:left w:val="none" w:sz="0" w:space="0" w:color="auto"/>
        <w:bottom w:val="none" w:sz="0" w:space="0" w:color="auto"/>
        <w:right w:val="none" w:sz="0" w:space="0" w:color="auto"/>
      </w:divBdr>
    </w:div>
    <w:div w:id="1488473551">
      <w:bodyDiv w:val="1"/>
      <w:marLeft w:val="0"/>
      <w:marRight w:val="0"/>
      <w:marTop w:val="0"/>
      <w:marBottom w:val="0"/>
      <w:divBdr>
        <w:top w:val="none" w:sz="0" w:space="0" w:color="auto"/>
        <w:left w:val="none" w:sz="0" w:space="0" w:color="auto"/>
        <w:bottom w:val="none" w:sz="0" w:space="0" w:color="auto"/>
        <w:right w:val="none" w:sz="0" w:space="0" w:color="auto"/>
      </w:divBdr>
    </w:div>
    <w:div w:id="1511990974">
      <w:bodyDiv w:val="1"/>
      <w:marLeft w:val="0"/>
      <w:marRight w:val="0"/>
      <w:marTop w:val="0"/>
      <w:marBottom w:val="0"/>
      <w:divBdr>
        <w:top w:val="none" w:sz="0" w:space="0" w:color="auto"/>
        <w:left w:val="none" w:sz="0" w:space="0" w:color="auto"/>
        <w:bottom w:val="none" w:sz="0" w:space="0" w:color="auto"/>
        <w:right w:val="none" w:sz="0" w:space="0" w:color="auto"/>
      </w:divBdr>
    </w:div>
    <w:div w:id="1526745192">
      <w:bodyDiv w:val="1"/>
      <w:marLeft w:val="0"/>
      <w:marRight w:val="0"/>
      <w:marTop w:val="0"/>
      <w:marBottom w:val="0"/>
      <w:divBdr>
        <w:top w:val="none" w:sz="0" w:space="0" w:color="auto"/>
        <w:left w:val="none" w:sz="0" w:space="0" w:color="auto"/>
        <w:bottom w:val="none" w:sz="0" w:space="0" w:color="auto"/>
        <w:right w:val="none" w:sz="0" w:space="0" w:color="auto"/>
      </w:divBdr>
    </w:div>
    <w:div w:id="1553543591">
      <w:bodyDiv w:val="1"/>
      <w:marLeft w:val="0"/>
      <w:marRight w:val="0"/>
      <w:marTop w:val="0"/>
      <w:marBottom w:val="0"/>
      <w:divBdr>
        <w:top w:val="none" w:sz="0" w:space="0" w:color="auto"/>
        <w:left w:val="none" w:sz="0" w:space="0" w:color="auto"/>
        <w:bottom w:val="none" w:sz="0" w:space="0" w:color="auto"/>
        <w:right w:val="none" w:sz="0" w:space="0" w:color="auto"/>
      </w:divBdr>
    </w:div>
    <w:div w:id="1571499196">
      <w:bodyDiv w:val="1"/>
      <w:marLeft w:val="0"/>
      <w:marRight w:val="0"/>
      <w:marTop w:val="0"/>
      <w:marBottom w:val="0"/>
      <w:divBdr>
        <w:top w:val="none" w:sz="0" w:space="0" w:color="auto"/>
        <w:left w:val="none" w:sz="0" w:space="0" w:color="auto"/>
        <w:bottom w:val="none" w:sz="0" w:space="0" w:color="auto"/>
        <w:right w:val="none" w:sz="0" w:space="0" w:color="auto"/>
      </w:divBdr>
    </w:div>
    <w:div w:id="1679890701">
      <w:bodyDiv w:val="1"/>
      <w:marLeft w:val="0"/>
      <w:marRight w:val="0"/>
      <w:marTop w:val="0"/>
      <w:marBottom w:val="0"/>
      <w:divBdr>
        <w:top w:val="none" w:sz="0" w:space="0" w:color="auto"/>
        <w:left w:val="none" w:sz="0" w:space="0" w:color="auto"/>
        <w:bottom w:val="none" w:sz="0" w:space="0" w:color="auto"/>
        <w:right w:val="none" w:sz="0" w:space="0" w:color="auto"/>
      </w:divBdr>
    </w:div>
    <w:div w:id="1710834982">
      <w:bodyDiv w:val="1"/>
      <w:marLeft w:val="0"/>
      <w:marRight w:val="0"/>
      <w:marTop w:val="0"/>
      <w:marBottom w:val="0"/>
      <w:divBdr>
        <w:top w:val="none" w:sz="0" w:space="0" w:color="auto"/>
        <w:left w:val="none" w:sz="0" w:space="0" w:color="auto"/>
        <w:bottom w:val="none" w:sz="0" w:space="0" w:color="auto"/>
        <w:right w:val="none" w:sz="0" w:space="0" w:color="auto"/>
      </w:divBdr>
    </w:div>
    <w:div w:id="1796556684">
      <w:bodyDiv w:val="1"/>
      <w:marLeft w:val="0"/>
      <w:marRight w:val="0"/>
      <w:marTop w:val="0"/>
      <w:marBottom w:val="0"/>
      <w:divBdr>
        <w:top w:val="none" w:sz="0" w:space="0" w:color="auto"/>
        <w:left w:val="none" w:sz="0" w:space="0" w:color="auto"/>
        <w:bottom w:val="none" w:sz="0" w:space="0" w:color="auto"/>
        <w:right w:val="none" w:sz="0" w:space="0" w:color="auto"/>
      </w:divBdr>
    </w:div>
    <w:div w:id="1809543779">
      <w:bodyDiv w:val="1"/>
      <w:marLeft w:val="0"/>
      <w:marRight w:val="0"/>
      <w:marTop w:val="0"/>
      <w:marBottom w:val="0"/>
      <w:divBdr>
        <w:top w:val="none" w:sz="0" w:space="0" w:color="auto"/>
        <w:left w:val="none" w:sz="0" w:space="0" w:color="auto"/>
        <w:bottom w:val="none" w:sz="0" w:space="0" w:color="auto"/>
        <w:right w:val="none" w:sz="0" w:space="0" w:color="auto"/>
      </w:divBdr>
    </w:div>
    <w:div w:id="1813861543">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24813613">
      <w:bodyDiv w:val="1"/>
      <w:marLeft w:val="0"/>
      <w:marRight w:val="0"/>
      <w:marTop w:val="0"/>
      <w:marBottom w:val="0"/>
      <w:divBdr>
        <w:top w:val="none" w:sz="0" w:space="0" w:color="auto"/>
        <w:left w:val="none" w:sz="0" w:space="0" w:color="auto"/>
        <w:bottom w:val="none" w:sz="0" w:space="0" w:color="auto"/>
        <w:right w:val="none" w:sz="0" w:space="0" w:color="auto"/>
      </w:divBdr>
    </w:div>
    <w:div w:id="1825706113">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0603068">
      <w:bodyDiv w:val="1"/>
      <w:marLeft w:val="0"/>
      <w:marRight w:val="0"/>
      <w:marTop w:val="0"/>
      <w:marBottom w:val="0"/>
      <w:divBdr>
        <w:top w:val="none" w:sz="0" w:space="0" w:color="auto"/>
        <w:left w:val="none" w:sz="0" w:space="0" w:color="auto"/>
        <w:bottom w:val="none" w:sz="0" w:space="0" w:color="auto"/>
        <w:right w:val="none" w:sz="0" w:space="0" w:color="auto"/>
      </w:divBdr>
    </w:div>
    <w:div w:id="1962614275">
      <w:bodyDiv w:val="1"/>
      <w:marLeft w:val="0"/>
      <w:marRight w:val="0"/>
      <w:marTop w:val="0"/>
      <w:marBottom w:val="0"/>
      <w:divBdr>
        <w:top w:val="none" w:sz="0" w:space="0" w:color="auto"/>
        <w:left w:val="none" w:sz="0" w:space="0" w:color="auto"/>
        <w:bottom w:val="none" w:sz="0" w:space="0" w:color="auto"/>
        <w:right w:val="none" w:sz="0" w:space="0" w:color="auto"/>
      </w:divBdr>
    </w:div>
    <w:div w:id="2006278105">
      <w:bodyDiv w:val="1"/>
      <w:marLeft w:val="0"/>
      <w:marRight w:val="0"/>
      <w:marTop w:val="0"/>
      <w:marBottom w:val="0"/>
      <w:divBdr>
        <w:top w:val="none" w:sz="0" w:space="0" w:color="auto"/>
        <w:left w:val="none" w:sz="0" w:space="0" w:color="auto"/>
        <w:bottom w:val="none" w:sz="0" w:space="0" w:color="auto"/>
        <w:right w:val="none" w:sz="0" w:space="0" w:color="auto"/>
      </w:divBdr>
    </w:div>
    <w:div w:id="20586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8083" TargetMode="External"/><Relationship Id="rId13" Type="http://schemas.openxmlformats.org/officeDocument/2006/relationships/hyperlink" Target="https://www.unesco.org/sites/default/files/medias/fichiers/2022/10/6.MONDIACULT_EN_DRAFT%20FINAL%20DECLARATION_FINAL_1.pdf" TargetMode="External"/><Relationship Id="rId18" Type="http://schemas.openxmlformats.org/officeDocument/2006/relationships/hyperlink" Target="https://ich.unesco.org/doc/src/2003_Convention_Basic_Texts-_2022_version-EN_.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licci.eu/" TargetMode="External"/><Relationship Id="rId7" Type="http://schemas.openxmlformats.org/officeDocument/2006/relationships/endnotes" Target="endnotes.xml"/><Relationship Id="rId12" Type="http://schemas.openxmlformats.org/officeDocument/2006/relationships/hyperlink" Target="https://ich.unesco.org/en/decisions/18.COM/12" TargetMode="External"/><Relationship Id="rId17" Type="http://schemas.openxmlformats.org/officeDocument/2006/relationships/hyperlink" Target="https://static1.squarespace.com/static/62fbf293c4912c5514ac3b2a/t/65789ec6b4318b54f27afa6e/1702403782880/Emirates+Declaration+on+Culture+Based+Climate+Action__FINAL.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chngoforum.org/wp-content/uploads/2024/06/DECLARATION-ON-THE-SAFEGUARDING-OF-INTANGIBLE-CULTURAL-HERITAGE-FOR-CLIMATE-ACTION-draft.14.28-05-24.pdf" TargetMode="External"/><Relationship Id="rId20" Type="http://schemas.openxmlformats.org/officeDocument/2006/relationships/hyperlink" Target="https://www.iipfcc.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7.COM/1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nesco.org/sites/default/files/medias/fichiers/2023/11/UNESCO_CALL_FOR_ACTION_NAPLES.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ich.unesco.org/en/decisions/16.COM/5.B" TargetMode="External"/><Relationship Id="rId19" Type="http://schemas.openxmlformats.org/officeDocument/2006/relationships/hyperlink" Target="https://www.unesco.org/en/links" TargetMode="External"/><Relationship Id="rId4" Type="http://schemas.openxmlformats.org/officeDocument/2006/relationships/settings" Target="settings.xml"/><Relationship Id="rId9" Type="http://schemas.openxmlformats.org/officeDocument/2006/relationships/hyperlink" Target="https://ich.unesco.org/doc/src/ICH-Operational_Directives-9.GA-EN.docx" TargetMode="External"/><Relationship Id="rId14" Type="http://schemas.openxmlformats.org/officeDocument/2006/relationships/hyperlink" Target="https://ich.unesco.org/doc/src/61291-EN.pdf"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pcc.ch/report/ar6/wg3/downloads/faqs/IPCC_AR6_WGIII_FAQ_Chapter_0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Normal.dotm</Template>
  <TotalTime>52</TotalTime>
  <Pages>9</Pages>
  <Words>4028</Words>
  <Characters>22962</Characters>
  <Application>Microsoft Office Word</Application>
  <DocSecurity>0</DocSecurity>
  <Lines>191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Juliette Hopkins</cp:lastModifiedBy>
  <cp:revision>20</cp:revision>
  <cp:lastPrinted>2011-08-09T15:26:00Z</cp:lastPrinted>
  <dcterms:created xsi:type="dcterms:W3CDTF">2024-05-30T15:58:00Z</dcterms:created>
  <dcterms:modified xsi:type="dcterms:W3CDTF">2024-06-14T17:36:00Z</dcterms:modified>
</cp:coreProperties>
</file>