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96AA" w14:textId="77777777" w:rsidR="009C6C03" w:rsidRDefault="00C853B7" w:rsidP="00A90BF8">
      <w:pPr>
        <w:spacing w:before="1320"/>
        <w:jc w:val="center"/>
        <w:rPr>
          <w:rFonts w:ascii="Arial" w:hAnsi="Arial" w:cs="Arial"/>
          <w:b/>
          <w:szCs w:val="22"/>
          <w:lang w:val="en-GB"/>
        </w:rPr>
      </w:pPr>
      <w:r w:rsidRPr="004B4D47">
        <w:rPr>
          <w:rFonts w:ascii="Arial" w:hAnsi="Arial" w:cs="Arial"/>
          <w:b/>
          <w:szCs w:val="22"/>
          <w:lang w:val="en-GB"/>
        </w:rPr>
        <w:tab/>
      </w:r>
    </w:p>
    <w:p w14:paraId="72F6D204" w14:textId="3B6C91DD" w:rsidR="003C523E" w:rsidRPr="004B4D47" w:rsidRDefault="002938F2" w:rsidP="00A90BF8">
      <w:pPr>
        <w:spacing w:before="1320"/>
        <w:jc w:val="center"/>
        <w:rPr>
          <w:rFonts w:ascii="Arial" w:hAnsi="Arial" w:cs="Arial"/>
          <w:b/>
          <w:szCs w:val="22"/>
          <w:lang w:val="en-GB"/>
        </w:rPr>
      </w:pPr>
      <w:r w:rsidRPr="004B4D47">
        <w:rPr>
          <w:rFonts w:ascii="Arial" w:hAnsi="Arial" w:cs="Arial"/>
          <w:b/>
          <w:szCs w:val="22"/>
          <w:lang w:val="en-GB"/>
        </w:rPr>
        <w:t>CONVENTION FOR THE SAFEGUARDING OF THE</w:t>
      </w:r>
      <w:r w:rsidRPr="004B4D47">
        <w:rPr>
          <w:rFonts w:ascii="Arial" w:hAnsi="Arial" w:cs="Arial"/>
          <w:b/>
          <w:szCs w:val="22"/>
          <w:lang w:val="en-GB"/>
        </w:rPr>
        <w:br/>
        <w:t>INTANGIBLE CULTURAL HERITAGE</w:t>
      </w:r>
      <w:r w:rsidR="005804CC" w:rsidRPr="00767E6A">
        <w:rPr>
          <w:rFonts w:ascii="Arial" w:hAnsi="Arial" w:cs="Arial"/>
          <w:b/>
          <w:szCs w:val="22"/>
          <w:lang w:val="en-GB"/>
        </w:rPr>
        <w:br/>
      </w:r>
    </w:p>
    <w:p w14:paraId="22E442C6" w14:textId="4F5F820A" w:rsidR="00EF1566" w:rsidRPr="00A90BF8" w:rsidRDefault="00EF1566" w:rsidP="00C66FD1">
      <w:pPr>
        <w:spacing w:before="1200"/>
        <w:ind w:right="-1"/>
        <w:jc w:val="center"/>
        <w:rPr>
          <w:rFonts w:ascii="Arial" w:hAnsi="Arial"/>
          <w:b/>
          <w:lang w:val="en-GB"/>
        </w:rPr>
      </w:pPr>
      <w:bookmarkStart w:id="0" w:name="_Hlk70514086"/>
      <w:r w:rsidRPr="00A90BF8">
        <w:rPr>
          <w:rFonts w:ascii="Arial" w:hAnsi="Arial"/>
          <w:b/>
          <w:lang w:val="en-GB"/>
        </w:rPr>
        <w:t xml:space="preserve">Expert meeting on </w:t>
      </w:r>
      <w:bookmarkStart w:id="1" w:name="_Hlk166661975"/>
      <w:r w:rsidR="00C853B7" w:rsidRPr="00A90BF8">
        <w:rPr>
          <w:rFonts w:ascii="Arial" w:eastAsia="Calibri" w:hAnsi="Arial" w:cs="Arial"/>
          <w:b/>
          <w:bCs/>
          <w:szCs w:val="22"/>
          <w:lang w:val="en-GB"/>
        </w:rPr>
        <w:t>safeguarding intangible cultural</w:t>
      </w:r>
      <w:r w:rsidRPr="00A90BF8">
        <w:rPr>
          <w:rFonts w:ascii="Arial" w:hAnsi="Arial"/>
          <w:b/>
          <w:lang w:val="en-GB"/>
        </w:rPr>
        <w:t xml:space="preserve"> heritage </w:t>
      </w:r>
      <w:r w:rsidR="00C853B7" w:rsidRPr="00A90BF8">
        <w:rPr>
          <w:rFonts w:ascii="Arial" w:eastAsia="Calibri" w:hAnsi="Arial" w:cs="Arial"/>
          <w:b/>
          <w:bCs/>
          <w:szCs w:val="22"/>
          <w:lang w:val="en-GB"/>
        </w:rPr>
        <w:t>and</w:t>
      </w:r>
      <w:r w:rsidRPr="00A90BF8">
        <w:rPr>
          <w:rFonts w:ascii="Arial" w:hAnsi="Arial"/>
          <w:b/>
          <w:lang w:val="en-GB"/>
        </w:rPr>
        <w:t xml:space="preserve"> climate </w:t>
      </w:r>
      <w:r w:rsidR="00C853B7" w:rsidRPr="00A90BF8">
        <w:rPr>
          <w:rFonts w:ascii="Arial" w:eastAsia="Calibri" w:hAnsi="Arial" w:cs="Arial"/>
          <w:b/>
          <w:bCs/>
          <w:szCs w:val="22"/>
          <w:lang w:val="en-GB"/>
        </w:rPr>
        <w:t>change</w:t>
      </w:r>
      <w:bookmarkEnd w:id="1"/>
    </w:p>
    <w:bookmarkEnd w:id="0"/>
    <w:p w14:paraId="56EE2842" w14:textId="698D14BA" w:rsidR="00516150" w:rsidRPr="00A90BF8" w:rsidRDefault="002236C8" w:rsidP="00C66FD1">
      <w:pPr>
        <w:spacing w:before="840"/>
        <w:jc w:val="center"/>
        <w:rPr>
          <w:rFonts w:ascii="Arial" w:hAnsi="Arial"/>
          <w:b/>
          <w:lang w:val="en-GB"/>
        </w:rPr>
      </w:pPr>
      <w:r w:rsidRPr="00A90BF8">
        <w:rPr>
          <w:rFonts w:ascii="Arial" w:hAnsi="Arial"/>
          <w:b/>
          <w:lang w:val="en-GB"/>
        </w:rPr>
        <w:t>19</w:t>
      </w:r>
      <w:r w:rsidR="00516150" w:rsidRPr="00A90BF8">
        <w:rPr>
          <w:rFonts w:ascii="Arial" w:hAnsi="Arial"/>
          <w:b/>
          <w:lang w:val="en-GB"/>
        </w:rPr>
        <w:t xml:space="preserve"> – 2</w:t>
      </w:r>
      <w:r w:rsidRPr="00A90BF8">
        <w:rPr>
          <w:rFonts w:ascii="Arial" w:hAnsi="Arial"/>
          <w:b/>
          <w:lang w:val="en-GB"/>
        </w:rPr>
        <w:t>0</w:t>
      </w:r>
      <w:r w:rsidR="00516150" w:rsidRPr="00A90BF8">
        <w:rPr>
          <w:rFonts w:ascii="Arial" w:hAnsi="Arial"/>
          <w:b/>
          <w:lang w:val="en-GB"/>
        </w:rPr>
        <w:t xml:space="preserve"> </w:t>
      </w:r>
      <w:r w:rsidRPr="00A90BF8">
        <w:rPr>
          <w:rFonts w:ascii="Arial" w:hAnsi="Arial"/>
          <w:b/>
          <w:lang w:val="en-GB"/>
        </w:rPr>
        <w:t>June</w:t>
      </w:r>
      <w:r w:rsidR="00516150" w:rsidRPr="00A90BF8">
        <w:rPr>
          <w:rFonts w:ascii="Arial" w:hAnsi="Arial"/>
          <w:b/>
          <w:lang w:val="en-GB"/>
        </w:rPr>
        <w:t xml:space="preserve"> 202</w:t>
      </w:r>
      <w:r w:rsidRPr="00A90BF8">
        <w:rPr>
          <w:rFonts w:ascii="Arial" w:hAnsi="Arial"/>
          <w:b/>
          <w:lang w:val="en-GB"/>
        </w:rPr>
        <w:t>4</w:t>
      </w:r>
      <w:r w:rsidR="00516150" w:rsidRPr="00A90BF8">
        <w:rPr>
          <w:rFonts w:ascii="Arial" w:hAnsi="Arial"/>
          <w:b/>
          <w:lang w:val="en-GB"/>
        </w:rPr>
        <w:t xml:space="preserve"> (</w:t>
      </w:r>
      <w:r w:rsidR="005804CC" w:rsidRPr="00A90BF8">
        <w:rPr>
          <w:rFonts w:ascii="Arial" w:hAnsi="Arial"/>
          <w:b/>
          <w:lang w:val="en-GB"/>
        </w:rPr>
        <w:t>P</w:t>
      </w:r>
      <w:r w:rsidR="00516150" w:rsidRPr="00A90BF8">
        <w:rPr>
          <w:rFonts w:ascii="Arial" w:hAnsi="Arial"/>
          <w:b/>
          <w:lang w:val="en-GB"/>
        </w:rPr>
        <w:t>art I)</w:t>
      </w:r>
    </w:p>
    <w:p w14:paraId="786DE23D" w14:textId="30E18669" w:rsidR="00105BEB" w:rsidRPr="00A90BF8" w:rsidRDefault="00FC4318" w:rsidP="00A90BF8">
      <w:pPr>
        <w:spacing w:after="0"/>
        <w:jc w:val="center"/>
        <w:rPr>
          <w:rFonts w:ascii="Arial" w:hAnsi="Arial"/>
          <w:b/>
          <w:lang w:val="en-GB"/>
        </w:rPr>
      </w:pPr>
      <w:r w:rsidRPr="00A90BF8">
        <w:rPr>
          <w:rFonts w:ascii="Arial" w:hAnsi="Arial"/>
          <w:b/>
          <w:lang w:val="en-GB"/>
        </w:rPr>
        <w:t>UNESCO Headquarters, Paris</w:t>
      </w:r>
    </w:p>
    <w:p w14:paraId="759533C0" w14:textId="2A7FCD21" w:rsidR="005804CC" w:rsidRPr="00A90BF8" w:rsidRDefault="005804CC" w:rsidP="00C66FD1">
      <w:pPr>
        <w:spacing w:before="240" w:after="0"/>
        <w:jc w:val="center"/>
        <w:rPr>
          <w:rFonts w:ascii="Arial" w:hAnsi="Arial"/>
          <w:b/>
          <w:lang w:val="en-GB"/>
        </w:rPr>
      </w:pPr>
      <w:r w:rsidRPr="00A90BF8">
        <w:rPr>
          <w:rFonts w:ascii="Arial" w:hAnsi="Arial"/>
          <w:b/>
          <w:lang w:val="en-GB"/>
        </w:rPr>
        <w:t>2</w:t>
      </w:r>
      <w:r w:rsidR="002236C8" w:rsidRPr="00A90BF8">
        <w:rPr>
          <w:rFonts w:ascii="Arial" w:hAnsi="Arial"/>
          <w:b/>
          <w:lang w:val="en-GB"/>
        </w:rPr>
        <w:t>5</w:t>
      </w:r>
      <w:r w:rsidR="000571BA" w:rsidRPr="00A90BF8">
        <w:rPr>
          <w:rFonts w:ascii="Arial" w:hAnsi="Arial"/>
          <w:b/>
          <w:lang w:val="en-GB"/>
        </w:rPr>
        <w:t xml:space="preserve"> </w:t>
      </w:r>
      <w:bookmarkStart w:id="2" w:name="_Hlk168662049"/>
      <w:r w:rsidR="00C66FD1" w:rsidRPr="00A90BF8">
        <w:rPr>
          <w:rFonts w:ascii="Arial" w:hAnsi="Arial"/>
          <w:b/>
          <w:lang w:val="en-GB"/>
        </w:rPr>
        <w:t>–</w:t>
      </w:r>
      <w:bookmarkEnd w:id="2"/>
      <w:r w:rsidR="000571BA" w:rsidRPr="00A90BF8">
        <w:rPr>
          <w:rFonts w:ascii="Arial" w:hAnsi="Arial"/>
          <w:b/>
          <w:lang w:val="en-GB"/>
        </w:rPr>
        <w:t xml:space="preserve"> </w:t>
      </w:r>
      <w:r w:rsidR="00EF1566" w:rsidRPr="00A90BF8">
        <w:rPr>
          <w:rFonts w:ascii="Arial" w:hAnsi="Arial"/>
          <w:b/>
          <w:lang w:val="en-GB"/>
        </w:rPr>
        <w:t>26</w:t>
      </w:r>
      <w:r w:rsidRPr="00A90BF8">
        <w:rPr>
          <w:rFonts w:ascii="Arial" w:hAnsi="Arial"/>
          <w:b/>
          <w:lang w:val="en-GB"/>
        </w:rPr>
        <w:t xml:space="preserve"> </w:t>
      </w:r>
      <w:r w:rsidR="002236C8" w:rsidRPr="00A90BF8">
        <w:rPr>
          <w:rFonts w:ascii="Arial" w:hAnsi="Arial"/>
          <w:b/>
          <w:lang w:val="en-GB"/>
        </w:rPr>
        <w:t>September</w:t>
      </w:r>
      <w:r w:rsidRPr="00A90BF8">
        <w:rPr>
          <w:rFonts w:ascii="Arial" w:hAnsi="Arial"/>
          <w:b/>
          <w:lang w:val="en-GB"/>
        </w:rPr>
        <w:t xml:space="preserve"> 202</w:t>
      </w:r>
      <w:r w:rsidR="002236C8" w:rsidRPr="00A90BF8">
        <w:rPr>
          <w:rFonts w:ascii="Arial" w:hAnsi="Arial"/>
          <w:b/>
          <w:lang w:val="en-GB"/>
        </w:rPr>
        <w:t>4</w:t>
      </w:r>
      <w:r w:rsidRPr="00A90BF8">
        <w:rPr>
          <w:rFonts w:ascii="Arial" w:hAnsi="Arial"/>
          <w:b/>
          <w:lang w:val="en-GB"/>
        </w:rPr>
        <w:t xml:space="preserve"> (Part II)</w:t>
      </w:r>
    </w:p>
    <w:p w14:paraId="77EF448F" w14:textId="77777777" w:rsidR="005804CC" w:rsidRPr="00A90BF8" w:rsidRDefault="005804CC" w:rsidP="00A90BF8">
      <w:pPr>
        <w:spacing w:after="360"/>
        <w:jc w:val="center"/>
        <w:rPr>
          <w:rFonts w:ascii="Arial" w:hAnsi="Arial"/>
          <w:b/>
          <w:lang w:val="en-GB"/>
        </w:rPr>
      </w:pPr>
      <w:r w:rsidRPr="004B4D47">
        <w:rPr>
          <w:rFonts w:ascii="Arial" w:hAnsi="Arial"/>
          <w:b/>
          <w:lang w:val="en-GB"/>
        </w:rPr>
        <w:t>Online</w:t>
      </w:r>
    </w:p>
    <w:p w14:paraId="08046E56" w14:textId="383ECB81" w:rsidR="003C523E" w:rsidRPr="00A90BF8" w:rsidRDefault="003C523E" w:rsidP="009F265A">
      <w:pPr>
        <w:spacing w:after="1200"/>
        <w:rPr>
          <w:rFonts w:ascii="Arial" w:hAnsi="Arial" w:cs="Arial"/>
          <w:b/>
          <w:szCs w:val="22"/>
          <w:lang w:val="en-GB"/>
        </w:rPr>
      </w:pPr>
    </w:p>
    <w:p w14:paraId="2D09841A" w14:textId="6EA0D92D" w:rsidR="00851458" w:rsidRPr="00A90BF8" w:rsidRDefault="001164EF" w:rsidP="00A90BF8">
      <w:pPr>
        <w:spacing w:before="600" w:after="1200"/>
        <w:jc w:val="center"/>
        <w:rPr>
          <w:rFonts w:ascii="Arial" w:eastAsiaTheme="minorEastAsia" w:hAnsi="Arial" w:cs="Arial"/>
          <w:b/>
          <w:szCs w:val="22"/>
          <w:lang w:val="en-GB"/>
        </w:rPr>
      </w:pPr>
      <w:r>
        <w:rPr>
          <w:rFonts w:ascii="Arial" w:hAnsi="Arial" w:cs="Arial"/>
          <w:b/>
          <w:szCs w:val="22"/>
          <w:lang w:val="en-GB" w:eastAsia="ko-KR"/>
        </w:rPr>
        <w:t>Roles and risks</w:t>
      </w:r>
    </w:p>
    <w:p w14:paraId="5966CA3A" w14:textId="3D64ADF3" w:rsidR="002936F8" w:rsidRPr="00A90BF8" w:rsidRDefault="00851458" w:rsidP="00A90BF8">
      <w:pPr>
        <w:spacing w:line="360" w:lineRule="auto"/>
        <w:jc w:val="both"/>
        <w:rPr>
          <w:lang w:val="en-GB"/>
        </w:rPr>
      </w:pPr>
      <w:r w:rsidRPr="00A90BF8">
        <w:rPr>
          <w:rFonts w:ascii="Arial" w:hAnsi="Arial"/>
          <w:lang w:val="en-GB"/>
        </w:rPr>
        <w:br w:type="page"/>
      </w:r>
      <w:bookmarkStart w:id="3" w:name="_Hlk129004531"/>
      <w:r w:rsidR="002936F8" w:rsidRPr="00A90BF8">
        <w:rPr>
          <w:rFonts w:ascii="Arial" w:hAnsi="Arial"/>
          <w:b/>
          <w:lang w:val="en-GB"/>
        </w:rPr>
        <w:lastRenderedPageBreak/>
        <w:t>RISKS</w:t>
      </w:r>
      <w:r w:rsidR="00AE7F92" w:rsidRPr="00A90BF8">
        <w:rPr>
          <w:rFonts w:ascii="Arial" w:hAnsi="Arial"/>
          <w:b/>
          <w:lang w:val="en-GB"/>
        </w:rPr>
        <w:t xml:space="preserve"> AND ROLES FOR LIVING HERITAGE</w:t>
      </w:r>
    </w:p>
    <w:p w14:paraId="5768E651" w14:textId="43F63971" w:rsidR="002936F8" w:rsidRPr="00A90BF8" w:rsidRDefault="00AE7F92" w:rsidP="00C66FD1">
      <w:pPr>
        <w:pStyle w:val="1GAPara"/>
        <w:rPr>
          <w:lang w:val="en-GB"/>
        </w:rPr>
      </w:pPr>
      <w:bookmarkStart w:id="4" w:name="_Hlk150602532"/>
      <w:r w:rsidRPr="00A90BF8">
        <w:rPr>
          <w:lang w:val="en-GB"/>
        </w:rPr>
        <w:t>This document</w:t>
      </w:r>
      <w:r w:rsidR="00A16DFA" w:rsidRPr="00A90BF8">
        <w:rPr>
          <w:lang w:val="en-GB"/>
        </w:rPr>
        <w:t xml:space="preserve"> maps some of the key roles and risks for intangible cultural heritage in the context of the climate emergency.</w:t>
      </w:r>
      <w:r w:rsidRPr="00A90BF8">
        <w:rPr>
          <w:lang w:val="en-GB"/>
        </w:rPr>
        <w:t xml:space="preserve"> </w:t>
      </w:r>
      <w:r w:rsidR="002936F8" w:rsidRPr="00A90BF8">
        <w:rPr>
          <w:lang w:val="en-GB"/>
        </w:rPr>
        <w:t xml:space="preserve">The well-established ‘dual </w:t>
      </w:r>
      <w:r w:rsidR="00C1741B" w:rsidRPr="00A90BF8">
        <w:rPr>
          <w:lang w:val="en-GB"/>
        </w:rPr>
        <w:t xml:space="preserve">role’ </w:t>
      </w:r>
      <w:r w:rsidR="002936F8" w:rsidRPr="00A90BF8">
        <w:rPr>
          <w:lang w:val="en-GB"/>
        </w:rPr>
        <w:t>for intangible cultural heritage in emergencies, as set out in the Operational Principles and Modalities for Safeguarding Intangible Cultural Heritage in Emergencies</w:t>
      </w:r>
      <w:r w:rsidR="00C1741B" w:rsidRPr="00A90BF8">
        <w:rPr>
          <w:lang w:val="en-GB"/>
        </w:rPr>
        <w:t>,</w:t>
      </w:r>
      <w:r w:rsidR="002936F8" w:rsidRPr="00A90BF8">
        <w:rPr>
          <w:vertAlign w:val="superscript"/>
          <w:lang w:val="en-GB"/>
        </w:rPr>
        <w:endnoteReference w:id="2"/>
      </w:r>
      <w:r w:rsidR="002936F8" w:rsidRPr="00A90BF8">
        <w:rPr>
          <w:lang w:val="en-GB"/>
        </w:rPr>
        <w:t xml:space="preserve"> also applies to intangible cultural heritage in the context of climate change. On </w:t>
      </w:r>
      <w:r w:rsidRPr="00A90BF8">
        <w:rPr>
          <w:lang w:val="en-GB"/>
        </w:rPr>
        <w:t xml:space="preserve">the </w:t>
      </w:r>
      <w:r w:rsidR="002936F8" w:rsidRPr="00A90BF8">
        <w:rPr>
          <w:lang w:val="en-GB"/>
        </w:rPr>
        <w:t>one hand,</w:t>
      </w:r>
      <w:r w:rsidRPr="00A90BF8">
        <w:rPr>
          <w:lang w:val="en-GB"/>
        </w:rPr>
        <w:t xml:space="preserve"> intangible cultural heritage is at risk </w:t>
      </w:r>
      <w:r w:rsidR="00E00DB1" w:rsidRPr="00A90BF8">
        <w:rPr>
          <w:lang w:val="en-GB"/>
        </w:rPr>
        <w:t xml:space="preserve">of negative impacts </w:t>
      </w:r>
      <w:r w:rsidRPr="00A90BF8">
        <w:rPr>
          <w:lang w:val="en-GB"/>
        </w:rPr>
        <w:t xml:space="preserve">from </w:t>
      </w:r>
      <w:r w:rsidR="00E00DB1" w:rsidRPr="00A90BF8">
        <w:rPr>
          <w:lang w:val="en-GB"/>
        </w:rPr>
        <w:t xml:space="preserve">the </w:t>
      </w:r>
      <w:r w:rsidR="008D3E74" w:rsidRPr="00A90BF8">
        <w:rPr>
          <w:lang w:val="en-GB"/>
        </w:rPr>
        <w:t>effects</w:t>
      </w:r>
      <w:r w:rsidR="00E00DB1" w:rsidRPr="00A90BF8">
        <w:rPr>
          <w:lang w:val="en-GB"/>
        </w:rPr>
        <w:t xml:space="preserve"> of </w:t>
      </w:r>
      <w:r w:rsidRPr="00A90BF8">
        <w:rPr>
          <w:lang w:val="en-GB"/>
        </w:rPr>
        <w:t>climate change</w:t>
      </w:r>
      <w:r w:rsidR="002936F8" w:rsidRPr="00A90BF8">
        <w:rPr>
          <w:lang w:val="en-GB"/>
        </w:rPr>
        <w:t xml:space="preserve"> while</w:t>
      </w:r>
      <w:r w:rsidR="008D3E74" w:rsidRPr="00A90BF8">
        <w:rPr>
          <w:lang w:val="en-GB"/>
        </w:rPr>
        <w:t>,</w:t>
      </w:r>
      <w:r w:rsidR="002936F8" w:rsidRPr="00A90BF8">
        <w:rPr>
          <w:lang w:val="en-GB"/>
        </w:rPr>
        <w:t xml:space="preserve"> on the other,</w:t>
      </w:r>
      <w:r w:rsidRPr="00A90BF8">
        <w:rPr>
          <w:lang w:val="en-GB"/>
        </w:rPr>
        <w:t xml:space="preserve"> intangible cultural heritage has a </w:t>
      </w:r>
      <w:r w:rsidR="00E00DB1" w:rsidRPr="00A90BF8">
        <w:rPr>
          <w:lang w:val="en-GB"/>
        </w:rPr>
        <w:t xml:space="preserve">positive </w:t>
      </w:r>
      <w:r w:rsidRPr="00A90BF8">
        <w:rPr>
          <w:lang w:val="en-GB"/>
        </w:rPr>
        <w:t xml:space="preserve">role </w:t>
      </w:r>
      <w:r w:rsidR="00E00DB1" w:rsidRPr="00A90BF8">
        <w:rPr>
          <w:lang w:val="en-GB"/>
        </w:rPr>
        <w:t xml:space="preserve">to play </w:t>
      </w:r>
      <w:r w:rsidRPr="00A90BF8">
        <w:rPr>
          <w:lang w:val="en-GB"/>
        </w:rPr>
        <w:t>as a source of resilience</w:t>
      </w:r>
      <w:r w:rsidR="00E00DB1" w:rsidRPr="00A90BF8">
        <w:rPr>
          <w:lang w:val="en-GB"/>
        </w:rPr>
        <w:t xml:space="preserve"> </w:t>
      </w:r>
      <w:r w:rsidRPr="00A90BF8">
        <w:rPr>
          <w:lang w:val="en-GB"/>
        </w:rPr>
        <w:t xml:space="preserve">and recovery in </w:t>
      </w:r>
      <w:r w:rsidR="00A16DFA" w:rsidRPr="00A90BF8">
        <w:rPr>
          <w:lang w:val="en-GB"/>
        </w:rPr>
        <w:t xml:space="preserve">preparing for and </w:t>
      </w:r>
      <w:r w:rsidRPr="00A90BF8">
        <w:rPr>
          <w:lang w:val="en-GB"/>
        </w:rPr>
        <w:t>limiting the risks and impacts of climate change</w:t>
      </w:r>
      <w:r w:rsidR="00E00DB1" w:rsidRPr="00A90BF8">
        <w:rPr>
          <w:lang w:val="en-GB"/>
        </w:rPr>
        <w:t>, and in enhancing climate change mitigation</w:t>
      </w:r>
      <w:r w:rsidR="002936F8" w:rsidRPr="00A90BF8">
        <w:rPr>
          <w:lang w:val="en-GB"/>
        </w:rPr>
        <w:t xml:space="preserve">. </w:t>
      </w:r>
    </w:p>
    <w:bookmarkEnd w:id="4"/>
    <w:p w14:paraId="6E5883B2" w14:textId="0BEA6793" w:rsidR="002936F8" w:rsidRPr="00A90BF8" w:rsidRDefault="00AE7F92" w:rsidP="00C66FD1">
      <w:pPr>
        <w:pStyle w:val="1GAPara"/>
        <w:rPr>
          <w:lang w:val="en-GB"/>
        </w:rPr>
      </w:pPr>
      <w:r w:rsidRPr="00A90BF8">
        <w:rPr>
          <w:lang w:val="en-GB"/>
        </w:rPr>
        <w:t>Section 1 considers some of the r</w:t>
      </w:r>
      <w:r w:rsidR="002936F8" w:rsidRPr="00A90BF8">
        <w:rPr>
          <w:lang w:val="en-GB"/>
        </w:rPr>
        <w:t>isks posed to intangible cultural heritage from climate change</w:t>
      </w:r>
      <w:r w:rsidRPr="00A90BF8">
        <w:rPr>
          <w:lang w:val="en-GB"/>
        </w:rPr>
        <w:t>, which</w:t>
      </w:r>
      <w:r w:rsidR="002936F8" w:rsidRPr="00A90BF8">
        <w:rPr>
          <w:lang w:val="en-GB"/>
        </w:rPr>
        <w:t xml:space="preserve"> include both direct and indirect impacts to intangible cultural heritage practice</w:t>
      </w:r>
      <w:r w:rsidR="008D3E74" w:rsidRPr="00A90BF8">
        <w:rPr>
          <w:lang w:val="en-GB"/>
        </w:rPr>
        <w:t xml:space="preserve">, </w:t>
      </w:r>
      <w:r w:rsidR="00C1741B" w:rsidRPr="00A90BF8">
        <w:rPr>
          <w:lang w:val="en-GB"/>
        </w:rPr>
        <w:t>resources,</w:t>
      </w:r>
      <w:r w:rsidR="002936F8" w:rsidRPr="00A90BF8">
        <w:rPr>
          <w:lang w:val="en-GB"/>
        </w:rPr>
        <w:t xml:space="preserve"> and transmission.</w:t>
      </w:r>
      <w:r w:rsidRPr="00A90BF8">
        <w:rPr>
          <w:lang w:val="en-GB"/>
        </w:rPr>
        <w:t xml:space="preserve"> Section 2 reviews some of the critical positive roles for intangible cultural heritage in the climate emergency, which include identifying, </w:t>
      </w:r>
      <w:proofErr w:type="gramStart"/>
      <w:r w:rsidRPr="00A90BF8">
        <w:rPr>
          <w:lang w:val="en-GB"/>
        </w:rPr>
        <w:t>assessing</w:t>
      </w:r>
      <w:proofErr w:type="gramEnd"/>
      <w:r w:rsidRPr="00A90BF8">
        <w:rPr>
          <w:lang w:val="en-GB"/>
        </w:rPr>
        <w:t xml:space="preserve"> and monitoring climate change</w:t>
      </w:r>
      <w:r w:rsidR="008D3E74" w:rsidRPr="00A90BF8">
        <w:rPr>
          <w:bCs/>
          <w:lang w:val="en-GB"/>
        </w:rPr>
        <w:t xml:space="preserve"> and its impacts</w:t>
      </w:r>
      <w:r w:rsidRPr="00A90BF8">
        <w:rPr>
          <w:bCs/>
          <w:lang w:val="en-GB"/>
        </w:rPr>
        <w:t xml:space="preserve">; </w:t>
      </w:r>
      <w:r w:rsidR="008D3E74" w:rsidRPr="00A90BF8">
        <w:rPr>
          <w:bCs/>
          <w:lang w:val="en-GB"/>
        </w:rPr>
        <w:t>preparing for and</w:t>
      </w:r>
      <w:r w:rsidR="008D3E74" w:rsidRPr="00A90BF8">
        <w:rPr>
          <w:lang w:val="en-GB"/>
        </w:rPr>
        <w:t xml:space="preserve"> </w:t>
      </w:r>
      <w:r w:rsidRPr="00A90BF8">
        <w:rPr>
          <w:lang w:val="en-GB"/>
        </w:rPr>
        <w:t xml:space="preserve">limiting climate-related impacts; promoting and facilitating societal and environmental adaptation to climate change; </w:t>
      </w:r>
      <w:r w:rsidR="00B23201" w:rsidRPr="00A90BF8">
        <w:rPr>
          <w:lang w:val="en-GB"/>
        </w:rPr>
        <w:t xml:space="preserve">managing the processes of climate change adaptation; </w:t>
      </w:r>
      <w:r w:rsidRPr="00A90BF8">
        <w:rPr>
          <w:lang w:val="en-GB"/>
        </w:rPr>
        <w:t>and contributing directly to the mitigation of carbon emissions.</w:t>
      </w:r>
    </w:p>
    <w:p w14:paraId="54C12E70" w14:textId="5E186565" w:rsidR="002936F8" w:rsidRPr="00A90BF8" w:rsidRDefault="002936F8" w:rsidP="00C66FD1">
      <w:pPr>
        <w:pStyle w:val="1GAPara"/>
        <w:rPr>
          <w:lang w:val="en-GB"/>
        </w:rPr>
      </w:pPr>
      <w:r w:rsidRPr="00A90BF8">
        <w:rPr>
          <w:lang w:val="en-GB"/>
        </w:rPr>
        <w:t xml:space="preserve">There are many published case studies, covering every environment and country, that describe the use of intangible cultural heritage or local knowledge systems to monitor or limit the effects of </w:t>
      </w:r>
      <w:r w:rsidR="008D3E74" w:rsidRPr="00A90BF8">
        <w:rPr>
          <w:lang w:val="en-GB"/>
        </w:rPr>
        <w:t>environmental</w:t>
      </w:r>
      <w:r w:rsidRPr="00A90BF8">
        <w:rPr>
          <w:lang w:val="en-GB"/>
        </w:rPr>
        <w:t xml:space="preserve"> change</w:t>
      </w:r>
      <w:r w:rsidR="008D3E74" w:rsidRPr="00A90BF8">
        <w:rPr>
          <w:lang w:val="en-GB"/>
        </w:rPr>
        <w:t>, natural hazards</w:t>
      </w:r>
      <w:r w:rsidRPr="00A90BF8">
        <w:rPr>
          <w:lang w:val="en-GB"/>
        </w:rPr>
        <w:t xml:space="preserve"> or </w:t>
      </w:r>
      <w:r w:rsidR="008D3E74" w:rsidRPr="00A90BF8">
        <w:rPr>
          <w:lang w:val="en-GB"/>
        </w:rPr>
        <w:t xml:space="preserve">the </w:t>
      </w:r>
      <w:r w:rsidRPr="00A90BF8">
        <w:rPr>
          <w:lang w:val="en-GB"/>
        </w:rPr>
        <w:t>climate</w:t>
      </w:r>
      <w:r w:rsidR="008D3E74" w:rsidRPr="00A90BF8">
        <w:rPr>
          <w:lang w:val="en-GB"/>
        </w:rPr>
        <w:t xml:space="preserve"> emergency</w:t>
      </w:r>
      <w:r w:rsidRPr="00A90BF8">
        <w:rPr>
          <w:lang w:val="en-GB"/>
        </w:rPr>
        <w:t>, and that model possible strategies for climate change adaptation</w:t>
      </w:r>
      <w:r w:rsidR="00A16DFA" w:rsidRPr="00A90BF8">
        <w:rPr>
          <w:lang w:val="en-GB"/>
        </w:rPr>
        <w:t>.</w:t>
      </w:r>
      <w:r w:rsidR="00A16DFA" w:rsidRPr="00A90BF8">
        <w:rPr>
          <w:rStyle w:val="EndnoteReference"/>
          <w:lang w:val="en-GB"/>
        </w:rPr>
        <w:endnoteReference w:id="3"/>
      </w:r>
      <w:r w:rsidRPr="00A90BF8">
        <w:rPr>
          <w:lang w:val="en-GB"/>
        </w:rPr>
        <w:t xml:space="preserve"> But we need an overall structure or framework within which to integrate these individual case</w:t>
      </w:r>
      <w:r w:rsidR="00751A0B" w:rsidRPr="00A90BF8">
        <w:rPr>
          <w:lang w:val="en-GB"/>
        </w:rPr>
        <w:t xml:space="preserve"> studie</w:t>
      </w:r>
      <w:r w:rsidRPr="00A90BF8">
        <w:rPr>
          <w:lang w:val="en-GB"/>
        </w:rPr>
        <w:t xml:space="preserve">s, and which </w:t>
      </w:r>
      <w:r w:rsidR="00751A0B" w:rsidRPr="00A90BF8">
        <w:rPr>
          <w:lang w:val="en-GB"/>
        </w:rPr>
        <w:t>can then be further refined through the incorporation of new</w:t>
      </w:r>
      <w:r w:rsidRPr="00A90BF8">
        <w:rPr>
          <w:lang w:val="en-GB"/>
        </w:rPr>
        <w:t xml:space="preserve"> case studies</w:t>
      </w:r>
      <w:bookmarkStart w:id="5" w:name="_Hlk150602611"/>
      <w:r w:rsidR="00E00DB1" w:rsidRPr="00A90BF8">
        <w:rPr>
          <w:lang w:val="en-GB"/>
        </w:rPr>
        <w:t>. A</w:t>
      </w:r>
      <w:r w:rsidRPr="00A90BF8">
        <w:rPr>
          <w:lang w:val="en-GB"/>
        </w:rPr>
        <w:t xml:space="preserve">lthough models are available for </w:t>
      </w:r>
      <w:proofErr w:type="gramStart"/>
      <w:r w:rsidRPr="00A90BF8">
        <w:rPr>
          <w:lang w:val="en-GB"/>
        </w:rPr>
        <w:t>particular knowledge</w:t>
      </w:r>
      <w:proofErr w:type="gramEnd"/>
      <w:r w:rsidRPr="00A90BF8">
        <w:rPr>
          <w:lang w:val="en-GB"/>
        </w:rPr>
        <w:t xml:space="preserve"> systems, such as traditional </w:t>
      </w:r>
      <w:r w:rsidR="008D3E74" w:rsidRPr="00A90BF8">
        <w:rPr>
          <w:lang w:val="en-GB"/>
        </w:rPr>
        <w:t xml:space="preserve">ecological </w:t>
      </w:r>
      <w:r w:rsidRPr="00A90BF8">
        <w:rPr>
          <w:lang w:val="en-GB"/>
        </w:rPr>
        <w:t xml:space="preserve">knowledge or Indigenous knowledge, </w:t>
      </w:r>
      <w:bookmarkEnd w:id="5"/>
      <w:r w:rsidRPr="00A90BF8">
        <w:rPr>
          <w:lang w:val="en-GB"/>
        </w:rPr>
        <w:t xml:space="preserve">no such framework currently exists for intangible cultural heritage. In particular, we need to </w:t>
      </w:r>
      <w:proofErr w:type="gramStart"/>
      <w:r w:rsidRPr="00A90BF8">
        <w:rPr>
          <w:lang w:val="en-GB"/>
        </w:rPr>
        <w:t>understand:</w:t>
      </w:r>
      <w:proofErr w:type="gramEnd"/>
      <w:r w:rsidRPr="00A90BF8">
        <w:rPr>
          <w:lang w:val="en-GB"/>
        </w:rPr>
        <w:t xml:space="preserve"> </w:t>
      </w:r>
      <w:bookmarkStart w:id="6" w:name="_Hlk148287321"/>
      <w:r w:rsidRPr="00A90BF8">
        <w:rPr>
          <w:lang w:val="en-GB"/>
        </w:rPr>
        <w:t xml:space="preserve">a) how threats or losses to intangible cultural heritage take shape over the longer term; </w:t>
      </w:r>
      <w:r w:rsidR="00E00DB1" w:rsidRPr="00A90BF8">
        <w:rPr>
          <w:lang w:val="en-GB"/>
        </w:rPr>
        <w:t xml:space="preserve">and </w:t>
      </w:r>
      <w:r w:rsidRPr="00A90BF8">
        <w:rPr>
          <w:lang w:val="en-GB"/>
        </w:rPr>
        <w:t xml:space="preserve">b) the impact of particular emergencies on </w:t>
      </w:r>
      <w:r w:rsidR="00E00DB1" w:rsidRPr="00A90BF8">
        <w:rPr>
          <w:lang w:val="en-GB"/>
        </w:rPr>
        <w:t xml:space="preserve">intangible cultural heritage </w:t>
      </w:r>
      <w:r w:rsidRPr="00A90BF8">
        <w:rPr>
          <w:lang w:val="en-GB"/>
        </w:rPr>
        <w:t>transmission and viability.</w:t>
      </w:r>
      <w:bookmarkEnd w:id="6"/>
    </w:p>
    <w:bookmarkEnd w:id="3"/>
    <w:p w14:paraId="1EFC234F" w14:textId="75EBD082" w:rsidR="002936F8" w:rsidRPr="00A90BF8" w:rsidRDefault="00AE7F92" w:rsidP="00F4564A">
      <w:pPr>
        <w:pStyle w:val="Heading4"/>
        <w:rPr>
          <w:lang w:val="en-GB"/>
        </w:rPr>
      </w:pPr>
      <w:r w:rsidRPr="00A90BF8">
        <w:rPr>
          <w:lang w:val="en-GB"/>
        </w:rPr>
        <w:t>1</w:t>
      </w:r>
      <w:r w:rsidR="002936F8" w:rsidRPr="00A90BF8">
        <w:rPr>
          <w:lang w:val="en-GB"/>
        </w:rPr>
        <w:t xml:space="preserve">. Risks for </w:t>
      </w:r>
      <w:r w:rsidR="00C1741B" w:rsidRPr="00A90BF8">
        <w:rPr>
          <w:rFonts w:cs="Arial"/>
          <w:szCs w:val="22"/>
          <w:lang w:val="en-GB"/>
        </w:rPr>
        <w:t>i</w:t>
      </w:r>
      <w:r w:rsidR="002936F8" w:rsidRPr="00A90BF8">
        <w:rPr>
          <w:rFonts w:cs="Arial"/>
          <w:szCs w:val="22"/>
          <w:lang w:val="en-GB"/>
        </w:rPr>
        <w:t xml:space="preserve">ntangible </w:t>
      </w:r>
      <w:r w:rsidR="00C1741B" w:rsidRPr="00A90BF8">
        <w:rPr>
          <w:rFonts w:cs="Arial"/>
          <w:szCs w:val="22"/>
          <w:lang w:val="en-GB"/>
        </w:rPr>
        <w:t>c</w:t>
      </w:r>
      <w:r w:rsidR="002936F8" w:rsidRPr="00A90BF8">
        <w:rPr>
          <w:rFonts w:cs="Arial"/>
          <w:szCs w:val="22"/>
          <w:lang w:val="en-GB"/>
        </w:rPr>
        <w:t xml:space="preserve">ultural </w:t>
      </w:r>
      <w:r w:rsidR="00C1741B" w:rsidRPr="00A90BF8">
        <w:rPr>
          <w:rFonts w:cs="Arial"/>
          <w:szCs w:val="22"/>
          <w:lang w:val="en-GB"/>
        </w:rPr>
        <w:t>h</w:t>
      </w:r>
      <w:r w:rsidR="002936F8" w:rsidRPr="00A90BF8">
        <w:rPr>
          <w:rFonts w:cs="Arial"/>
          <w:szCs w:val="22"/>
          <w:lang w:val="en-GB"/>
        </w:rPr>
        <w:t>eritage</w:t>
      </w:r>
    </w:p>
    <w:p w14:paraId="49E3522F" w14:textId="72AB0BBA" w:rsidR="002936F8" w:rsidRPr="00A90BF8" w:rsidRDefault="002936F8" w:rsidP="00F4564A">
      <w:pPr>
        <w:pStyle w:val="1GAPara"/>
        <w:rPr>
          <w:lang w:val="en-GB"/>
        </w:rPr>
      </w:pPr>
      <w:r w:rsidRPr="00A90BF8">
        <w:rPr>
          <w:lang w:val="en-GB"/>
        </w:rPr>
        <w:t xml:space="preserve">The threats posed to intangible cultural heritage by climate change and related emergencies are multiple and connected to and compounded by other forms of emergency in complex ways. These threats </w:t>
      </w:r>
      <w:bookmarkStart w:id="7" w:name="_Hlk148287525"/>
      <w:r w:rsidRPr="00A90BF8">
        <w:rPr>
          <w:lang w:val="en-GB"/>
        </w:rPr>
        <w:t xml:space="preserve">can range from the immediate and absolute effects of major hazard disasters, resulting in the degradation, disappearance and destruction of places, </w:t>
      </w:r>
      <w:proofErr w:type="gramStart"/>
      <w:r w:rsidRPr="00A90BF8">
        <w:rPr>
          <w:lang w:val="en-GB"/>
        </w:rPr>
        <w:t>practices</w:t>
      </w:r>
      <w:proofErr w:type="gramEnd"/>
      <w:r w:rsidRPr="00A90BF8">
        <w:rPr>
          <w:lang w:val="en-GB"/>
        </w:rPr>
        <w:t xml:space="preserve"> and bearers, through to slower but equally dangerous processes such as habitat loss, increasing precarity of community livelihoods, and </w:t>
      </w:r>
      <w:r w:rsidR="00EF5737" w:rsidRPr="00A90BF8">
        <w:rPr>
          <w:lang w:val="en-GB"/>
        </w:rPr>
        <w:t xml:space="preserve">both in-migration and </w:t>
      </w:r>
      <w:r w:rsidRPr="00A90BF8">
        <w:rPr>
          <w:lang w:val="en-GB"/>
        </w:rPr>
        <w:t xml:space="preserve">out-migration. However, the structured nature </w:t>
      </w:r>
      <w:r w:rsidR="008D3E74" w:rsidRPr="00A90BF8">
        <w:rPr>
          <w:bCs/>
          <w:lang w:val="en-GB"/>
        </w:rPr>
        <w:t xml:space="preserve">and inter-relationships </w:t>
      </w:r>
      <w:r w:rsidRPr="00A90BF8">
        <w:rPr>
          <w:lang w:val="en-GB"/>
        </w:rPr>
        <w:t xml:space="preserve">of </w:t>
      </w:r>
      <w:r w:rsidR="008D3E74" w:rsidRPr="00A90BF8">
        <w:rPr>
          <w:bCs/>
          <w:lang w:val="en-GB"/>
        </w:rPr>
        <w:t>these</w:t>
      </w:r>
      <w:r w:rsidRPr="00A90BF8">
        <w:rPr>
          <w:bCs/>
          <w:lang w:val="en-GB"/>
        </w:rPr>
        <w:t xml:space="preserve"> </w:t>
      </w:r>
      <w:r w:rsidR="008D3E74" w:rsidRPr="00A90BF8">
        <w:rPr>
          <w:bCs/>
          <w:lang w:val="en-GB"/>
        </w:rPr>
        <w:t>risks</w:t>
      </w:r>
      <w:r w:rsidRPr="00A90BF8">
        <w:rPr>
          <w:bCs/>
          <w:lang w:val="en-GB"/>
        </w:rPr>
        <w:t xml:space="preserve"> </w:t>
      </w:r>
      <w:r w:rsidR="008D3E74" w:rsidRPr="00A90BF8">
        <w:rPr>
          <w:bCs/>
          <w:lang w:val="en-GB"/>
        </w:rPr>
        <w:t>are</w:t>
      </w:r>
      <w:r w:rsidRPr="00A90BF8">
        <w:rPr>
          <w:lang w:val="en-GB"/>
        </w:rPr>
        <w:t xml:space="preserve"> poorly understood and modelled</w:t>
      </w:r>
      <w:bookmarkEnd w:id="7"/>
      <w:r w:rsidRPr="00A90BF8">
        <w:rPr>
          <w:lang w:val="en-GB"/>
        </w:rPr>
        <w:t>.</w:t>
      </w:r>
    </w:p>
    <w:p w14:paraId="36999D8C" w14:textId="74FDD969" w:rsidR="005F55CB" w:rsidRPr="00A90BF8" w:rsidRDefault="005F55CB" w:rsidP="00F4564A">
      <w:pPr>
        <w:pStyle w:val="1GAPara"/>
        <w:rPr>
          <w:bCs/>
          <w:lang w:val="en-GB"/>
        </w:rPr>
      </w:pPr>
      <w:r w:rsidRPr="00A90BF8">
        <w:rPr>
          <w:bCs/>
          <w:lang w:val="en-GB"/>
        </w:rPr>
        <w:t xml:space="preserve">The exercise and enjoyment of cultural rights and other related human rights guaranteed by international law provide a critical frame for the description and characterisation of </w:t>
      </w:r>
      <w:r w:rsidR="00AF2051" w:rsidRPr="00A90BF8">
        <w:rPr>
          <w:bCs/>
          <w:lang w:val="en-GB"/>
        </w:rPr>
        <w:t xml:space="preserve">climate change </w:t>
      </w:r>
      <w:r w:rsidRPr="00A90BF8">
        <w:rPr>
          <w:bCs/>
          <w:lang w:val="en-GB"/>
        </w:rPr>
        <w:t>risk to intangible cultural heritage</w:t>
      </w:r>
      <w:r w:rsidR="00564AC0">
        <w:rPr>
          <w:bCs/>
          <w:lang w:val="en-GB"/>
        </w:rPr>
        <w:t xml:space="preserve"> and is an</w:t>
      </w:r>
      <w:r w:rsidR="00AC4EBA" w:rsidRPr="00A90BF8">
        <w:rPr>
          <w:bCs/>
          <w:lang w:val="en-GB"/>
        </w:rPr>
        <w:t xml:space="preserve"> important </w:t>
      </w:r>
      <w:r w:rsidR="00564AC0">
        <w:rPr>
          <w:bCs/>
          <w:lang w:val="en-GB"/>
        </w:rPr>
        <w:t xml:space="preserve">perspective </w:t>
      </w:r>
      <w:r w:rsidR="00AC4EBA" w:rsidRPr="00A90BF8">
        <w:rPr>
          <w:bCs/>
          <w:lang w:val="en-GB"/>
        </w:rPr>
        <w:t xml:space="preserve">to </w:t>
      </w:r>
      <w:r w:rsidR="00AC4EBA">
        <w:rPr>
          <w:bCs/>
          <w:lang w:val="en-GB"/>
        </w:rPr>
        <w:t xml:space="preserve">integrate </w:t>
      </w:r>
      <w:r w:rsidR="00AC4EBA" w:rsidRPr="00A90BF8">
        <w:rPr>
          <w:bCs/>
          <w:lang w:val="en-GB"/>
        </w:rPr>
        <w:t>in the</w:t>
      </w:r>
      <w:r w:rsidR="00AC4EBA">
        <w:rPr>
          <w:bCs/>
          <w:lang w:val="en-GB"/>
        </w:rPr>
        <w:t xml:space="preserve"> development of</w:t>
      </w:r>
      <w:r w:rsidR="00F73E9D">
        <w:rPr>
          <w:bCs/>
          <w:lang w:val="en-GB"/>
        </w:rPr>
        <w:t xml:space="preserve"> the present</w:t>
      </w:r>
      <w:r w:rsidR="003F359E">
        <w:rPr>
          <w:bCs/>
          <w:lang w:val="en-GB"/>
        </w:rPr>
        <w:t xml:space="preserve"> </w:t>
      </w:r>
      <w:r w:rsidR="00EC5010">
        <w:rPr>
          <w:bCs/>
          <w:lang w:val="en-GB"/>
        </w:rPr>
        <w:t>G</w:t>
      </w:r>
      <w:r w:rsidR="00220182" w:rsidRPr="00A90BF8">
        <w:rPr>
          <w:bCs/>
          <w:lang w:val="en-GB"/>
        </w:rPr>
        <w:t xml:space="preserve">uidance </w:t>
      </w:r>
      <w:r w:rsidR="00EC5010">
        <w:rPr>
          <w:bCs/>
          <w:lang w:val="en-GB"/>
        </w:rPr>
        <w:t xml:space="preserve">Note </w:t>
      </w:r>
      <w:r w:rsidR="00220182" w:rsidRPr="00A90BF8">
        <w:rPr>
          <w:bCs/>
          <w:lang w:val="en-GB"/>
        </w:rPr>
        <w:t xml:space="preserve">on intangible cultural heritage </w:t>
      </w:r>
      <w:r w:rsidR="00AC4EBA">
        <w:rPr>
          <w:bCs/>
          <w:lang w:val="en-GB"/>
        </w:rPr>
        <w:t>and climate change</w:t>
      </w:r>
      <w:r w:rsidR="00836F47" w:rsidRPr="00A90BF8">
        <w:rPr>
          <w:bCs/>
          <w:lang w:val="en-GB"/>
        </w:rPr>
        <w:t>.</w:t>
      </w:r>
      <w:r w:rsidR="00836F47" w:rsidRPr="00A90BF8">
        <w:rPr>
          <w:rStyle w:val="EndnoteReference"/>
          <w:bCs/>
          <w:lang w:val="en-GB"/>
        </w:rPr>
        <w:endnoteReference w:id="4"/>
      </w:r>
    </w:p>
    <w:p w14:paraId="6CEE8DAD" w14:textId="5D0E9272" w:rsidR="00EF5737" w:rsidRPr="00A90BF8" w:rsidRDefault="00AE7F92" w:rsidP="00A90BF8">
      <w:pPr>
        <w:spacing w:line="360" w:lineRule="auto"/>
        <w:jc w:val="both"/>
        <w:rPr>
          <w:lang w:val="en-GB"/>
        </w:rPr>
      </w:pPr>
      <w:r w:rsidRPr="00A90BF8">
        <w:rPr>
          <w:rFonts w:ascii="Arial" w:hAnsi="Arial"/>
          <w:b/>
          <w:lang w:val="en-GB"/>
        </w:rPr>
        <w:t>1</w:t>
      </w:r>
      <w:r w:rsidR="002936F8" w:rsidRPr="00A90BF8">
        <w:rPr>
          <w:rFonts w:ascii="Arial" w:hAnsi="Arial"/>
          <w:b/>
          <w:lang w:val="en-GB"/>
        </w:rPr>
        <w:t xml:space="preserve">.1 Loss </w:t>
      </w:r>
      <w:r w:rsidR="00EF5737" w:rsidRPr="00A90BF8">
        <w:rPr>
          <w:rFonts w:ascii="Arial" w:hAnsi="Arial"/>
          <w:b/>
          <w:lang w:val="en-GB"/>
        </w:rPr>
        <w:t xml:space="preserve">or transformation </w:t>
      </w:r>
      <w:r w:rsidR="002936F8" w:rsidRPr="00A90BF8">
        <w:rPr>
          <w:rFonts w:ascii="Arial" w:hAnsi="Arial"/>
          <w:b/>
          <w:lang w:val="en-GB"/>
        </w:rPr>
        <w:t>of place and displacement</w:t>
      </w:r>
    </w:p>
    <w:p w14:paraId="6A63D762" w14:textId="00591076" w:rsidR="002936F8" w:rsidRPr="00A90BF8" w:rsidRDefault="002936F8" w:rsidP="00F4564A">
      <w:pPr>
        <w:pStyle w:val="1GAPara"/>
        <w:rPr>
          <w:lang w:val="en-GB"/>
        </w:rPr>
      </w:pPr>
      <w:r w:rsidRPr="00A90BF8">
        <w:rPr>
          <w:lang w:val="en-GB"/>
        </w:rPr>
        <w:t>Because many forms of intangible cultural heritage are profoundly based in place, threats to place are acutely dangerous for its viability.</w:t>
      </w:r>
      <w:r w:rsidRPr="00A90BF8">
        <w:rPr>
          <w:rStyle w:val="EndnoteReference"/>
          <w:lang w:val="en-GB"/>
        </w:rPr>
        <w:endnoteReference w:id="5"/>
      </w:r>
      <w:r w:rsidRPr="00A90BF8">
        <w:rPr>
          <w:lang w:val="en-GB"/>
        </w:rPr>
        <w:t xml:space="preserve"> Attachment to place can be threatened either by loss of place, or by displacement of the community. Whether rapid (resulting from sudden-onset hazard disasters) or slow (such as habitat transformation or sea-level rise), the loss or transformation of built structures, spaces for practice and performance, resource environments and habitats, strikes deeply at livelihoods, identity and spirituality, and threatens the capacity of a community to reproduce itself and to ensure the transmission of its intangible cultural heritage to future generations.</w:t>
      </w:r>
      <w:r w:rsidRPr="00A90BF8">
        <w:rPr>
          <w:rStyle w:val="EndnoteReference"/>
          <w:lang w:val="en-GB"/>
        </w:rPr>
        <w:endnoteReference w:id="6"/>
      </w:r>
      <w:r w:rsidRPr="00A90BF8">
        <w:rPr>
          <w:lang w:val="en-GB"/>
        </w:rPr>
        <w:t xml:space="preserve"> Displacement of a community and the loss of relevant social, spiritual and material contexts is broadly acknowledged as a paramount threat to the safeguarding and transmission of intangible cultural heritage</w:t>
      </w:r>
      <w:r w:rsidR="00EF5737" w:rsidRPr="00A90BF8">
        <w:rPr>
          <w:lang w:val="en-GB"/>
        </w:rPr>
        <w:t>, along with the impacts to the intangible cultural heritage of those communities hosting displaced communities</w:t>
      </w:r>
      <w:r w:rsidRPr="00A90BF8">
        <w:rPr>
          <w:lang w:val="en-GB"/>
        </w:rPr>
        <w:t>.</w:t>
      </w:r>
      <w:r w:rsidRPr="00A90BF8">
        <w:rPr>
          <w:rStyle w:val="EndnoteReference"/>
          <w:lang w:val="en-GB"/>
        </w:rPr>
        <w:endnoteReference w:id="7"/>
      </w:r>
      <w:r w:rsidRPr="00A90BF8">
        <w:rPr>
          <w:lang w:val="en-GB"/>
        </w:rPr>
        <w:t xml:space="preserve"> </w:t>
      </w:r>
    </w:p>
    <w:p w14:paraId="134AC783" w14:textId="71A33A6F" w:rsidR="002936F8" w:rsidRPr="00A90BF8" w:rsidRDefault="002936F8" w:rsidP="00F4564A">
      <w:pPr>
        <w:pStyle w:val="1GAPara"/>
        <w:rPr>
          <w:lang w:val="en-GB"/>
        </w:rPr>
      </w:pPr>
      <w:r w:rsidRPr="00A90BF8">
        <w:rPr>
          <w:lang w:val="en-GB"/>
        </w:rPr>
        <w:lastRenderedPageBreak/>
        <w:t xml:space="preserve">Some of the consequences of loss of place and displacement include the loss of access to other members of the community, to ancestors, to familiar sites, </w:t>
      </w:r>
      <w:proofErr w:type="gramStart"/>
      <w:r w:rsidRPr="00A90BF8">
        <w:rPr>
          <w:lang w:val="en-GB"/>
        </w:rPr>
        <w:t>spaces</w:t>
      </w:r>
      <w:proofErr w:type="gramEnd"/>
      <w:r w:rsidRPr="00A90BF8">
        <w:rPr>
          <w:lang w:val="en-GB"/>
        </w:rPr>
        <w:t xml:space="preserve"> and landscapes, and to the materials required to reproduce intangible cultural heritage.</w:t>
      </w:r>
      <w:r w:rsidRPr="00A90BF8">
        <w:rPr>
          <w:rStyle w:val="EndnoteReference"/>
          <w:lang w:val="en-GB"/>
        </w:rPr>
        <w:endnoteReference w:id="8"/>
      </w:r>
      <w:r w:rsidRPr="00A90BF8">
        <w:rPr>
          <w:lang w:val="en-GB"/>
        </w:rPr>
        <w:t xml:space="preserve"> Displacement uncouples communities from their social, material and environmental contexts and safety nets. Additional threats are then posed to intangible cultural heritage in resettlement or refugee locations, as well as through loss of access to markets, or the displacement of those markets. While these threats to intangible cultural heritage appear clear, the precise nature of the impacts of loss of place and displacement and their costs are not well understood. Components of intangible cultural heritage are certainly portable, but we need to understand how that intangible cultural heritage might be compromised or transformed in the process, and the balance between the negative and positive aspects of that transformation. </w:t>
      </w:r>
    </w:p>
    <w:p w14:paraId="36D49833" w14:textId="03A6EBD5" w:rsidR="002936F8" w:rsidRPr="00A90BF8" w:rsidRDefault="00AE7F92" w:rsidP="00A90BF8">
      <w:pPr>
        <w:spacing w:line="360" w:lineRule="auto"/>
        <w:jc w:val="both"/>
        <w:rPr>
          <w:lang w:val="en-GB"/>
        </w:rPr>
      </w:pPr>
      <w:r w:rsidRPr="00A90BF8">
        <w:rPr>
          <w:rFonts w:ascii="Arial" w:hAnsi="Arial"/>
          <w:b/>
          <w:lang w:val="en-GB"/>
        </w:rPr>
        <w:t>1</w:t>
      </w:r>
      <w:r w:rsidR="002936F8" w:rsidRPr="00A90BF8">
        <w:rPr>
          <w:rFonts w:ascii="Arial" w:hAnsi="Arial"/>
          <w:b/>
          <w:lang w:val="en-GB"/>
        </w:rPr>
        <w:t>.2 Impacts to resources and livelihoods</w:t>
      </w:r>
    </w:p>
    <w:p w14:paraId="14DFAB6E" w14:textId="152FE9CC" w:rsidR="002936F8" w:rsidRPr="00A90BF8" w:rsidRDefault="002936F8" w:rsidP="00F4564A">
      <w:pPr>
        <w:pStyle w:val="1GAPara"/>
        <w:rPr>
          <w:lang w:val="en-GB"/>
        </w:rPr>
      </w:pPr>
      <w:r w:rsidRPr="00A90BF8">
        <w:rPr>
          <w:lang w:val="en-GB"/>
        </w:rPr>
        <w:t xml:space="preserve">The ongoing transmission of intangible cultural heritage depends upon the </w:t>
      </w:r>
      <w:r w:rsidR="00EF5737" w:rsidRPr="00A90BF8">
        <w:rPr>
          <w:lang w:val="en-GB"/>
        </w:rPr>
        <w:t xml:space="preserve">wellbeing and </w:t>
      </w:r>
      <w:r w:rsidRPr="00A90BF8">
        <w:rPr>
          <w:lang w:val="en-GB"/>
        </w:rPr>
        <w:t>cohesion of the bearer community and its sources of livelihood. Climate</w:t>
      </w:r>
      <w:r w:rsidR="00082DE4">
        <w:rPr>
          <w:lang w:val="en-GB"/>
        </w:rPr>
        <w:t xml:space="preserve"> </w:t>
      </w:r>
      <w:r w:rsidRPr="00A90BF8">
        <w:rPr>
          <w:lang w:val="en-GB"/>
        </w:rPr>
        <w:t>change</w:t>
      </w:r>
      <w:r w:rsidR="00082DE4">
        <w:rPr>
          <w:lang w:val="en-GB"/>
        </w:rPr>
        <w:t>-</w:t>
      </w:r>
      <w:r w:rsidRPr="00A90BF8">
        <w:rPr>
          <w:lang w:val="en-GB"/>
        </w:rPr>
        <w:t xml:space="preserve">related impacts to the provision of health and education services, </w:t>
      </w:r>
      <w:r w:rsidR="004B4D47" w:rsidRPr="00A90BF8">
        <w:rPr>
          <w:lang w:val="en-GB"/>
        </w:rPr>
        <w:t>infrastructure,</w:t>
      </w:r>
      <w:r w:rsidRPr="00A90BF8">
        <w:rPr>
          <w:lang w:val="en-GB"/>
        </w:rPr>
        <w:t xml:space="preserve"> and employment, directly threaten communities and their capacity to resource, perform and transmit intangible cultural heritage. Limiting the impact of climate change-related threats to community livelihood</w:t>
      </w:r>
      <w:r w:rsidR="008C47F8" w:rsidRPr="00A90BF8">
        <w:rPr>
          <w:lang w:val="en-GB"/>
        </w:rPr>
        <w:t>s</w:t>
      </w:r>
      <w:r w:rsidRPr="00A90BF8">
        <w:rPr>
          <w:lang w:val="en-GB"/>
        </w:rPr>
        <w:t xml:space="preserve">, including subsistence systems, foodstuffs and foodways, wild and domesticated plants and animals, market access and income generation in all its forms, is thus critical for the long-term transmission </w:t>
      </w:r>
      <w:r w:rsidR="00EF5737" w:rsidRPr="00A90BF8">
        <w:rPr>
          <w:lang w:val="en-GB"/>
        </w:rPr>
        <w:t xml:space="preserve">and viability </w:t>
      </w:r>
      <w:r w:rsidRPr="00A90BF8">
        <w:rPr>
          <w:lang w:val="en-GB"/>
        </w:rPr>
        <w:t>of intangible cultural heritage.</w:t>
      </w:r>
      <w:r w:rsidRPr="00A90BF8">
        <w:rPr>
          <w:rStyle w:val="EndnoteReference"/>
          <w:lang w:val="en-GB"/>
        </w:rPr>
        <w:endnoteReference w:id="9"/>
      </w:r>
      <w:r w:rsidRPr="00A90BF8">
        <w:rPr>
          <w:lang w:val="en-GB"/>
        </w:rPr>
        <w:t xml:space="preserve"> </w:t>
      </w:r>
    </w:p>
    <w:p w14:paraId="63C058B3" w14:textId="6A28E6D6" w:rsidR="002936F8" w:rsidRPr="00A90BF8" w:rsidRDefault="00AE7F92" w:rsidP="00A90BF8">
      <w:pPr>
        <w:spacing w:line="360" w:lineRule="auto"/>
        <w:jc w:val="both"/>
        <w:rPr>
          <w:lang w:val="en-GB"/>
        </w:rPr>
      </w:pPr>
      <w:r w:rsidRPr="00A90BF8">
        <w:rPr>
          <w:rFonts w:ascii="Arial" w:hAnsi="Arial"/>
          <w:b/>
          <w:lang w:val="en-GB"/>
        </w:rPr>
        <w:t>1</w:t>
      </w:r>
      <w:r w:rsidR="002936F8" w:rsidRPr="00A90BF8">
        <w:rPr>
          <w:rFonts w:ascii="Arial" w:hAnsi="Arial"/>
          <w:b/>
          <w:lang w:val="en-GB"/>
        </w:rPr>
        <w:t xml:space="preserve">.3 Research, </w:t>
      </w:r>
      <w:proofErr w:type="gramStart"/>
      <w:r w:rsidR="002936F8" w:rsidRPr="00A90BF8">
        <w:rPr>
          <w:rFonts w:ascii="Arial" w:hAnsi="Arial"/>
          <w:b/>
          <w:lang w:val="en-GB"/>
        </w:rPr>
        <w:t>intervention</w:t>
      </w:r>
      <w:proofErr w:type="gramEnd"/>
      <w:r w:rsidR="002936F8" w:rsidRPr="00A90BF8">
        <w:rPr>
          <w:rFonts w:ascii="Arial" w:hAnsi="Arial"/>
          <w:b/>
          <w:lang w:val="en-GB"/>
        </w:rPr>
        <w:t xml:space="preserve"> and aid as threats</w:t>
      </w:r>
    </w:p>
    <w:p w14:paraId="07AD68DD" w14:textId="4F4ECC1D" w:rsidR="00AE7F92" w:rsidRPr="00A90BF8" w:rsidRDefault="002936F8" w:rsidP="00A4545A">
      <w:pPr>
        <w:pStyle w:val="1GAPara"/>
        <w:rPr>
          <w:lang w:val="en-GB"/>
        </w:rPr>
      </w:pPr>
      <w:r w:rsidRPr="00A90BF8">
        <w:rPr>
          <w:lang w:val="en-GB"/>
        </w:rPr>
        <w:t>Well-intended interventions, including humanitarian aid and the involvement of state agencies and researchers, can pose a further ‘post-disaster’ threat to the integrity and viability of intangible cultural heritage. Disaster managers and humanitarian agencies, often with the support of state policies and research reports, can impact negatively on intangible cultural heritage through the provision of inappropriate assistance (</w:t>
      </w:r>
      <w:r w:rsidRPr="00A90BF8">
        <w:rPr>
          <w:bCs/>
          <w:lang w:val="en-GB"/>
        </w:rPr>
        <w:t>foods,</w:t>
      </w:r>
      <w:r w:rsidRPr="00A90BF8">
        <w:rPr>
          <w:lang w:val="en-GB"/>
        </w:rPr>
        <w:t xml:space="preserve"> materials</w:t>
      </w:r>
      <w:r w:rsidRPr="00A90BF8">
        <w:rPr>
          <w:bCs/>
          <w:lang w:val="en-GB"/>
        </w:rPr>
        <w:t xml:space="preserve"> </w:t>
      </w:r>
      <w:r w:rsidR="001A547C" w:rsidRPr="00A90BF8">
        <w:rPr>
          <w:bCs/>
          <w:lang w:val="en-GB"/>
        </w:rPr>
        <w:t>for shelter</w:t>
      </w:r>
      <w:r w:rsidR="00082DE4">
        <w:rPr>
          <w:bCs/>
          <w:lang w:val="en-GB"/>
        </w:rPr>
        <w:t>,</w:t>
      </w:r>
      <w:r w:rsidR="001A547C" w:rsidRPr="00A90BF8">
        <w:rPr>
          <w:lang w:val="en-GB"/>
        </w:rPr>
        <w:t xml:space="preserve"> </w:t>
      </w:r>
      <w:r w:rsidRPr="00A90BF8">
        <w:rPr>
          <w:lang w:val="en-GB"/>
        </w:rPr>
        <w:t>etc</w:t>
      </w:r>
      <w:r w:rsidR="00082DE4">
        <w:rPr>
          <w:lang w:val="en-GB"/>
        </w:rPr>
        <w:t>.</w:t>
      </w:r>
      <w:r w:rsidRPr="00A90BF8">
        <w:rPr>
          <w:lang w:val="en-GB"/>
        </w:rPr>
        <w:t xml:space="preserve">), the recommendation or implementation of displacement and eviction policies, and the </w:t>
      </w:r>
      <w:r w:rsidR="00EF5737" w:rsidRPr="00A90BF8">
        <w:rPr>
          <w:lang w:val="en-GB"/>
        </w:rPr>
        <w:t>undermining</w:t>
      </w:r>
      <w:r w:rsidRPr="00A90BF8">
        <w:rPr>
          <w:lang w:val="en-GB"/>
        </w:rPr>
        <w:t xml:space="preserve"> of local knowledge and resilience mechanisms. Specific knowledge of hazards and hazard management strategies derived from intangible cultural heritage is often extracted and used for the instrumental purposes of these external agents; such actions risk decontextualizing that knowledge from the contexts that make it meaningful to communities and that ensure its continued transmission.</w:t>
      </w:r>
      <w:r w:rsidRPr="00A90BF8">
        <w:rPr>
          <w:rStyle w:val="EndnoteReference"/>
          <w:lang w:val="en-GB"/>
        </w:rPr>
        <w:endnoteReference w:id="10"/>
      </w:r>
      <w:r w:rsidRPr="00A90BF8">
        <w:rPr>
          <w:lang w:val="en-GB"/>
        </w:rPr>
        <w:t xml:space="preserve"> </w:t>
      </w:r>
    </w:p>
    <w:p w14:paraId="7C9CECAB" w14:textId="0F2A1B2C" w:rsidR="00527330" w:rsidRPr="00A90BF8" w:rsidRDefault="00AE7F92" w:rsidP="00A90BF8">
      <w:pPr>
        <w:spacing w:line="360" w:lineRule="auto"/>
        <w:jc w:val="both"/>
        <w:rPr>
          <w:lang w:val="en-GB"/>
        </w:rPr>
      </w:pPr>
      <w:r w:rsidRPr="00A90BF8">
        <w:rPr>
          <w:rFonts w:ascii="Arial" w:hAnsi="Arial"/>
          <w:b/>
          <w:lang w:val="en-GB"/>
        </w:rPr>
        <w:t xml:space="preserve">2. Roles for </w:t>
      </w:r>
      <w:r w:rsidR="004B4D47" w:rsidRPr="00A90BF8">
        <w:rPr>
          <w:rFonts w:ascii="Arial" w:hAnsi="Arial" w:cs="Arial"/>
          <w:b/>
          <w:bCs/>
          <w:szCs w:val="22"/>
          <w:lang w:val="en-GB"/>
        </w:rPr>
        <w:t>i</w:t>
      </w:r>
      <w:r w:rsidRPr="00A90BF8">
        <w:rPr>
          <w:rFonts w:ascii="Arial" w:hAnsi="Arial" w:cs="Arial"/>
          <w:b/>
          <w:bCs/>
          <w:szCs w:val="22"/>
          <w:lang w:val="en-GB"/>
        </w:rPr>
        <w:t xml:space="preserve">ntangible </w:t>
      </w:r>
      <w:r w:rsidR="004B4D47" w:rsidRPr="00A90BF8">
        <w:rPr>
          <w:rFonts w:ascii="Arial" w:hAnsi="Arial" w:cs="Arial"/>
          <w:b/>
          <w:bCs/>
          <w:szCs w:val="22"/>
          <w:lang w:val="en-GB"/>
        </w:rPr>
        <w:t>c</w:t>
      </w:r>
      <w:r w:rsidRPr="00A90BF8">
        <w:rPr>
          <w:rFonts w:ascii="Arial" w:hAnsi="Arial" w:cs="Arial"/>
          <w:b/>
          <w:bCs/>
          <w:szCs w:val="22"/>
          <w:lang w:val="en-GB"/>
        </w:rPr>
        <w:t xml:space="preserve">ultural </w:t>
      </w:r>
      <w:r w:rsidR="004B4D47" w:rsidRPr="00A90BF8">
        <w:rPr>
          <w:rFonts w:ascii="Arial" w:hAnsi="Arial" w:cs="Arial"/>
          <w:b/>
          <w:bCs/>
          <w:szCs w:val="22"/>
          <w:lang w:val="en-GB"/>
        </w:rPr>
        <w:t>h</w:t>
      </w:r>
      <w:r w:rsidRPr="00A90BF8">
        <w:rPr>
          <w:rFonts w:ascii="Arial" w:hAnsi="Arial" w:cs="Arial"/>
          <w:b/>
          <w:bCs/>
          <w:szCs w:val="22"/>
          <w:lang w:val="en-GB"/>
        </w:rPr>
        <w:t>eritage</w:t>
      </w:r>
      <w:r w:rsidR="005F3ED7" w:rsidRPr="00A90BF8">
        <w:rPr>
          <w:rFonts w:ascii="Arial" w:hAnsi="Arial" w:cs="Arial"/>
          <w:b/>
          <w:bCs/>
          <w:szCs w:val="22"/>
          <w:lang w:val="en-GB"/>
        </w:rPr>
        <w:t xml:space="preserve"> </w:t>
      </w:r>
    </w:p>
    <w:p w14:paraId="21C80621" w14:textId="0D8C3947" w:rsidR="00AE7F92" w:rsidRPr="00A90BF8" w:rsidRDefault="00AE7F92" w:rsidP="00A4545A">
      <w:pPr>
        <w:pStyle w:val="1GAPara"/>
        <w:rPr>
          <w:lang w:val="en-GB"/>
        </w:rPr>
      </w:pPr>
      <w:r w:rsidRPr="00A90BF8">
        <w:rPr>
          <w:lang w:val="en-GB"/>
        </w:rPr>
        <w:t xml:space="preserve">Roles for intangible cultural heritage in relation to climate change consist of </w:t>
      </w:r>
      <w:r w:rsidR="00B23201" w:rsidRPr="00A90BF8">
        <w:rPr>
          <w:lang w:val="en-GB"/>
        </w:rPr>
        <w:t xml:space="preserve">at least </w:t>
      </w:r>
      <w:r w:rsidRPr="00A90BF8">
        <w:rPr>
          <w:lang w:val="en-GB"/>
        </w:rPr>
        <w:t>three broad kinds of action: 1) Identifying, assessing</w:t>
      </w:r>
      <w:r w:rsidR="005F3ED7" w:rsidRPr="00A90BF8">
        <w:rPr>
          <w:lang w:val="en-GB"/>
        </w:rPr>
        <w:t>,</w:t>
      </w:r>
      <w:r w:rsidRPr="00A90BF8">
        <w:rPr>
          <w:lang w:val="en-GB"/>
        </w:rPr>
        <w:t xml:space="preserve"> monitoring</w:t>
      </w:r>
      <w:r w:rsidR="005F3ED7" w:rsidRPr="00A90BF8">
        <w:rPr>
          <w:lang w:val="en-GB"/>
        </w:rPr>
        <w:t xml:space="preserve"> and modelling</w:t>
      </w:r>
      <w:r w:rsidRPr="00A90BF8">
        <w:rPr>
          <w:lang w:val="en-GB"/>
        </w:rPr>
        <w:t xml:space="preserve"> climate change</w:t>
      </w:r>
      <w:r w:rsidR="005F3ED7" w:rsidRPr="00A90BF8">
        <w:rPr>
          <w:lang w:val="en-GB"/>
        </w:rPr>
        <w:t xml:space="preserve"> and its impacts</w:t>
      </w:r>
      <w:r w:rsidRPr="00A90BF8">
        <w:rPr>
          <w:lang w:val="en-GB"/>
        </w:rPr>
        <w:t xml:space="preserve">; 2) Supporting societal </w:t>
      </w:r>
      <w:r w:rsidR="005F3ED7" w:rsidRPr="00A90BF8">
        <w:rPr>
          <w:lang w:val="en-GB"/>
        </w:rPr>
        <w:t xml:space="preserve">and natural </w:t>
      </w:r>
      <w:r w:rsidRPr="00A90BF8">
        <w:rPr>
          <w:lang w:val="en-GB"/>
        </w:rPr>
        <w:t>adaptation to climate change; and 3) Mitigating carbon emissions.</w:t>
      </w:r>
    </w:p>
    <w:p w14:paraId="119FE646" w14:textId="53BFB329" w:rsidR="00AE7F92" w:rsidRPr="00A90BF8" w:rsidRDefault="00AE7F92" w:rsidP="00A90BF8">
      <w:pPr>
        <w:spacing w:line="360" w:lineRule="auto"/>
        <w:jc w:val="both"/>
        <w:rPr>
          <w:lang w:val="en-GB"/>
        </w:rPr>
      </w:pPr>
      <w:r w:rsidRPr="00A90BF8">
        <w:rPr>
          <w:rFonts w:ascii="Arial" w:hAnsi="Arial"/>
          <w:b/>
          <w:lang w:val="en-GB"/>
        </w:rPr>
        <w:t>2.1 Identifying, assessing</w:t>
      </w:r>
      <w:r w:rsidR="005F3ED7" w:rsidRPr="00A90BF8">
        <w:rPr>
          <w:rFonts w:ascii="Arial" w:hAnsi="Arial"/>
          <w:b/>
          <w:lang w:val="en-GB"/>
        </w:rPr>
        <w:t>,</w:t>
      </w:r>
      <w:r w:rsidRPr="00A90BF8">
        <w:rPr>
          <w:rFonts w:ascii="Arial" w:hAnsi="Arial"/>
          <w:b/>
          <w:lang w:val="en-GB"/>
        </w:rPr>
        <w:t xml:space="preserve"> monitoring </w:t>
      </w:r>
      <w:r w:rsidR="005F3ED7" w:rsidRPr="00A90BF8">
        <w:rPr>
          <w:rFonts w:ascii="Arial" w:hAnsi="Arial"/>
          <w:b/>
          <w:lang w:val="en-GB"/>
        </w:rPr>
        <w:t xml:space="preserve">and modelling </w:t>
      </w:r>
      <w:r w:rsidRPr="00A90BF8">
        <w:rPr>
          <w:rFonts w:ascii="Arial" w:hAnsi="Arial"/>
          <w:b/>
          <w:lang w:val="en-GB"/>
        </w:rPr>
        <w:t>climate change</w:t>
      </w:r>
      <w:r w:rsidR="005F3ED7" w:rsidRPr="00A90BF8">
        <w:rPr>
          <w:rFonts w:ascii="Arial" w:hAnsi="Arial"/>
          <w:b/>
          <w:lang w:val="en-GB"/>
        </w:rPr>
        <w:t xml:space="preserve"> and its </w:t>
      </w:r>
      <w:proofErr w:type="gramStart"/>
      <w:r w:rsidR="005F3ED7" w:rsidRPr="00A90BF8">
        <w:rPr>
          <w:rFonts w:ascii="Arial" w:hAnsi="Arial"/>
          <w:b/>
          <w:lang w:val="en-GB"/>
        </w:rPr>
        <w:t>impacts</w:t>
      </w:r>
      <w:proofErr w:type="gramEnd"/>
    </w:p>
    <w:p w14:paraId="3E51CD71" w14:textId="577E16C2" w:rsidR="00AE7F92" w:rsidRPr="00A90BF8" w:rsidRDefault="00AE7F92" w:rsidP="00A4545A">
      <w:pPr>
        <w:pStyle w:val="1GAPara"/>
        <w:rPr>
          <w:lang w:val="en-GB"/>
        </w:rPr>
      </w:pPr>
      <w:r w:rsidRPr="00A90BF8">
        <w:rPr>
          <w:lang w:val="en-GB"/>
        </w:rPr>
        <w:t xml:space="preserve">There is considerable scope for increased engagement between climate change impact research and local knowledge systems in identifying, </w:t>
      </w:r>
      <w:r w:rsidR="004B4D47" w:rsidRPr="004B4D47">
        <w:rPr>
          <w:lang w:val="en-GB"/>
        </w:rPr>
        <w:t>assessing,</w:t>
      </w:r>
      <w:r w:rsidRPr="00A90BF8">
        <w:rPr>
          <w:lang w:val="en-GB"/>
        </w:rPr>
        <w:t xml:space="preserve"> and monitoring the effects of climate change </w:t>
      </w:r>
      <w:r w:rsidR="00587D66" w:rsidRPr="00A90BF8">
        <w:rPr>
          <w:lang w:val="en-GB"/>
        </w:rPr>
        <w:t xml:space="preserve">on landscapes and seascapes </w:t>
      </w:r>
      <w:r w:rsidRPr="00A90BF8">
        <w:rPr>
          <w:lang w:val="en-GB"/>
        </w:rPr>
        <w:t>at local</w:t>
      </w:r>
      <w:r w:rsidR="00587D66" w:rsidRPr="00A90BF8">
        <w:rPr>
          <w:lang w:val="en-GB"/>
        </w:rPr>
        <w:t xml:space="preserve"> and sometimes larger</w:t>
      </w:r>
      <w:r w:rsidRPr="00A90BF8">
        <w:rPr>
          <w:lang w:val="en-GB"/>
        </w:rPr>
        <w:t xml:space="preserve"> scale</w:t>
      </w:r>
      <w:r w:rsidR="00587D66" w:rsidRPr="00A90BF8">
        <w:rPr>
          <w:lang w:val="en-GB"/>
        </w:rPr>
        <w:t>s</w:t>
      </w:r>
      <w:r w:rsidRPr="00A90BF8">
        <w:rPr>
          <w:lang w:val="en-GB"/>
        </w:rPr>
        <w:t>. Local Indicators of Climate Change Impacts (LICCIs) cover a broad spectrum of observations on local physical systems, including climatic, marine and terrestrial systems, fauna and flora, land cover and processes, and subsistence systems.</w:t>
      </w:r>
      <w:r w:rsidR="00E57065" w:rsidRPr="00A90BF8">
        <w:rPr>
          <w:rStyle w:val="EndnoteReference"/>
          <w:lang w:val="en-GB"/>
        </w:rPr>
        <w:endnoteReference w:id="11"/>
      </w:r>
      <w:r w:rsidRPr="00A90BF8">
        <w:rPr>
          <w:lang w:val="en-GB"/>
        </w:rPr>
        <w:t xml:space="preserve"> Challenges remain, principally in relation to translation between qualitative observations and standardised scientific categories, the integration of data from multiple locations and local knowledge systems, and the need to grow the community of practice engaged in up-scaling local observations in a coordinated and systematic way.</w:t>
      </w:r>
      <w:r w:rsidRPr="00A90BF8">
        <w:rPr>
          <w:rStyle w:val="EndnoteReference"/>
          <w:lang w:val="en-GB"/>
        </w:rPr>
        <w:endnoteReference w:id="12"/>
      </w:r>
    </w:p>
    <w:p w14:paraId="634342DD" w14:textId="1B3BF2A3" w:rsidR="00AE7F92" w:rsidRPr="00A90BF8" w:rsidRDefault="00AE7F92" w:rsidP="00A4545A">
      <w:pPr>
        <w:pStyle w:val="1GAPara"/>
        <w:rPr>
          <w:lang w:val="en-GB"/>
        </w:rPr>
      </w:pPr>
      <w:r w:rsidRPr="00A90BF8">
        <w:rPr>
          <w:lang w:val="en-GB"/>
        </w:rPr>
        <w:t>There has been extensive discussion of the limits to confidence in weather and hazard prediction grounded in local knowledge systems, particularly given the evidence for changes in the variability of natural systems.</w:t>
      </w:r>
      <w:r w:rsidR="00E57065" w:rsidRPr="00A90BF8">
        <w:rPr>
          <w:rStyle w:val="EndnoteReference"/>
          <w:lang w:val="en-GB"/>
        </w:rPr>
        <w:endnoteReference w:id="13"/>
      </w:r>
      <w:r w:rsidRPr="00A90BF8">
        <w:rPr>
          <w:lang w:val="en-GB"/>
        </w:rPr>
        <w:t xml:space="preserve"> Local predictions about storms and cyclones, earthquakes, tsunamis, flooding, and drought etc</w:t>
      </w:r>
      <w:r w:rsidR="003A7D51">
        <w:rPr>
          <w:lang w:val="en-GB"/>
        </w:rPr>
        <w:t>.</w:t>
      </w:r>
      <w:r w:rsidRPr="00A90BF8">
        <w:rPr>
          <w:lang w:val="en-GB"/>
        </w:rPr>
        <w:t xml:space="preserve"> are finely attuned to local </w:t>
      </w:r>
      <w:r w:rsidR="00587D66" w:rsidRPr="00A90BF8">
        <w:rPr>
          <w:lang w:val="en-GB"/>
        </w:rPr>
        <w:t xml:space="preserve">conditions and local </w:t>
      </w:r>
      <w:r w:rsidRPr="00A90BF8">
        <w:rPr>
          <w:lang w:val="en-GB"/>
        </w:rPr>
        <w:t xml:space="preserve">parameters for risk. The challenge lies not in assessing individual statements for accuracy, but rather in understanding how predictions </w:t>
      </w:r>
      <w:r w:rsidRPr="00A90BF8">
        <w:rPr>
          <w:lang w:val="en-GB"/>
        </w:rPr>
        <w:lastRenderedPageBreak/>
        <w:t>grounded in local knowledge systems operate within each system of knowledge, and how they activate certain kinds of preparedness and response.</w:t>
      </w:r>
    </w:p>
    <w:p w14:paraId="59783F1A" w14:textId="06E7307E" w:rsidR="005F3ED7" w:rsidRPr="00A90BF8" w:rsidRDefault="00AE7F92" w:rsidP="00A90BF8">
      <w:pPr>
        <w:spacing w:line="360" w:lineRule="auto"/>
        <w:jc w:val="both"/>
        <w:rPr>
          <w:lang w:val="en-GB"/>
        </w:rPr>
      </w:pPr>
      <w:r w:rsidRPr="00A90BF8">
        <w:rPr>
          <w:rFonts w:ascii="Arial" w:hAnsi="Arial"/>
          <w:b/>
          <w:lang w:val="en-GB"/>
        </w:rPr>
        <w:t xml:space="preserve">2.2 </w:t>
      </w:r>
      <w:r w:rsidR="005F3ED7" w:rsidRPr="00A90BF8">
        <w:rPr>
          <w:rFonts w:ascii="Arial" w:hAnsi="Arial"/>
          <w:b/>
          <w:lang w:val="en-GB"/>
        </w:rPr>
        <w:t xml:space="preserve">Supporting societal and natural adaptation to climate </w:t>
      </w:r>
      <w:proofErr w:type="gramStart"/>
      <w:r w:rsidR="005F3ED7" w:rsidRPr="00A90BF8">
        <w:rPr>
          <w:rFonts w:ascii="Arial" w:hAnsi="Arial"/>
          <w:b/>
          <w:lang w:val="en-GB"/>
        </w:rPr>
        <w:t>change</w:t>
      </w:r>
      <w:proofErr w:type="gramEnd"/>
    </w:p>
    <w:p w14:paraId="23F7FD78" w14:textId="65D808BE" w:rsidR="00AE7F92" w:rsidRPr="00A90BF8" w:rsidRDefault="00AE7F92" w:rsidP="00A4545A">
      <w:pPr>
        <w:pStyle w:val="1GAPara"/>
        <w:rPr>
          <w:lang w:val="en-GB"/>
        </w:rPr>
      </w:pPr>
      <w:r w:rsidRPr="00A90BF8">
        <w:rPr>
          <w:lang w:val="en-GB"/>
        </w:rPr>
        <w:t xml:space="preserve">Much the largest role for intangible cultural heritage in climate action </w:t>
      </w:r>
      <w:r w:rsidR="00C337EC" w:rsidRPr="00A90BF8">
        <w:rPr>
          <w:lang w:val="en-GB"/>
        </w:rPr>
        <w:t xml:space="preserve">is its contribution to </w:t>
      </w:r>
      <w:r w:rsidRPr="00A90BF8">
        <w:rPr>
          <w:lang w:val="en-GB"/>
        </w:rPr>
        <w:t xml:space="preserve">societal </w:t>
      </w:r>
      <w:r w:rsidR="00C337EC" w:rsidRPr="00A90BF8">
        <w:rPr>
          <w:lang w:val="en-GB"/>
        </w:rPr>
        <w:t xml:space="preserve">and natural </w:t>
      </w:r>
      <w:r w:rsidRPr="00A90BF8">
        <w:rPr>
          <w:lang w:val="en-GB"/>
        </w:rPr>
        <w:t xml:space="preserve">adaptation to climate change, at all temporal scales from rapid-onset emergencies through to slow disasters and deep histories of adaptation. </w:t>
      </w:r>
      <w:r w:rsidR="00C337EC" w:rsidRPr="00A90BF8">
        <w:rPr>
          <w:lang w:val="en-GB"/>
        </w:rPr>
        <w:t>Local knowledge or i</w:t>
      </w:r>
      <w:r w:rsidRPr="00A90BF8">
        <w:rPr>
          <w:lang w:val="en-GB"/>
        </w:rPr>
        <w:t>ntangible cultural heritage is engaged at every stage or phase of the emergency cycle, from preparedness through response to recovery</w:t>
      </w:r>
      <w:r w:rsidR="003558F4" w:rsidRPr="00A90BF8">
        <w:rPr>
          <w:lang w:val="en-GB"/>
        </w:rPr>
        <w:t xml:space="preserve">, and local or community associations and systems of governance are central to the management at each stage. Amongst the adaptation activities to which intangible cultural heritage contributes </w:t>
      </w:r>
      <w:proofErr w:type="gramStart"/>
      <w:r w:rsidR="003558F4" w:rsidRPr="00A90BF8">
        <w:rPr>
          <w:lang w:val="en-GB"/>
        </w:rPr>
        <w:t>are:</w:t>
      </w:r>
      <w:proofErr w:type="gramEnd"/>
      <w:r w:rsidR="003558F4" w:rsidRPr="00A90BF8">
        <w:rPr>
          <w:lang w:val="en-GB"/>
        </w:rPr>
        <w:t xml:space="preserve"> </w:t>
      </w:r>
      <w:r w:rsidR="004B2F0F" w:rsidRPr="00A90BF8">
        <w:rPr>
          <w:lang w:val="en-GB"/>
        </w:rPr>
        <w:t>emergency preparedness and response, early warning systems, water management, subsistence strategies, coastal marine and land management, alternative energy development, and the development and maintenance of sustainable livelihoods</w:t>
      </w:r>
      <w:r w:rsidR="003558F4" w:rsidRPr="00A90BF8">
        <w:rPr>
          <w:lang w:val="en-GB"/>
        </w:rPr>
        <w:t>.</w:t>
      </w:r>
      <w:r w:rsidR="003558F4" w:rsidRPr="00A90BF8">
        <w:rPr>
          <w:rStyle w:val="EndnoteReference"/>
          <w:lang w:val="en-GB"/>
        </w:rPr>
        <w:endnoteReference w:id="14"/>
      </w:r>
    </w:p>
    <w:p w14:paraId="7BC3B7B0" w14:textId="5FD574AA" w:rsidR="00AE7F92" w:rsidRPr="00A90BF8" w:rsidRDefault="00AE7F92" w:rsidP="00A4545A">
      <w:pPr>
        <w:pStyle w:val="1GAPara"/>
        <w:rPr>
          <w:lang w:val="en-GB"/>
        </w:rPr>
      </w:pPr>
      <w:r w:rsidRPr="00A90BF8">
        <w:rPr>
          <w:lang w:val="en-GB"/>
        </w:rPr>
        <w:t xml:space="preserve">Preparedness requires an adequate and community-led process of inventorying intangible cultural heritage and bearers, documenting successful long-term adaptations to local environments and risks, and preserving a diversity of livelihood strategies and subsistence regimes. </w:t>
      </w:r>
      <w:r w:rsidR="00C337EC" w:rsidRPr="00A90BF8">
        <w:rPr>
          <w:lang w:val="en-GB"/>
        </w:rPr>
        <w:t>I</w:t>
      </w:r>
      <w:r w:rsidRPr="00A90BF8">
        <w:rPr>
          <w:lang w:val="en-GB"/>
        </w:rPr>
        <w:t xml:space="preserve">ntangible cultural heritage assists in pre-proofing or safeguarding structures, </w:t>
      </w:r>
      <w:proofErr w:type="gramStart"/>
      <w:r w:rsidRPr="00A90BF8">
        <w:rPr>
          <w:lang w:val="en-GB"/>
        </w:rPr>
        <w:t>landscapes</w:t>
      </w:r>
      <w:proofErr w:type="gramEnd"/>
      <w:r w:rsidRPr="00A90BF8">
        <w:rPr>
          <w:lang w:val="en-GB"/>
        </w:rPr>
        <w:t xml:space="preserve"> and resource areas against known risks, communicating appropriately and effectively about climate risk, and contributing collaboratively to risk reduction and climate change adaptation planning. Intangible cultural heritage also </w:t>
      </w:r>
      <w:r w:rsidR="00C337EC" w:rsidRPr="00A90BF8">
        <w:rPr>
          <w:lang w:val="en-GB"/>
        </w:rPr>
        <w:t>provides communities with the knowledge and skills for safeguarding,</w:t>
      </w:r>
      <w:r w:rsidRPr="00A90BF8">
        <w:rPr>
          <w:lang w:val="en-GB"/>
        </w:rPr>
        <w:t xml:space="preserve"> by distributing the risk of knowledge loss and ensuring the viability of a range of mechanisms for transmission</w:t>
      </w:r>
      <w:r w:rsidR="004B2F0F" w:rsidRPr="00A90BF8">
        <w:rPr>
          <w:lang w:val="en-GB"/>
        </w:rPr>
        <w:t>.</w:t>
      </w:r>
      <w:r w:rsidR="00C337EC" w:rsidRPr="00A90BF8">
        <w:rPr>
          <w:lang w:val="en-GB"/>
        </w:rPr>
        <w:t xml:space="preserve"> </w:t>
      </w:r>
    </w:p>
    <w:p w14:paraId="1E6AC5A3" w14:textId="0C99135E" w:rsidR="00AE7F92" w:rsidRPr="00A90BF8" w:rsidRDefault="00AE7F92" w:rsidP="00A4545A">
      <w:pPr>
        <w:pStyle w:val="1GAPara"/>
        <w:rPr>
          <w:lang w:val="en-GB"/>
        </w:rPr>
      </w:pPr>
      <w:r w:rsidRPr="00A90BF8">
        <w:rPr>
          <w:lang w:val="en-GB"/>
        </w:rPr>
        <w:t>In the response phase, locating knowledge bearers and identifying impacts to key resources, sites and spaces is essential in providing a platform for successful recovery. Intangible cultural heritage</w:t>
      </w:r>
      <w:r w:rsidR="00C337EC" w:rsidRPr="00A90BF8">
        <w:rPr>
          <w:lang w:val="en-GB"/>
        </w:rPr>
        <w:t xml:space="preserve">, drawn on by individuals, </w:t>
      </w:r>
      <w:proofErr w:type="gramStart"/>
      <w:r w:rsidR="00C337EC" w:rsidRPr="00A90BF8">
        <w:rPr>
          <w:lang w:val="en-GB"/>
        </w:rPr>
        <w:t>communities</w:t>
      </w:r>
      <w:proofErr w:type="gramEnd"/>
      <w:r w:rsidR="00C337EC" w:rsidRPr="00A90BF8">
        <w:rPr>
          <w:lang w:val="en-GB"/>
        </w:rPr>
        <w:t xml:space="preserve"> and local associations,</w:t>
      </w:r>
      <w:r w:rsidRPr="00A90BF8">
        <w:rPr>
          <w:lang w:val="en-GB"/>
        </w:rPr>
        <w:t xml:space="preserve"> plays a critical role in the recovery phase</w:t>
      </w:r>
      <w:r w:rsidR="00C337EC" w:rsidRPr="00A90BF8">
        <w:rPr>
          <w:lang w:val="en-GB"/>
        </w:rPr>
        <w:t>. It</w:t>
      </w:r>
      <w:r w:rsidRPr="00A90BF8">
        <w:rPr>
          <w:lang w:val="en-GB"/>
        </w:rPr>
        <w:t xml:space="preserve"> assist</w:t>
      </w:r>
      <w:r w:rsidR="00C337EC" w:rsidRPr="00A90BF8">
        <w:rPr>
          <w:lang w:val="en-GB"/>
        </w:rPr>
        <w:t>s</w:t>
      </w:r>
      <w:r w:rsidRPr="00A90BF8">
        <w:rPr>
          <w:lang w:val="en-GB"/>
        </w:rPr>
        <w:t xml:space="preserve"> </w:t>
      </w:r>
      <w:r w:rsidR="00C337EC" w:rsidRPr="00A90BF8">
        <w:rPr>
          <w:lang w:val="en-GB"/>
        </w:rPr>
        <w:t xml:space="preserve">communities, whether they are in situ or displaced, </w:t>
      </w:r>
      <w:r w:rsidRPr="00A90BF8">
        <w:rPr>
          <w:lang w:val="en-GB"/>
        </w:rPr>
        <w:t xml:space="preserve">in rebuilding social cohesion, fostering reconciliation and facilitating recovery, providing mutual assistance and social safety nets, distributing food and resources, and providing survivors with the sense of community and psychological support necessary for social integration. Culturally familiar and appropriate ceremonies and routines are a vital step towards recovering confidence and re-asserting a sense of identity; and community </w:t>
      </w:r>
      <w:r w:rsidR="00975085" w:rsidRPr="00A90BF8">
        <w:rPr>
          <w:lang w:val="en-GB"/>
        </w:rPr>
        <w:t xml:space="preserve">memory and </w:t>
      </w:r>
      <w:r w:rsidRPr="00A90BF8">
        <w:rPr>
          <w:lang w:val="en-GB"/>
        </w:rPr>
        <w:t>assessmen</w:t>
      </w:r>
      <w:r w:rsidR="00975085" w:rsidRPr="00A90BF8">
        <w:rPr>
          <w:lang w:val="en-GB"/>
        </w:rPr>
        <w:t>t</w:t>
      </w:r>
      <w:r w:rsidRPr="00A90BF8">
        <w:rPr>
          <w:lang w:val="en-GB"/>
        </w:rPr>
        <w:t xml:space="preserve"> of emergency events and strategies informs future responses.</w:t>
      </w:r>
    </w:p>
    <w:p w14:paraId="012CCADF" w14:textId="5292FD02" w:rsidR="00AE7F92" w:rsidRPr="00A90BF8" w:rsidRDefault="00AE7F92" w:rsidP="00A4545A">
      <w:pPr>
        <w:pStyle w:val="1GAPara"/>
        <w:rPr>
          <w:lang w:val="en-GB"/>
        </w:rPr>
      </w:pPr>
      <w:r w:rsidRPr="00A90BF8">
        <w:rPr>
          <w:lang w:val="en-GB"/>
        </w:rPr>
        <w:t xml:space="preserve">Intangible cultural heritage lies at the heart of community-based resilience and the recovery of livelihoods. Local knowledge of resources, skills and markets is critical to economic recovery, and underpins the all-important recovery of subsistence systems. While resilience is an over-used term, it is currently understood to refer not to restoring communities to their pre-disaster state, which would simply reproduce their earlier precarity, but to changing the basic structures of inequality that produce </w:t>
      </w:r>
      <w:r w:rsidR="00975085" w:rsidRPr="00A90BF8">
        <w:rPr>
          <w:lang w:val="en-GB"/>
        </w:rPr>
        <w:t xml:space="preserve">and reinforce </w:t>
      </w:r>
      <w:r w:rsidRPr="00A90BF8">
        <w:rPr>
          <w:lang w:val="en-GB"/>
        </w:rPr>
        <w:t>vulnerabilit</w:t>
      </w:r>
      <w:r w:rsidR="00975085" w:rsidRPr="00A90BF8">
        <w:rPr>
          <w:lang w:val="en-GB"/>
        </w:rPr>
        <w:t>ies</w:t>
      </w:r>
      <w:r w:rsidRPr="00A90BF8">
        <w:rPr>
          <w:lang w:val="en-GB"/>
        </w:rPr>
        <w:t xml:space="preserve"> in the first place.</w:t>
      </w:r>
      <w:r w:rsidRPr="00A90BF8">
        <w:rPr>
          <w:rStyle w:val="EndnoteReference"/>
          <w:lang w:val="en-GB"/>
        </w:rPr>
        <w:endnoteReference w:id="15"/>
      </w:r>
      <w:r w:rsidRPr="00A90BF8">
        <w:rPr>
          <w:lang w:val="en-GB"/>
        </w:rPr>
        <w:t xml:space="preserve"> </w:t>
      </w:r>
    </w:p>
    <w:p w14:paraId="2E6F7985" w14:textId="77777777" w:rsidR="00AE7F92" w:rsidRPr="00A90BF8" w:rsidRDefault="00AE7F92" w:rsidP="00A4545A">
      <w:pPr>
        <w:pStyle w:val="1GAPara"/>
        <w:rPr>
          <w:lang w:val="en-GB"/>
        </w:rPr>
      </w:pPr>
      <w:r w:rsidRPr="00A90BF8">
        <w:rPr>
          <w:lang w:val="en-GB"/>
        </w:rPr>
        <w:t xml:space="preserve">The fundamental community-based orientation of intangible cultural heritage provides a platform for developing models for community-based climate change adaptation, </w:t>
      </w:r>
      <w:proofErr w:type="gramStart"/>
      <w:r w:rsidRPr="00A90BF8">
        <w:rPr>
          <w:lang w:val="en-GB"/>
        </w:rPr>
        <w:t>similar to</w:t>
      </w:r>
      <w:proofErr w:type="gramEnd"/>
      <w:r w:rsidRPr="00A90BF8">
        <w:rPr>
          <w:lang w:val="en-GB"/>
        </w:rPr>
        <w:t xml:space="preserve"> those deployed in community-based disaster risk reduction. Likewise, the flexibility and dynamism of most intangible cultural heritage positions it well to collaborate and combine with other knowledge systems on an equal basis in meeting the challenges of climate change adaptation.</w:t>
      </w:r>
    </w:p>
    <w:p w14:paraId="69B8023A" w14:textId="133A963C" w:rsidR="005F3ED7" w:rsidRPr="00A90BF8" w:rsidRDefault="005F3ED7" w:rsidP="00A90BF8">
      <w:pPr>
        <w:spacing w:line="360" w:lineRule="auto"/>
        <w:jc w:val="both"/>
        <w:rPr>
          <w:lang w:val="en-GB"/>
        </w:rPr>
      </w:pPr>
      <w:r w:rsidRPr="00A90BF8">
        <w:rPr>
          <w:rFonts w:ascii="Arial" w:hAnsi="Arial"/>
          <w:b/>
          <w:lang w:val="en-GB"/>
        </w:rPr>
        <w:t>2.3 Mitigating carbon emissions</w:t>
      </w:r>
    </w:p>
    <w:p w14:paraId="70861BE0" w14:textId="34AEF985" w:rsidR="005F3ED7" w:rsidRPr="00A90BF8" w:rsidRDefault="00FA013D" w:rsidP="00A4545A">
      <w:pPr>
        <w:pStyle w:val="1GAPara"/>
        <w:rPr>
          <w:lang w:val="en-GB"/>
        </w:rPr>
      </w:pPr>
      <w:r w:rsidRPr="00A90BF8">
        <w:rPr>
          <w:lang w:val="en-GB"/>
        </w:rPr>
        <w:t xml:space="preserve">The scientific definition of mitigation relates solely to reduction in carbon emissions, and not the reduction of impacts from climate change. </w:t>
      </w:r>
      <w:r w:rsidR="00FC79DD">
        <w:rPr>
          <w:lang w:val="en-GB"/>
        </w:rPr>
        <w:t xml:space="preserve">While </w:t>
      </w:r>
      <w:r w:rsidR="00E57065" w:rsidRPr="00A90BF8">
        <w:rPr>
          <w:lang w:val="en-GB"/>
        </w:rPr>
        <w:t xml:space="preserve">UNESCO’s Strategy for Action on Climate Change (SACC) favours raising awareness of climate change and informing strategies for adaptation </w:t>
      </w:r>
      <w:r w:rsidR="00FC79DD" w:rsidRPr="00A80E43">
        <w:rPr>
          <w:lang w:val="en-GB"/>
        </w:rPr>
        <w:t xml:space="preserve">– </w:t>
      </w:r>
      <w:r w:rsidR="00E57065" w:rsidRPr="00A90BF8">
        <w:rPr>
          <w:lang w:val="en-GB"/>
        </w:rPr>
        <w:t>‘changing minds and not the climate’</w:t>
      </w:r>
      <w:r w:rsidR="00E57065" w:rsidRPr="00A90BF8">
        <w:rPr>
          <w:vertAlign w:val="superscript"/>
          <w:lang w:val="en-GB"/>
        </w:rPr>
        <w:endnoteReference w:id="16"/>
      </w:r>
      <w:r w:rsidR="00FC79DD">
        <w:rPr>
          <w:lang w:val="en-GB"/>
        </w:rPr>
        <w:t xml:space="preserve"> </w:t>
      </w:r>
      <w:r w:rsidR="00FC79DD" w:rsidRPr="00A80E43">
        <w:rPr>
          <w:lang w:val="en-GB"/>
        </w:rPr>
        <w:t xml:space="preserve">– </w:t>
      </w:r>
      <w:r w:rsidR="00E57065" w:rsidRPr="00A90BF8">
        <w:rPr>
          <w:lang w:val="en-GB"/>
        </w:rPr>
        <w:t>there is considerable scope for intangible cultural heritage to contribute directly to mitigation.</w:t>
      </w:r>
      <w:r w:rsidRPr="00A90BF8">
        <w:rPr>
          <w:lang w:val="en-GB"/>
        </w:rPr>
        <w:t xml:space="preserve"> While local communities and Indigenous </w:t>
      </w:r>
      <w:r w:rsidR="000A18EA">
        <w:rPr>
          <w:lang w:val="en-GB"/>
        </w:rPr>
        <w:t>P</w:t>
      </w:r>
      <w:r w:rsidRPr="00A90BF8">
        <w:rPr>
          <w:lang w:val="en-GB"/>
        </w:rPr>
        <w:t xml:space="preserve">eoples are rarely if ever major sources of carbon emissions themselves, the knowledge embedded in local and </w:t>
      </w:r>
      <w:r w:rsidR="000A18EA">
        <w:rPr>
          <w:lang w:val="en-GB"/>
        </w:rPr>
        <w:t>i</w:t>
      </w:r>
      <w:r w:rsidRPr="00A90BF8">
        <w:rPr>
          <w:lang w:val="en-GB"/>
        </w:rPr>
        <w:t>ndigenous fire management regimes, low carbon agricultural heritage systems, and the management of natural carbon sinks can make a significant contribution to greenhouse gas reduction and has considerable potential for up-scaling.</w:t>
      </w:r>
      <w:r w:rsidRPr="00A90BF8">
        <w:rPr>
          <w:rStyle w:val="EndnoteReference"/>
          <w:lang w:val="en-GB"/>
        </w:rPr>
        <w:endnoteReference w:id="17"/>
      </w:r>
      <w:r w:rsidR="00E57065" w:rsidRPr="00A90BF8">
        <w:rPr>
          <w:lang w:val="en-GB"/>
        </w:rPr>
        <w:t xml:space="preserve"> </w:t>
      </w:r>
    </w:p>
    <w:p w14:paraId="0595B91D" w14:textId="3E590939" w:rsidR="00AE7F92" w:rsidRPr="00A90BF8" w:rsidRDefault="00AE7F92" w:rsidP="00A90BF8">
      <w:pPr>
        <w:spacing w:line="360" w:lineRule="auto"/>
        <w:jc w:val="both"/>
        <w:rPr>
          <w:lang w:val="en-GB"/>
        </w:rPr>
      </w:pPr>
      <w:r w:rsidRPr="00A90BF8">
        <w:rPr>
          <w:rFonts w:ascii="Arial" w:hAnsi="Arial"/>
          <w:b/>
          <w:lang w:val="en-GB"/>
        </w:rPr>
        <w:lastRenderedPageBreak/>
        <w:t>2.</w:t>
      </w:r>
      <w:r w:rsidR="005F3ED7" w:rsidRPr="00A90BF8">
        <w:rPr>
          <w:rFonts w:ascii="Arial" w:hAnsi="Arial"/>
          <w:b/>
          <w:lang w:val="en-GB"/>
        </w:rPr>
        <w:t>4</w:t>
      </w:r>
      <w:r w:rsidRPr="00A90BF8">
        <w:rPr>
          <w:rFonts w:ascii="Arial" w:hAnsi="Arial"/>
          <w:b/>
          <w:lang w:val="en-GB"/>
        </w:rPr>
        <w:t xml:space="preserve"> </w:t>
      </w:r>
      <w:r w:rsidR="00975085" w:rsidRPr="00A90BF8">
        <w:rPr>
          <w:rFonts w:ascii="Arial" w:hAnsi="Arial"/>
          <w:b/>
          <w:lang w:val="en-GB"/>
        </w:rPr>
        <w:t>Alternative visions of c</w:t>
      </w:r>
      <w:r w:rsidRPr="00A90BF8">
        <w:rPr>
          <w:rFonts w:ascii="Arial" w:hAnsi="Arial"/>
          <w:b/>
          <w:lang w:val="en-GB"/>
        </w:rPr>
        <w:t>limate change</w:t>
      </w:r>
    </w:p>
    <w:p w14:paraId="6CC37F55" w14:textId="3D97CBBF" w:rsidR="00AE7F92" w:rsidRPr="00A90BF8" w:rsidRDefault="00AE7F92" w:rsidP="00A4545A">
      <w:pPr>
        <w:pStyle w:val="1GAPara"/>
        <w:rPr>
          <w:lang w:val="en-GB"/>
        </w:rPr>
      </w:pPr>
      <w:r w:rsidRPr="00A90BF8">
        <w:rPr>
          <w:lang w:val="en-GB"/>
        </w:rPr>
        <w:t xml:space="preserve">Climate change and climate-related hazards </w:t>
      </w:r>
      <w:r w:rsidR="00975085" w:rsidRPr="00A90BF8">
        <w:rPr>
          <w:lang w:val="en-GB"/>
        </w:rPr>
        <w:t xml:space="preserve">can </w:t>
      </w:r>
      <w:r w:rsidR="00E76EAD">
        <w:rPr>
          <w:lang w:val="en-GB"/>
        </w:rPr>
        <w:t xml:space="preserve">in some cases also </w:t>
      </w:r>
      <w:r w:rsidRPr="00A90BF8">
        <w:rPr>
          <w:lang w:val="en-GB"/>
        </w:rPr>
        <w:t>present opportunit</w:t>
      </w:r>
      <w:r w:rsidR="00975085" w:rsidRPr="00A90BF8">
        <w:rPr>
          <w:lang w:val="en-GB"/>
        </w:rPr>
        <w:t>ies</w:t>
      </w:r>
      <w:r w:rsidRPr="00A90BF8">
        <w:rPr>
          <w:lang w:val="en-GB"/>
        </w:rPr>
        <w:t xml:space="preserve"> – and not just threat</w:t>
      </w:r>
      <w:r w:rsidR="00975085" w:rsidRPr="00A90BF8">
        <w:rPr>
          <w:lang w:val="en-GB"/>
        </w:rPr>
        <w:t>s</w:t>
      </w:r>
      <w:r w:rsidRPr="00A90BF8">
        <w:rPr>
          <w:lang w:val="en-GB"/>
        </w:rPr>
        <w:t xml:space="preserve"> – for intangible cultural heritage. Emergencies related to climate change are not inevitably or uniformly negative for intangible cultural heritage, but can instead stimulate practice, transmission and safeguarding in novel creative contexts. Where the loss of bearers, resources, </w:t>
      </w:r>
      <w:proofErr w:type="gramStart"/>
      <w:r w:rsidRPr="00A90BF8">
        <w:rPr>
          <w:lang w:val="en-GB"/>
        </w:rPr>
        <w:t>places</w:t>
      </w:r>
      <w:proofErr w:type="gramEnd"/>
      <w:r w:rsidRPr="00A90BF8">
        <w:rPr>
          <w:lang w:val="en-GB"/>
        </w:rPr>
        <w:t xml:space="preserve"> and community cohesion is not overwhelming in scale, emergencies can prompt the revival of interest in certain knowledge and practices, or their modification, or the emergence of entirely new expressions such as memorials</w:t>
      </w:r>
      <w:r w:rsidR="00975085" w:rsidRPr="00A90BF8">
        <w:rPr>
          <w:lang w:val="en-GB"/>
        </w:rPr>
        <w:t xml:space="preserve"> or new forms of artisanal production</w:t>
      </w:r>
      <w:r w:rsidRPr="00A90BF8">
        <w:rPr>
          <w:lang w:val="en-GB"/>
        </w:rPr>
        <w:t xml:space="preserve">. Emergencies can also promote heightened community and national reflection and discussion of the roles and potential of intangible cultural heritage, and lead to new or improved strategies for safeguarding. In this way, emergencies </w:t>
      </w:r>
      <w:r w:rsidR="00975085" w:rsidRPr="00A90BF8">
        <w:rPr>
          <w:lang w:val="en-GB"/>
        </w:rPr>
        <w:t>enable the emergence of</w:t>
      </w:r>
      <w:r w:rsidRPr="00A90BF8">
        <w:rPr>
          <w:lang w:val="en-GB"/>
        </w:rPr>
        <w:t xml:space="preserve"> new and often more resilient forms or versions of intangible cultural heritage.</w:t>
      </w:r>
    </w:p>
    <w:p w14:paraId="5AF97DD5" w14:textId="42536C01" w:rsidR="002936F8" w:rsidRPr="00A90BF8" w:rsidRDefault="00AE7F92" w:rsidP="00A90BF8">
      <w:pPr>
        <w:spacing w:line="360" w:lineRule="auto"/>
        <w:jc w:val="both"/>
        <w:rPr>
          <w:lang w:val="en-GB"/>
        </w:rPr>
      </w:pPr>
      <w:r w:rsidRPr="00A90BF8">
        <w:rPr>
          <w:rFonts w:ascii="Arial" w:hAnsi="Arial"/>
          <w:b/>
          <w:lang w:val="en-GB"/>
        </w:rPr>
        <w:t>3.</w:t>
      </w:r>
      <w:r w:rsidR="002936F8" w:rsidRPr="00A90BF8">
        <w:rPr>
          <w:rFonts w:ascii="Arial" w:hAnsi="Arial"/>
          <w:b/>
          <w:lang w:val="en-GB"/>
        </w:rPr>
        <w:t xml:space="preserve"> Modelling climate change risk for intangible cultural heritage</w:t>
      </w:r>
    </w:p>
    <w:p w14:paraId="305D2F91" w14:textId="26915151" w:rsidR="002936F8" w:rsidRPr="00A90BF8" w:rsidRDefault="002936F8" w:rsidP="00A4545A">
      <w:pPr>
        <w:pStyle w:val="1GAPara"/>
        <w:rPr>
          <w:lang w:val="en-GB"/>
        </w:rPr>
      </w:pPr>
      <w:r w:rsidRPr="00A90BF8">
        <w:rPr>
          <w:lang w:val="en-GB"/>
        </w:rPr>
        <w:t xml:space="preserve">Integrating both the positive and negative consequences of these different avenues for threat within an overall </w:t>
      </w:r>
      <w:r w:rsidR="00E76EAD">
        <w:rPr>
          <w:lang w:val="en-GB"/>
        </w:rPr>
        <w:t>framework</w:t>
      </w:r>
      <w:r w:rsidR="00E76EAD" w:rsidRPr="00A90BF8">
        <w:rPr>
          <w:lang w:val="en-GB"/>
        </w:rPr>
        <w:t xml:space="preserve"> </w:t>
      </w:r>
      <w:r w:rsidRPr="00A90BF8">
        <w:rPr>
          <w:lang w:val="en-GB"/>
        </w:rPr>
        <w:t>of climate change risk to intangible cultural heritage is a</w:t>
      </w:r>
      <w:r w:rsidR="00E76EAD">
        <w:rPr>
          <w:lang w:val="en-GB"/>
        </w:rPr>
        <w:t xml:space="preserve"> </w:t>
      </w:r>
      <w:r w:rsidRPr="00A90BF8">
        <w:rPr>
          <w:lang w:val="en-GB"/>
        </w:rPr>
        <w:t>challenge. The capacity of a community to sustain the inter-generational transmission of its intangible cultural heritage is the basic requirement of viability, and the principal challenge for safeguarding is to support this ‘continuity of knowledge and skill’.</w:t>
      </w:r>
      <w:r w:rsidRPr="00A90BF8">
        <w:rPr>
          <w:rStyle w:val="EndnoteReference"/>
          <w:lang w:val="en-GB"/>
        </w:rPr>
        <w:endnoteReference w:id="18"/>
      </w:r>
      <w:r w:rsidRPr="00A90BF8">
        <w:rPr>
          <w:lang w:val="en-GB"/>
        </w:rPr>
        <w:t xml:space="preserve"> Theories of emergency risk and vulnerability are particularly well developed in the field of disaster risk reduction research and policy, and offer a template on which a model</w:t>
      </w:r>
      <w:r w:rsidR="00C14D6F">
        <w:rPr>
          <w:lang w:val="en-GB"/>
        </w:rPr>
        <w:t xml:space="preserve"> or framework</w:t>
      </w:r>
      <w:r w:rsidRPr="00A90BF8">
        <w:rPr>
          <w:lang w:val="en-GB"/>
        </w:rPr>
        <w:t xml:space="preserve"> for the assessment of climate change risk to intangible cultural heritage might be generated.</w:t>
      </w:r>
    </w:p>
    <w:p w14:paraId="2C42E636" w14:textId="6543BDFF" w:rsidR="005F55CB" w:rsidRPr="00A90BF8" w:rsidRDefault="00EF5737" w:rsidP="00A4545A">
      <w:pPr>
        <w:pStyle w:val="1GAPara"/>
        <w:rPr>
          <w:bCs/>
          <w:lang w:val="en-GB"/>
        </w:rPr>
      </w:pPr>
      <w:r w:rsidRPr="00A90BF8">
        <w:rPr>
          <w:bCs/>
          <w:lang w:val="en-GB"/>
        </w:rPr>
        <w:t>Four</w:t>
      </w:r>
      <w:r w:rsidR="002936F8" w:rsidRPr="00A90BF8">
        <w:rPr>
          <w:lang w:val="en-GB"/>
        </w:rPr>
        <w:t xml:space="preserve"> key questions for </w:t>
      </w:r>
      <w:r w:rsidR="00893C3B" w:rsidRPr="00A90BF8">
        <w:rPr>
          <w:lang w:val="en-GB"/>
        </w:rPr>
        <w:t>modelling the effects of climate change on</w:t>
      </w:r>
      <w:r w:rsidR="002936F8" w:rsidRPr="00A90BF8">
        <w:rPr>
          <w:lang w:val="en-GB"/>
        </w:rPr>
        <w:t xml:space="preserve"> intangible cultural heritage need to be addressed: 1) How does</w:t>
      </w:r>
      <w:r w:rsidR="00AE1BBF" w:rsidRPr="00A90BF8">
        <w:rPr>
          <w:lang w:val="en-GB"/>
        </w:rPr>
        <w:t xml:space="preserve"> </w:t>
      </w:r>
      <w:r w:rsidR="00AE1BBF" w:rsidRPr="00A90BF8">
        <w:rPr>
          <w:bCs/>
          <w:lang w:val="en-GB"/>
        </w:rPr>
        <w:t>the practice and transmission</w:t>
      </w:r>
      <w:r w:rsidR="002936F8" w:rsidRPr="00A90BF8">
        <w:rPr>
          <w:bCs/>
          <w:lang w:val="en-GB"/>
        </w:rPr>
        <w:t xml:space="preserve"> </w:t>
      </w:r>
      <w:r w:rsidR="00AE1BBF" w:rsidRPr="00A90BF8">
        <w:rPr>
          <w:bCs/>
          <w:lang w:val="en-GB"/>
        </w:rPr>
        <w:t xml:space="preserve">of </w:t>
      </w:r>
      <w:r w:rsidR="002936F8" w:rsidRPr="00A90BF8">
        <w:rPr>
          <w:lang w:val="en-GB"/>
        </w:rPr>
        <w:t>intangible cultural heritage become vulnerable generally</w:t>
      </w:r>
      <w:r w:rsidR="002936F8" w:rsidRPr="00A90BF8">
        <w:rPr>
          <w:bCs/>
          <w:lang w:val="en-GB"/>
        </w:rPr>
        <w:t>?</w:t>
      </w:r>
      <w:r w:rsidR="002936F8" w:rsidRPr="00A90BF8">
        <w:rPr>
          <w:lang w:val="en-GB"/>
        </w:rPr>
        <w:t xml:space="preserve"> 2) How is intangible cultural heritage vulnerable to </w:t>
      </w:r>
      <w:r w:rsidRPr="00A90BF8">
        <w:rPr>
          <w:lang w:val="en-GB"/>
        </w:rPr>
        <w:t xml:space="preserve">the specific impacts associated with </w:t>
      </w:r>
      <w:r w:rsidR="002936F8" w:rsidRPr="00A90BF8">
        <w:rPr>
          <w:lang w:val="en-GB"/>
        </w:rPr>
        <w:t>climate change</w:t>
      </w:r>
      <w:r w:rsidRPr="00A90BF8">
        <w:rPr>
          <w:lang w:val="en-GB"/>
        </w:rPr>
        <w:t xml:space="preserve"> and its compounding effects on other sources of risk</w:t>
      </w:r>
      <w:r w:rsidR="002936F8" w:rsidRPr="00A90BF8">
        <w:rPr>
          <w:bCs/>
          <w:lang w:val="en-GB"/>
        </w:rPr>
        <w:t>?</w:t>
      </w:r>
      <w:r w:rsidR="002936F8" w:rsidRPr="00A90BF8">
        <w:rPr>
          <w:lang w:val="en-GB"/>
        </w:rPr>
        <w:t xml:space="preserve"> 3) Which safeguarding measures directly address these vulnerabilities? </w:t>
      </w:r>
      <w:r w:rsidR="005F55CB" w:rsidRPr="00A90BF8">
        <w:rPr>
          <w:bCs/>
          <w:lang w:val="en-GB"/>
        </w:rPr>
        <w:t>4) How do these impacts affect the enjoyment of cultural right</w:t>
      </w:r>
      <w:r w:rsidR="00CC7A0C" w:rsidRPr="00A90BF8">
        <w:rPr>
          <w:bCs/>
          <w:lang w:val="en-GB"/>
        </w:rPr>
        <w:t>s</w:t>
      </w:r>
      <w:r w:rsidR="005F55CB" w:rsidRPr="00A90BF8">
        <w:rPr>
          <w:bCs/>
          <w:lang w:val="en-GB"/>
        </w:rPr>
        <w:t xml:space="preserve"> and other internationally guaranteed human rights? </w:t>
      </w:r>
    </w:p>
    <w:p w14:paraId="01F6A9B1" w14:textId="19318A15" w:rsidR="002936F8" w:rsidRPr="00C14D6F" w:rsidRDefault="002936F8" w:rsidP="00A4545A">
      <w:pPr>
        <w:pStyle w:val="1GAPara"/>
      </w:pPr>
      <w:r w:rsidRPr="00A90BF8">
        <w:rPr>
          <w:lang w:val="en-GB"/>
        </w:rPr>
        <w:t xml:space="preserve">The 2003 Convention Secretariat’s 2017 report on ‘Safeguarding and Mobilising Intangible Cultural Heritage in the Context of Natural Hazards’ provides the outlines of one such model. Here, the vulnerability of intangible cultural heritage is understood in terms of the articulation (through expression, </w:t>
      </w:r>
      <w:proofErr w:type="gramStart"/>
      <w:r w:rsidRPr="00A90BF8">
        <w:rPr>
          <w:lang w:val="en-GB"/>
        </w:rPr>
        <w:t>practice</w:t>
      </w:r>
      <w:proofErr w:type="gramEnd"/>
      <w:r w:rsidRPr="00A90BF8">
        <w:rPr>
          <w:lang w:val="en-GB"/>
        </w:rPr>
        <w:t xml:space="preserve"> and performance) of communities, places and material resources, and knowledge. Threats to any of these components, or to the ability to articulate them constitute threats to transmission. In a modification of the formal definition of disaster risk, intangible cultural heritage emergency risk can be defined as a function of the interaction between the threat, understood in </w:t>
      </w:r>
      <w:proofErr w:type="gramStart"/>
      <w:r w:rsidRPr="00A90BF8">
        <w:rPr>
          <w:lang w:val="en-GB"/>
        </w:rPr>
        <w:t>all of</w:t>
      </w:r>
      <w:proofErr w:type="gramEnd"/>
      <w:r w:rsidRPr="00A90BF8">
        <w:rPr>
          <w:lang w:val="en-GB"/>
        </w:rPr>
        <w:t xml:space="preserve"> its dimensions, and the vulnerability of an intangible cultural heritage element, understood in terms of each of its modalities (communities, places and knowledge) and their articulation. </w:t>
      </w:r>
      <w:r w:rsidR="000004ED">
        <w:t>A</w:t>
      </w:r>
      <w:r w:rsidRPr="00C14D6F">
        <w:t xml:space="preserve"> </w:t>
      </w:r>
      <w:r w:rsidR="003D7609" w:rsidRPr="00C14D6F">
        <w:t xml:space="preserve">general </w:t>
      </w:r>
      <w:r w:rsidRPr="00C14D6F">
        <w:t xml:space="preserve">model of </w:t>
      </w:r>
      <w:r w:rsidR="003D7609" w:rsidRPr="00C14D6F">
        <w:t xml:space="preserve">climate change </w:t>
      </w:r>
      <w:r w:rsidRPr="00C14D6F">
        <w:t>risk</w:t>
      </w:r>
      <w:r w:rsidR="003D7609" w:rsidRPr="00C14D6F">
        <w:t xml:space="preserve">, which incorporates threats to </w:t>
      </w:r>
      <w:proofErr w:type="gramStart"/>
      <w:r w:rsidR="003D7609" w:rsidRPr="00C14D6F">
        <w:t>all of</w:t>
      </w:r>
      <w:proofErr w:type="gramEnd"/>
      <w:r w:rsidR="003D7609" w:rsidRPr="00C14D6F">
        <w:t xml:space="preserve"> the components of safeguarding, including practice, </w:t>
      </w:r>
      <w:r w:rsidRPr="00C14D6F">
        <w:t>transmission</w:t>
      </w:r>
      <w:r w:rsidR="003D7609" w:rsidRPr="00C14D6F">
        <w:t>, livelihood and place,</w:t>
      </w:r>
      <w:r w:rsidRPr="00C14D6F">
        <w:t xml:space="preserve"> </w:t>
      </w:r>
      <w:r w:rsidR="000004ED">
        <w:t>would be important to</w:t>
      </w:r>
      <w:r w:rsidRPr="00C14D6F">
        <w:t xml:space="preserve"> design and implement adequate and appropriate safeguarding measures that can contribute effectively to climate change adaptation.</w:t>
      </w:r>
    </w:p>
    <w:sectPr w:rsidR="002936F8" w:rsidRPr="00C14D6F" w:rsidSect="00880AEF">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E0E0" w14:textId="77777777" w:rsidR="000B7A9C" w:rsidRDefault="000B7A9C" w:rsidP="002938F2">
      <w:r>
        <w:separator/>
      </w:r>
    </w:p>
    <w:p w14:paraId="77C5AB11" w14:textId="77777777" w:rsidR="000B7A9C" w:rsidRDefault="000B7A9C"/>
  </w:endnote>
  <w:endnote w:type="continuationSeparator" w:id="0">
    <w:p w14:paraId="4C32430A" w14:textId="77777777" w:rsidR="000B7A9C" w:rsidRDefault="000B7A9C" w:rsidP="002938F2">
      <w:r>
        <w:continuationSeparator/>
      </w:r>
    </w:p>
    <w:p w14:paraId="3F42A4A2" w14:textId="77777777" w:rsidR="000B7A9C" w:rsidRDefault="000B7A9C"/>
  </w:endnote>
  <w:endnote w:type="continuationNotice" w:id="1">
    <w:p w14:paraId="354C1627" w14:textId="77777777" w:rsidR="000B7A9C" w:rsidRDefault="000B7A9C">
      <w:pPr>
        <w:spacing w:after="0"/>
      </w:pPr>
    </w:p>
  </w:endnote>
  <w:endnote w:id="2">
    <w:p w14:paraId="07A0865A" w14:textId="6DC51638" w:rsidR="002936F8" w:rsidRPr="005F3CAA" w:rsidRDefault="002936F8" w:rsidP="003E52AA">
      <w:pPr>
        <w:pStyle w:val="EndnoteText"/>
        <w:ind w:left="270" w:hanging="270"/>
      </w:pPr>
      <w:r w:rsidRPr="005F3CAA">
        <w:rPr>
          <w:rStyle w:val="EndnoteReference"/>
        </w:rPr>
        <w:endnoteRef/>
      </w:r>
      <w:r w:rsidRPr="005F3CAA">
        <w:t xml:space="preserve"> </w:t>
      </w:r>
      <w:r>
        <w:tab/>
      </w:r>
      <w:r w:rsidRPr="005F3CAA">
        <w:t>Reproduced in Living Heritage Entity 2022.</w:t>
      </w:r>
    </w:p>
  </w:endnote>
  <w:endnote w:id="3">
    <w:p w14:paraId="48205295" w14:textId="38E0E97F" w:rsidR="00A16DFA" w:rsidRPr="00A16DFA" w:rsidRDefault="00A16DFA" w:rsidP="00836F47">
      <w:pPr>
        <w:pStyle w:val="EndnoteText"/>
        <w:ind w:left="270" w:hanging="270"/>
      </w:pPr>
      <w:r>
        <w:rPr>
          <w:rStyle w:val="EndnoteReference"/>
        </w:rPr>
        <w:endnoteRef/>
      </w:r>
      <w:r>
        <w:t xml:space="preserve"> </w:t>
      </w:r>
      <w:r w:rsidR="003E52AA">
        <w:tab/>
      </w:r>
      <w:r w:rsidRPr="00A4330E">
        <w:t xml:space="preserve">For examples see </w:t>
      </w:r>
      <w:r w:rsidR="00A4330E">
        <w:t xml:space="preserve">Dekens 2007, Shaw et al (eds) 2008, </w:t>
      </w:r>
      <w:r w:rsidR="00AE1BBF" w:rsidRPr="00AE1BBF">
        <w:t>Galloway McLean 2009</w:t>
      </w:r>
      <w:r w:rsidR="00AE1BBF">
        <w:t xml:space="preserve">, </w:t>
      </w:r>
      <w:r w:rsidR="00A4330E" w:rsidRPr="00A4330E">
        <w:t xml:space="preserve">Nakashima et al. (eds) 2012, </w:t>
      </w:r>
      <w:r w:rsidR="00751A0B">
        <w:t xml:space="preserve">Hiwasaki et al. 2014, </w:t>
      </w:r>
      <w:r w:rsidR="00A4330E" w:rsidRPr="00A4330E">
        <w:t>Nakashima et al. (eds) 2018, Reyes-García (ed.) 2024</w:t>
      </w:r>
      <w:r w:rsidRPr="00A4330E">
        <w:t>;</w:t>
      </w:r>
      <w:r>
        <w:t xml:space="preserve"> see also </w:t>
      </w:r>
      <w:r w:rsidRPr="00A16DFA">
        <w:t xml:space="preserve">the literature review and bibliography appendix, </w:t>
      </w:r>
      <w:r w:rsidR="00DB562B">
        <w:t xml:space="preserve">document </w:t>
      </w:r>
      <w:r w:rsidRPr="00A16DFA">
        <w:t>LHE/24/EXP THEMA-CLIMA/4a.</w:t>
      </w:r>
    </w:p>
  </w:endnote>
  <w:endnote w:id="4">
    <w:p w14:paraId="550E4943" w14:textId="2616B221" w:rsidR="00836F47" w:rsidRPr="00836F47" w:rsidRDefault="00836F47" w:rsidP="00836F47">
      <w:pPr>
        <w:pStyle w:val="EndnoteText"/>
        <w:ind w:left="270" w:hanging="270"/>
        <w:rPr>
          <w:lang w:val="fr-FR"/>
        </w:rPr>
      </w:pPr>
      <w:r>
        <w:rPr>
          <w:rStyle w:val="EndnoteReference"/>
        </w:rPr>
        <w:endnoteRef/>
      </w:r>
      <w:r w:rsidRPr="00836F47">
        <w:rPr>
          <w:lang w:val="fr-FR"/>
        </w:rPr>
        <w:t xml:space="preserve"> </w:t>
      </w:r>
      <w:r>
        <w:rPr>
          <w:lang w:val="fr-FR"/>
        </w:rPr>
        <w:tab/>
      </w:r>
      <w:r w:rsidRPr="00836F47">
        <w:rPr>
          <w:lang w:val="fr-FR"/>
        </w:rPr>
        <w:t>Bennoune 2020</w:t>
      </w:r>
      <w:r>
        <w:rPr>
          <w:lang w:val="fr-FR"/>
        </w:rPr>
        <w:t>,</w:t>
      </w:r>
      <w:r w:rsidRPr="00836F47">
        <w:rPr>
          <w:lang w:val="fr-FR"/>
        </w:rPr>
        <w:t xml:space="preserve"> p</w:t>
      </w:r>
      <w:r>
        <w:rPr>
          <w:lang w:val="fr-FR"/>
        </w:rPr>
        <w:t>aragraph 2</w:t>
      </w:r>
      <w:r w:rsidR="00AF2051">
        <w:rPr>
          <w:lang w:val="fr-FR"/>
        </w:rPr>
        <w:t>1</w:t>
      </w:r>
      <w:r>
        <w:rPr>
          <w:lang w:val="fr-FR"/>
        </w:rPr>
        <w:t>.</w:t>
      </w:r>
    </w:p>
  </w:endnote>
  <w:endnote w:id="5">
    <w:p w14:paraId="01275BA9" w14:textId="37F1385B" w:rsidR="002936F8" w:rsidRPr="00A90BF8" w:rsidRDefault="002936F8" w:rsidP="00836F47">
      <w:pPr>
        <w:pStyle w:val="EndnoteText"/>
        <w:ind w:left="270" w:hanging="270"/>
        <w:rPr>
          <w:lang w:val="fr-FR"/>
        </w:rPr>
      </w:pPr>
      <w:r w:rsidRPr="005F3CAA">
        <w:rPr>
          <w:rStyle w:val="EndnoteReference"/>
        </w:rPr>
        <w:endnoteRef/>
      </w:r>
      <w:r w:rsidRPr="00A90BF8">
        <w:rPr>
          <w:lang w:val="fr-FR"/>
        </w:rPr>
        <w:t xml:space="preserve"> </w:t>
      </w:r>
      <w:r w:rsidRPr="00A90BF8">
        <w:rPr>
          <w:lang w:val="fr-FR"/>
        </w:rPr>
        <w:tab/>
        <w:t>Adger et al. 2013, 113.</w:t>
      </w:r>
    </w:p>
  </w:endnote>
  <w:endnote w:id="6">
    <w:p w14:paraId="5DF405C2" w14:textId="3C0BD041" w:rsidR="002936F8" w:rsidRPr="009376AC" w:rsidRDefault="002936F8" w:rsidP="003E52AA">
      <w:pPr>
        <w:pStyle w:val="EndnoteText"/>
        <w:ind w:left="270" w:hanging="270"/>
        <w:rPr>
          <w:lang w:val="en-US"/>
        </w:rPr>
      </w:pPr>
      <w:r w:rsidRPr="005F3CAA">
        <w:rPr>
          <w:rStyle w:val="EndnoteReference"/>
        </w:rPr>
        <w:endnoteRef/>
      </w:r>
      <w:r w:rsidRPr="009376AC">
        <w:rPr>
          <w:lang w:val="en-US"/>
        </w:rPr>
        <w:t xml:space="preserve"> </w:t>
      </w:r>
      <w:r w:rsidRPr="009376AC">
        <w:rPr>
          <w:lang w:val="en-US"/>
        </w:rPr>
        <w:tab/>
        <w:t>Kim 2011; Henderson and Seekamp 2018; Aktürk and Lerski 2021; Pearson et al. 2021.</w:t>
      </w:r>
    </w:p>
  </w:endnote>
  <w:endnote w:id="7">
    <w:p w14:paraId="758DD97D" w14:textId="2C41153F" w:rsidR="002936F8" w:rsidRPr="005F3CAA" w:rsidRDefault="002936F8" w:rsidP="002936F8">
      <w:pPr>
        <w:pStyle w:val="EndnoteText"/>
        <w:ind w:left="270" w:hanging="270"/>
      </w:pPr>
      <w:r w:rsidRPr="005F3CAA">
        <w:rPr>
          <w:rStyle w:val="EndnoteReference"/>
        </w:rPr>
        <w:endnoteRef/>
      </w:r>
      <w:r w:rsidRPr="005F3CAA">
        <w:t xml:space="preserve"> </w:t>
      </w:r>
      <w:r>
        <w:tab/>
      </w:r>
      <w:r w:rsidRPr="005F3CAA">
        <w:t>Chatelard 2017.</w:t>
      </w:r>
    </w:p>
  </w:endnote>
  <w:endnote w:id="8">
    <w:p w14:paraId="5DDD78EF" w14:textId="57D8DE3D" w:rsidR="002936F8" w:rsidRPr="005F3CAA" w:rsidRDefault="002936F8" w:rsidP="002936F8">
      <w:pPr>
        <w:pStyle w:val="EndnoteText"/>
        <w:ind w:left="270" w:hanging="270"/>
      </w:pPr>
      <w:r w:rsidRPr="005F3CAA">
        <w:rPr>
          <w:rStyle w:val="EndnoteReference"/>
        </w:rPr>
        <w:endnoteRef/>
      </w:r>
      <w:r w:rsidRPr="005F3CAA">
        <w:t xml:space="preserve"> </w:t>
      </w:r>
      <w:r>
        <w:tab/>
      </w:r>
      <w:r w:rsidRPr="005F3CAA">
        <w:t>ICOMOS Climate Change and Heritage Working Group 2019, Table 6.</w:t>
      </w:r>
    </w:p>
  </w:endnote>
  <w:endnote w:id="9">
    <w:p w14:paraId="147551A7" w14:textId="35D2A786" w:rsidR="002936F8" w:rsidRPr="003F7645" w:rsidRDefault="002936F8" w:rsidP="002936F8">
      <w:pPr>
        <w:pStyle w:val="EndnoteText"/>
        <w:ind w:left="270" w:hanging="270"/>
        <w:rPr>
          <w:lang w:val="es-ES"/>
        </w:rPr>
      </w:pPr>
      <w:r w:rsidRPr="005F3CAA">
        <w:rPr>
          <w:rStyle w:val="EndnoteReference"/>
        </w:rPr>
        <w:endnoteRef/>
      </w:r>
      <w:r w:rsidRPr="003F7645">
        <w:rPr>
          <w:lang w:val="es-ES"/>
        </w:rPr>
        <w:t xml:space="preserve"> </w:t>
      </w:r>
      <w:r>
        <w:rPr>
          <w:lang w:val="es-ES"/>
        </w:rPr>
        <w:tab/>
      </w:r>
      <w:r w:rsidRPr="003F7645">
        <w:rPr>
          <w:lang w:val="es-ES"/>
        </w:rPr>
        <w:t xml:space="preserve">FAO 2015; FAO 2021; </w:t>
      </w:r>
      <w:r w:rsidRPr="003F7645">
        <w:rPr>
          <w:bCs/>
          <w:lang w:val="es-ES"/>
        </w:rPr>
        <w:t>Dembedza et al. 2022; Deacon 2023.</w:t>
      </w:r>
    </w:p>
  </w:endnote>
  <w:endnote w:id="10">
    <w:p w14:paraId="73CA2B90" w14:textId="6D717F97" w:rsidR="002936F8" w:rsidRPr="009376AC" w:rsidRDefault="002936F8" w:rsidP="00E57065">
      <w:pPr>
        <w:pStyle w:val="EndnoteText"/>
        <w:ind w:left="270" w:hanging="270"/>
        <w:rPr>
          <w:lang w:val="es-ES"/>
        </w:rPr>
      </w:pPr>
      <w:r w:rsidRPr="005F3CAA">
        <w:rPr>
          <w:rStyle w:val="EndnoteReference"/>
        </w:rPr>
        <w:endnoteRef/>
      </w:r>
      <w:r w:rsidRPr="009376AC">
        <w:rPr>
          <w:lang w:val="es-ES"/>
        </w:rPr>
        <w:t xml:space="preserve"> </w:t>
      </w:r>
      <w:r w:rsidRPr="009376AC">
        <w:rPr>
          <w:lang w:val="es-ES"/>
        </w:rPr>
        <w:tab/>
        <w:t>Kurin 2007, 12.</w:t>
      </w:r>
    </w:p>
  </w:endnote>
  <w:endnote w:id="11">
    <w:p w14:paraId="23961C14" w14:textId="6FD85375" w:rsidR="00E57065" w:rsidRPr="009376AC" w:rsidRDefault="00E57065" w:rsidP="00E57065">
      <w:pPr>
        <w:pStyle w:val="EndnoteText"/>
        <w:ind w:left="270" w:hanging="270"/>
        <w:rPr>
          <w:lang w:val="es-ES"/>
        </w:rPr>
      </w:pPr>
      <w:r>
        <w:rPr>
          <w:rStyle w:val="EndnoteReference"/>
        </w:rPr>
        <w:endnoteRef/>
      </w:r>
      <w:r w:rsidRPr="009376AC">
        <w:rPr>
          <w:lang w:val="es-ES"/>
        </w:rPr>
        <w:t xml:space="preserve"> </w:t>
      </w:r>
      <w:r w:rsidRPr="009376AC">
        <w:rPr>
          <w:lang w:val="es-ES"/>
        </w:rPr>
        <w:tab/>
        <w:t>Reyes-García (ed.) 2024</w:t>
      </w:r>
      <w:r w:rsidR="00084F7C">
        <w:rPr>
          <w:lang w:val="es-ES"/>
        </w:rPr>
        <w:t>.</w:t>
      </w:r>
    </w:p>
  </w:endnote>
  <w:endnote w:id="12">
    <w:p w14:paraId="2417AE2D" w14:textId="77777777" w:rsidR="00AE7F92" w:rsidRPr="003F7645" w:rsidRDefault="00AE7F92" w:rsidP="00E57065">
      <w:pPr>
        <w:pStyle w:val="EndnoteText"/>
        <w:ind w:left="270" w:hanging="270"/>
        <w:rPr>
          <w:lang w:val="es-ES"/>
        </w:rPr>
      </w:pPr>
      <w:r w:rsidRPr="005F3CAA">
        <w:rPr>
          <w:rStyle w:val="EndnoteReference"/>
        </w:rPr>
        <w:endnoteRef/>
      </w:r>
      <w:r w:rsidRPr="003F7645">
        <w:rPr>
          <w:lang w:val="es-ES"/>
        </w:rPr>
        <w:t xml:space="preserve"> </w:t>
      </w:r>
      <w:r>
        <w:rPr>
          <w:lang w:val="es-ES"/>
        </w:rPr>
        <w:tab/>
      </w:r>
      <w:r w:rsidRPr="003F7645">
        <w:rPr>
          <w:lang w:val="es-ES"/>
        </w:rPr>
        <w:t>Reyes-García et al. 2019.</w:t>
      </w:r>
    </w:p>
  </w:endnote>
  <w:endnote w:id="13">
    <w:p w14:paraId="0AD661D7" w14:textId="714627FE" w:rsidR="00E57065" w:rsidRDefault="00E57065" w:rsidP="003558F4">
      <w:pPr>
        <w:pStyle w:val="EndnoteText"/>
        <w:ind w:left="270" w:hanging="270"/>
      </w:pPr>
      <w:r>
        <w:rPr>
          <w:rStyle w:val="EndnoteReference"/>
        </w:rPr>
        <w:endnoteRef/>
      </w:r>
      <w:r w:rsidRPr="00D97D46">
        <w:rPr>
          <w:lang w:val="en-US"/>
        </w:rPr>
        <w:t xml:space="preserve"> </w:t>
      </w:r>
      <w:r w:rsidRPr="00D97D46">
        <w:rPr>
          <w:lang w:val="en-US"/>
        </w:rPr>
        <w:tab/>
        <w:t xml:space="preserve">Nakashima et al. </w:t>
      </w:r>
      <w:r w:rsidRPr="00A4330E">
        <w:t>(eds) 2012</w:t>
      </w:r>
      <w:r w:rsidR="003A7D51">
        <w:t>.</w:t>
      </w:r>
    </w:p>
  </w:endnote>
  <w:endnote w:id="14">
    <w:p w14:paraId="08B04036" w14:textId="3085FAA5" w:rsidR="003558F4" w:rsidRDefault="003558F4" w:rsidP="003558F4">
      <w:pPr>
        <w:pStyle w:val="EndnoteText"/>
        <w:ind w:left="270" w:hanging="270"/>
      </w:pPr>
      <w:r>
        <w:rPr>
          <w:rStyle w:val="EndnoteReference"/>
        </w:rPr>
        <w:endnoteRef/>
      </w:r>
      <w:r>
        <w:t xml:space="preserve"> </w:t>
      </w:r>
      <w:r>
        <w:tab/>
        <w:t>Wagner (ed.) 2023.</w:t>
      </w:r>
    </w:p>
  </w:endnote>
  <w:endnote w:id="15">
    <w:p w14:paraId="3B81BF0D" w14:textId="77777777" w:rsidR="00AE7F92" w:rsidRPr="009376AC" w:rsidRDefault="00AE7F92" w:rsidP="003558F4">
      <w:pPr>
        <w:pStyle w:val="EndnoteText"/>
        <w:ind w:left="270" w:hanging="270"/>
        <w:rPr>
          <w:lang w:val="en-US"/>
        </w:rPr>
      </w:pPr>
      <w:r w:rsidRPr="005F3CAA">
        <w:rPr>
          <w:rStyle w:val="EndnoteReference"/>
        </w:rPr>
        <w:endnoteRef/>
      </w:r>
      <w:r w:rsidRPr="009376AC">
        <w:rPr>
          <w:lang w:val="en-US"/>
        </w:rPr>
        <w:t xml:space="preserve"> </w:t>
      </w:r>
      <w:r w:rsidRPr="009376AC">
        <w:rPr>
          <w:lang w:val="en-US"/>
        </w:rPr>
        <w:tab/>
        <w:t>Kelman and Gaillard 2010, 29; Kelman et al. 2015.</w:t>
      </w:r>
    </w:p>
  </w:endnote>
  <w:endnote w:id="16">
    <w:p w14:paraId="7E35187C" w14:textId="64A358EB" w:rsidR="00E57065" w:rsidRPr="009376AC" w:rsidRDefault="00E57065" w:rsidP="00FA013D">
      <w:pPr>
        <w:pStyle w:val="EndnoteText"/>
        <w:ind w:left="270" w:hanging="270"/>
        <w:rPr>
          <w:lang w:val="en-US"/>
        </w:rPr>
      </w:pPr>
      <w:r w:rsidRPr="005F3CAA">
        <w:rPr>
          <w:rStyle w:val="EndnoteReference"/>
        </w:rPr>
        <w:endnoteRef/>
      </w:r>
      <w:r w:rsidRPr="009376AC">
        <w:rPr>
          <w:lang w:val="en-US"/>
        </w:rPr>
        <w:t xml:space="preserve"> </w:t>
      </w:r>
      <w:r w:rsidRPr="009376AC">
        <w:rPr>
          <w:lang w:val="en-US"/>
        </w:rPr>
        <w:tab/>
        <w:t>Internal Oversight Service 202, 2.3, para. 42; UNESCO 2017b; 2019.</w:t>
      </w:r>
    </w:p>
  </w:endnote>
  <w:endnote w:id="17">
    <w:p w14:paraId="791DFFCD" w14:textId="69972083" w:rsidR="00FA013D" w:rsidRDefault="00FA013D" w:rsidP="00FA013D">
      <w:pPr>
        <w:pStyle w:val="EndnoteText"/>
        <w:ind w:left="270" w:hanging="270"/>
      </w:pPr>
      <w:r>
        <w:rPr>
          <w:rStyle w:val="EndnoteReference"/>
        </w:rPr>
        <w:endnoteRef/>
      </w:r>
      <w:r>
        <w:t xml:space="preserve"> Morel and Ammerveld 2021, Nikolakis et al. 2022</w:t>
      </w:r>
      <w:r w:rsidR="000A18EA">
        <w:t>.</w:t>
      </w:r>
    </w:p>
  </w:endnote>
  <w:endnote w:id="18">
    <w:p w14:paraId="2DF6207C" w14:textId="3638C1BC" w:rsidR="002936F8" w:rsidRPr="005F3CAA" w:rsidRDefault="002936F8" w:rsidP="00FA013D">
      <w:pPr>
        <w:pStyle w:val="EndnoteText"/>
        <w:ind w:left="270" w:hanging="270"/>
      </w:pPr>
      <w:r w:rsidRPr="005F3CAA">
        <w:rPr>
          <w:rStyle w:val="EndnoteReference"/>
        </w:rPr>
        <w:endnoteRef/>
      </w:r>
      <w:r w:rsidRPr="005F3CAA">
        <w:t xml:space="preserve"> </w:t>
      </w:r>
      <w:r>
        <w:tab/>
      </w:r>
      <w:r w:rsidRPr="005F3CAA">
        <w:t>Kirshenblatt-Gimblett</w:t>
      </w:r>
      <w:r w:rsidRPr="005F3CAA">
        <w:rPr>
          <w:bCs/>
        </w:rPr>
        <w:t xml:space="preserve"> 2004, 61; see also ICCROM 2018, 118.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7ED8" w14:textId="77777777" w:rsidR="000B7A9C" w:rsidRDefault="000B7A9C" w:rsidP="0017455E">
      <w:r>
        <w:separator/>
      </w:r>
    </w:p>
  </w:footnote>
  <w:footnote w:type="continuationSeparator" w:id="0">
    <w:p w14:paraId="2FB1A2EC" w14:textId="77777777" w:rsidR="000B7A9C" w:rsidRDefault="000B7A9C" w:rsidP="0017455E">
      <w:r>
        <w:continuationSeparator/>
      </w:r>
    </w:p>
  </w:footnote>
  <w:footnote w:type="continuationNotice" w:id="1">
    <w:p w14:paraId="15A44B74" w14:textId="77777777" w:rsidR="000B7A9C" w:rsidRDefault="000B7A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BA7F" w14:textId="41061D01" w:rsidR="00B6167A" w:rsidRPr="00BC1850" w:rsidRDefault="00FD1941" w:rsidP="009B55AC">
    <w:pPr>
      <w:pStyle w:val="Header"/>
      <w:rPr>
        <w:rFonts w:ascii="Arial" w:hAnsi="Arial" w:cs="Arial"/>
        <w:sz w:val="20"/>
        <w:szCs w:val="20"/>
        <w:lang w:val="es-ES"/>
      </w:rPr>
    </w:pPr>
    <w:r w:rsidRPr="00BC1850">
      <w:rPr>
        <w:rFonts w:ascii="Arial" w:hAnsi="Arial"/>
        <w:sz w:val="20"/>
        <w:szCs w:val="20"/>
        <w:lang w:val="es-ES"/>
      </w:rPr>
      <w:t>LHE/2</w:t>
    </w:r>
    <w:r w:rsidR="00EF1566" w:rsidRPr="00BC1850">
      <w:rPr>
        <w:rFonts w:ascii="Arial" w:hAnsi="Arial"/>
        <w:sz w:val="20"/>
        <w:szCs w:val="20"/>
        <w:lang w:val="es-ES"/>
      </w:rPr>
      <w:t>4</w:t>
    </w:r>
    <w:r w:rsidRPr="00BC1850">
      <w:rPr>
        <w:rFonts w:ascii="Arial" w:hAnsi="Arial"/>
        <w:sz w:val="20"/>
        <w:szCs w:val="20"/>
        <w:lang w:val="es-ES"/>
      </w:rPr>
      <w:t>/EXP THEMA-</w:t>
    </w:r>
    <w:r w:rsidR="002236C8" w:rsidRPr="00BC1850">
      <w:rPr>
        <w:rFonts w:ascii="Arial" w:hAnsi="Arial"/>
        <w:sz w:val="20"/>
        <w:szCs w:val="20"/>
        <w:lang w:val="es-ES"/>
      </w:rPr>
      <w:t>CLIMA</w:t>
    </w:r>
    <w:r w:rsidRPr="00BC1850">
      <w:rPr>
        <w:rFonts w:ascii="Arial" w:hAnsi="Arial"/>
        <w:sz w:val="20"/>
        <w:szCs w:val="20"/>
        <w:lang w:val="es-ES"/>
      </w:rPr>
      <w:t>/</w:t>
    </w:r>
    <w:r w:rsidR="002936F8" w:rsidRPr="00BC1850">
      <w:rPr>
        <w:rFonts w:ascii="Arial" w:hAnsi="Arial"/>
        <w:sz w:val="20"/>
        <w:szCs w:val="20"/>
        <w:lang w:val="es-ES"/>
      </w:rPr>
      <w:t>4d</w:t>
    </w:r>
    <w:r w:rsidRPr="00BC1850">
      <w:rPr>
        <w:rFonts w:ascii="Arial" w:hAnsi="Arial"/>
        <w:sz w:val="20"/>
        <w:szCs w:val="20"/>
        <w:lang w:val="es-ES"/>
      </w:rPr>
      <w:t xml:space="preserve"> – page </w:t>
    </w:r>
    <w:r w:rsidR="00B6167A" w:rsidRPr="00BC1850">
      <w:rPr>
        <w:rStyle w:val="PageNumber"/>
        <w:rFonts w:ascii="Arial" w:hAnsi="Arial" w:cs="Arial"/>
        <w:sz w:val="20"/>
        <w:szCs w:val="20"/>
      </w:rPr>
      <w:fldChar w:fldCharType="begin"/>
    </w:r>
    <w:r w:rsidR="00B6167A" w:rsidRPr="00BC1850">
      <w:rPr>
        <w:rStyle w:val="PageNumber"/>
        <w:rFonts w:ascii="Arial" w:hAnsi="Arial" w:cs="Arial"/>
        <w:sz w:val="20"/>
        <w:szCs w:val="20"/>
        <w:lang w:val="es-ES"/>
      </w:rPr>
      <w:instrText xml:space="preserve"> PAGE </w:instrText>
    </w:r>
    <w:r w:rsidR="00B6167A" w:rsidRPr="00BC1850">
      <w:rPr>
        <w:rStyle w:val="PageNumber"/>
        <w:rFonts w:ascii="Arial" w:hAnsi="Arial" w:cs="Arial"/>
        <w:sz w:val="20"/>
        <w:szCs w:val="20"/>
      </w:rPr>
      <w:fldChar w:fldCharType="separate"/>
    </w:r>
    <w:r w:rsidR="00570814" w:rsidRPr="00BC1850">
      <w:rPr>
        <w:rStyle w:val="PageNumber"/>
        <w:rFonts w:ascii="Arial" w:hAnsi="Arial" w:cs="Arial"/>
        <w:sz w:val="20"/>
        <w:szCs w:val="20"/>
        <w:lang w:val="es-ES"/>
      </w:rPr>
      <w:t>2</w:t>
    </w:r>
    <w:r w:rsidR="00B6167A" w:rsidRPr="00BC1850">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062F" w14:textId="4AD3A35F" w:rsidR="00B6167A" w:rsidRPr="00127EBA" w:rsidRDefault="00105BEB" w:rsidP="00FD6E38">
    <w:pPr>
      <w:pStyle w:val="Header"/>
      <w:ind w:left="2544" w:right="100"/>
      <w:jc w:val="right"/>
      <w:rPr>
        <w:rFonts w:ascii="Arial" w:hAnsi="Arial" w:cs="Arial"/>
        <w:lang w:val="es-ES"/>
      </w:rPr>
    </w:pPr>
    <w:r w:rsidRPr="00127EBA">
      <w:rPr>
        <w:rFonts w:ascii="Arial" w:hAnsi="Arial"/>
        <w:sz w:val="20"/>
        <w:lang w:val="es-ES"/>
      </w:rPr>
      <w:t>LHE/2</w:t>
    </w:r>
    <w:r w:rsidR="00C55E04">
      <w:rPr>
        <w:rFonts w:ascii="Arial" w:hAnsi="Arial"/>
        <w:sz w:val="20"/>
        <w:lang w:val="es-ES"/>
      </w:rPr>
      <w:t>4</w:t>
    </w:r>
    <w:r w:rsidRPr="00127EBA">
      <w:rPr>
        <w:rFonts w:ascii="Arial" w:hAnsi="Arial"/>
        <w:sz w:val="20"/>
        <w:lang w:val="es-ES"/>
      </w:rPr>
      <w:t>/EXP THEMA-</w:t>
    </w:r>
    <w:r w:rsidR="00C55E04">
      <w:rPr>
        <w:rFonts w:ascii="Arial" w:hAnsi="Arial"/>
        <w:sz w:val="20"/>
        <w:lang w:val="es-ES"/>
      </w:rPr>
      <w:t>CLIMA</w:t>
    </w:r>
    <w:r w:rsidRPr="00127EBA">
      <w:rPr>
        <w:rFonts w:ascii="Arial" w:hAnsi="Arial"/>
        <w:sz w:val="20"/>
        <w:lang w:val="es-ES"/>
      </w:rPr>
      <w:t>/</w:t>
    </w:r>
    <w:r w:rsidR="0017455E">
      <w:rPr>
        <w:rFonts w:ascii="Arial" w:hAnsi="Arial"/>
        <w:sz w:val="20"/>
        <w:lang w:val="es-ES"/>
      </w:rPr>
      <w:t>4d</w:t>
    </w:r>
    <w:r w:rsidRPr="00127EBA">
      <w:rPr>
        <w:rFonts w:ascii="Arial" w:hAnsi="Arial"/>
        <w:sz w:val="20"/>
        <w:lang w:val="es-ES"/>
      </w:rPr>
      <w:t xml:space="preserve"> – page </w:t>
    </w:r>
    <w:r w:rsidR="001E4EEB" w:rsidRPr="00127EBA">
      <w:rPr>
        <w:rStyle w:val="PageNumber"/>
        <w:rFonts w:ascii="Arial" w:hAnsi="Arial" w:cs="Arial"/>
        <w:sz w:val="20"/>
      </w:rPr>
      <w:fldChar w:fldCharType="begin"/>
    </w:r>
    <w:r w:rsidR="001E4EEB" w:rsidRPr="00127EBA">
      <w:rPr>
        <w:rStyle w:val="PageNumber"/>
        <w:rFonts w:ascii="Arial" w:hAnsi="Arial" w:cs="Arial"/>
        <w:sz w:val="20"/>
        <w:lang w:val="es-ES"/>
      </w:rPr>
      <w:instrText xml:space="preserve"> PAGE </w:instrText>
    </w:r>
    <w:r w:rsidR="001E4EEB" w:rsidRPr="00127EBA">
      <w:rPr>
        <w:rStyle w:val="PageNumber"/>
        <w:rFonts w:ascii="Arial" w:hAnsi="Arial" w:cs="Arial"/>
        <w:sz w:val="20"/>
      </w:rPr>
      <w:fldChar w:fldCharType="separate"/>
    </w:r>
    <w:r w:rsidR="00570814" w:rsidRPr="00127EBA">
      <w:rPr>
        <w:rStyle w:val="PageNumber"/>
        <w:rFonts w:ascii="Arial" w:hAnsi="Arial" w:cs="Arial"/>
        <w:sz w:val="20"/>
        <w:lang w:val="es-ES"/>
      </w:rPr>
      <w:t>3</w:t>
    </w:r>
    <w:r w:rsidR="001E4EEB" w:rsidRPr="00127EBA">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1DD4" w14:textId="1AEF109B" w:rsidR="00B6167A" w:rsidRPr="00886BD8" w:rsidRDefault="00B6167A" w:rsidP="008D2296">
    <w:pPr>
      <w:pStyle w:val="Header"/>
      <w:jc w:val="right"/>
      <w:rPr>
        <w:vanish/>
      </w:rPr>
    </w:pPr>
  </w:p>
  <w:p w14:paraId="0B43FA27" w14:textId="605CD1A4" w:rsidR="00105BEB" w:rsidRPr="00F60CFE" w:rsidRDefault="00407BC1" w:rsidP="008D2296">
    <w:pPr>
      <w:pStyle w:val="Header"/>
      <w:tabs>
        <w:tab w:val="clear" w:pos="4536"/>
        <w:tab w:val="center" w:pos="5387"/>
      </w:tabs>
      <w:spacing w:after="520"/>
      <w:jc w:val="right"/>
      <w:rPr>
        <w:rFonts w:ascii="Arial" w:hAnsi="Arial" w:cs="Arial"/>
        <w:b/>
        <w:sz w:val="44"/>
        <w:szCs w:val="44"/>
        <w:lang w:val="es-ES"/>
      </w:rPr>
    </w:pPr>
    <w:r>
      <w:rPr>
        <w:noProof/>
        <w:lang w:val="en-GB"/>
      </w:rPr>
      <w:drawing>
        <wp:anchor distT="0" distB="0" distL="114300" distR="114300" simplePos="0" relativeHeight="251662336" behindDoc="1" locked="0" layoutInCell="1" allowOverlap="1" wp14:anchorId="33A0D4A5" wp14:editId="574F3E7D">
          <wp:simplePos x="0" y="0"/>
          <wp:positionH relativeFrom="column">
            <wp:posOffset>27940</wp:posOffset>
          </wp:positionH>
          <wp:positionV relativeFrom="paragraph">
            <wp:posOffset>2540</wp:posOffset>
          </wp:positionV>
          <wp:extent cx="1711325" cy="1296035"/>
          <wp:effectExtent l="0" t="0" r="3175" b="0"/>
          <wp:wrapTight wrapText="bothSides">
            <wp:wrapPolygon edited="0">
              <wp:start x="0" y="0"/>
              <wp:lineTo x="0" y="21272"/>
              <wp:lineTo x="3366" y="21272"/>
              <wp:lineTo x="21400" y="21272"/>
              <wp:lineTo x="21400" y="0"/>
              <wp:lineTo x="0" y="0"/>
            </wp:wrapPolygon>
          </wp:wrapTight>
          <wp:docPr id="995989691"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989691"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BEB" w:rsidRPr="00F60CFE">
      <w:rPr>
        <w:rFonts w:ascii="Arial" w:hAnsi="Arial"/>
        <w:b/>
        <w:sz w:val="44"/>
        <w:lang w:val="pt-PT"/>
      </w:rPr>
      <w:t>EXP THEMA-</w:t>
    </w:r>
    <w:r w:rsidR="002236C8">
      <w:rPr>
        <w:rFonts w:ascii="Arial" w:hAnsi="Arial"/>
        <w:b/>
        <w:sz w:val="44"/>
        <w:lang w:val="pt-PT"/>
      </w:rPr>
      <w:t>CLIMA</w:t>
    </w:r>
  </w:p>
  <w:p w14:paraId="49E05D1F" w14:textId="3FCC710A" w:rsidR="00105BEB" w:rsidRPr="008D2296" w:rsidRDefault="00105BEB" w:rsidP="00105BEB">
    <w:pPr>
      <w:spacing w:after="0"/>
      <w:jc w:val="right"/>
      <w:rPr>
        <w:rFonts w:ascii="Arial" w:hAnsi="Arial" w:cs="Arial"/>
        <w:b/>
        <w:szCs w:val="22"/>
        <w:lang w:val="es-ES"/>
      </w:rPr>
    </w:pPr>
    <w:r w:rsidRPr="00F60CFE">
      <w:rPr>
        <w:rFonts w:ascii="Arial" w:hAnsi="Arial"/>
        <w:b/>
        <w:lang w:val="pt-PT"/>
      </w:rPr>
      <w:t>LHE/2</w:t>
    </w:r>
    <w:r w:rsidR="002236C8">
      <w:rPr>
        <w:rFonts w:ascii="Arial" w:hAnsi="Arial"/>
        <w:b/>
        <w:lang w:val="pt-PT"/>
      </w:rPr>
      <w:t>4</w:t>
    </w:r>
    <w:r w:rsidRPr="00F60CFE">
      <w:rPr>
        <w:rFonts w:ascii="Arial" w:hAnsi="Arial"/>
        <w:b/>
        <w:lang w:val="pt-PT"/>
      </w:rPr>
      <w:t>/</w:t>
    </w:r>
    <w:bookmarkStart w:id="8" w:name="_Hlk94624970"/>
    <w:r w:rsidRPr="00F60CFE">
      <w:rPr>
        <w:rFonts w:ascii="Arial" w:hAnsi="Arial"/>
        <w:b/>
        <w:lang w:val="pt-PT"/>
      </w:rPr>
      <w:t>EXP THEMA-</w:t>
    </w:r>
    <w:r w:rsidR="002236C8">
      <w:rPr>
        <w:rFonts w:ascii="Arial" w:hAnsi="Arial"/>
        <w:b/>
        <w:lang w:val="pt-PT"/>
      </w:rPr>
      <w:t>CLIMA</w:t>
    </w:r>
    <w:r w:rsidRPr="00F60CFE">
      <w:rPr>
        <w:rFonts w:ascii="Arial" w:hAnsi="Arial"/>
        <w:b/>
        <w:lang w:val="pt-PT"/>
      </w:rPr>
      <w:t>/</w:t>
    </w:r>
    <w:r w:rsidR="002936F8">
      <w:rPr>
        <w:rFonts w:ascii="Arial" w:hAnsi="Arial"/>
        <w:b/>
        <w:lang w:val="pt-PT"/>
      </w:rPr>
      <w:t>4d</w:t>
    </w:r>
  </w:p>
  <w:bookmarkEnd w:id="8"/>
  <w:p w14:paraId="3F614105" w14:textId="43562791" w:rsidR="00105BEB" w:rsidRPr="00F60CFE" w:rsidRDefault="00105BEB" w:rsidP="00105BEB">
    <w:pPr>
      <w:spacing w:after="0"/>
      <w:jc w:val="right"/>
      <w:rPr>
        <w:rFonts w:ascii="Arial" w:eastAsiaTheme="minorEastAsia" w:hAnsi="Arial" w:cs="Arial"/>
        <w:b/>
        <w:szCs w:val="22"/>
      </w:rPr>
    </w:pPr>
    <w:r w:rsidRPr="00F60CFE">
      <w:rPr>
        <w:rFonts w:ascii="Arial" w:hAnsi="Arial"/>
        <w:b/>
        <w:lang w:val="pt-PT"/>
      </w:rPr>
      <w:t xml:space="preserve">Paris, </w:t>
    </w:r>
    <w:r w:rsidR="002E4780">
      <w:rPr>
        <w:rFonts w:ascii="Arial" w:hAnsi="Arial"/>
        <w:b/>
        <w:lang w:val="pt-PT"/>
      </w:rPr>
      <w:t>7</w:t>
    </w:r>
    <w:r w:rsidR="006E31B2">
      <w:rPr>
        <w:rFonts w:ascii="Arial" w:hAnsi="Arial"/>
        <w:b/>
        <w:lang w:val="pt-PT"/>
      </w:rPr>
      <w:t xml:space="preserve"> </w:t>
    </w:r>
    <w:r w:rsidR="002236C8">
      <w:rPr>
        <w:rFonts w:ascii="Arial" w:hAnsi="Arial"/>
        <w:b/>
        <w:lang w:val="pt-PT"/>
      </w:rPr>
      <w:t>June</w:t>
    </w:r>
    <w:r w:rsidRPr="00F60CFE">
      <w:rPr>
        <w:rFonts w:ascii="Arial" w:hAnsi="Arial"/>
        <w:b/>
        <w:lang w:val="pt-PT"/>
      </w:rPr>
      <w:t xml:space="preserve"> 202</w:t>
    </w:r>
    <w:r w:rsidR="002236C8">
      <w:rPr>
        <w:rFonts w:ascii="Arial" w:hAnsi="Arial"/>
        <w:b/>
        <w:lang w:val="pt-PT"/>
      </w:rPr>
      <w:t>4</w:t>
    </w:r>
  </w:p>
  <w:p w14:paraId="03DAB48F" w14:textId="7B489E7F" w:rsidR="00AE0CCF" w:rsidRPr="00F60CFE" w:rsidRDefault="00AE0CCF" w:rsidP="009F265A">
    <w:pPr>
      <w:spacing w:after="0"/>
      <w:jc w:val="right"/>
      <w:rPr>
        <w:rFonts w:ascii="Arial" w:hAnsi="Arial" w:cs="Arial"/>
        <w:b/>
        <w:szCs w:val="22"/>
      </w:rPr>
    </w:pPr>
    <w:proofErr w:type="gramStart"/>
    <w:r w:rsidRPr="00105F2A">
      <w:rPr>
        <w:rFonts w:ascii="Arial" w:hAnsi="Arial"/>
        <w:b/>
      </w:rPr>
      <w:t>Original:</w:t>
    </w:r>
    <w:proofErr w:type="gramEnd"/>
    <w:r w:rsidRPr="00105F2A">
      <w:rPr>
        <w:rFonts w:ascii="Arial" w:hAnsi="Arial"/>
        <w:b/>
      </w:rPr>
      <w:t xml:space="preserve"> English</w:t>
    </w:r>
  </w:p>
  <w:p w14:paraId="784D8DE4" w14:textId="24FFE360" w:rsidR="00B6167A" w:rsidRDefault="00B6167A">
    <w:pPr>
      <w:pStyle w:val="Header"/>
      <w:rPr>
        <w:vanish/>
      </w:rPr>
    </w:pPr>
  </w:p>
  <w:p w14:paraId="1F9A2E71" w14:textId="77777777" w:rsidR="00407BC1" w:rsidRPr="00886BD8" w:rsidRDefault="00407BC1">
    <w:pPr>
      <w:pStyle w:val="Header"/>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874593"/>
    <w:multiLevelType w:val="hybridMultilevel"/>
    <w:tmpl w:val="3632A1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41B216B"/>
    <w:multiLevelType w:val="multilevel"/>
    <w:tmpl w:val="5BB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07BFE"/>
    <w:multiLevelType w:val="hybridMultilevel"/>
    <w:tmpl w:val="6CC67502"/>
    <w:lvl w:ilvl="0" w:tplc="3864E48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69037826">
    <w:abstractNumId w:val="7"/>
  </w:num>
  <w:num w:numId="2" w16cid:durableId="1781993912">
    <w:abstractNumId w:val="6"/>
  </w:num>
  <w:num w:numId="3" w16cid:durableId="38207843">
    <w:abstractNumId w:val="1"/>
  </w:num>
  <w:num w:numId="4" w16cid:durableId="323359568">
    <w:abstractNumId w:val="10"/>
  </w:num>
  <w:num w:numId="5" w16cid:durableId="748893152">
    <w:abstractNumId w:val="8"/>
  </w:num>
  <w:num w:numId="6" w16cid:durableId="810168608">
    <w:abstractNumId w:val="0"/>
  </w:num>
  <w:num w:numId="7" w16cid:durableId="1693913810">
    <w:abstractNumId w:val="3"/>
  </w:num>
  <w:num w:numId="8" w16cid:durableId="228617101">
    <w:abstractNumId w:val="5"/>
  </w:num>
  <w:num w:numId="9" w16cid:durableId="1883442986">
    <w:abstractNumId w:val="9"/>
  </w:num>
  <w:num w:numId="10" w16cid:durableId="629088898">
    <w:abstractNumId w:val="4"/>
  </w:num>
  <w:num w:numId="11" w16cid:durableId="1269775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04ED"/>
    <w:rsid w:val="000016A4"/>
    <w:rsid w:val="000019DB"/>
    <w:rsid w:val="000047CC"/>
    <w:rsid w:val="000120FD"/>
    <w:rsid w:val="00021831"/>
    <w:rsid w:val="00021EA6"/>
    <w:rsid w:val="0002494E"/>
    <w:rsid w:val="00026986"/>
    <w:rsid w:val="000324A2"/>
    <w:rsid w:val="000341CC"/>
    <w:rsid w:val="00037ECF"/>
    <w:rsid w:val="00041085"/>
    <w:rsid w:val="0004317A"/>
    <w:rsid w:val="00047E58"/>
    <w:rsid w:val="00050FCC"/>
    <w:rsid w:val="00052F86"/>
    <w:rsid w:val="000571BA"/>
    <w:rsid w:val="00057E13"/>
    <w:rsid w:val="00066EBA"/>
    <w:rsid w:val="00067FA4"/>
    <w:rsid w:val="00073D20"/>
    <w:rsid w:val="000755E1"/>
    <w:rsid w:val="00082DE4"/>
    <w:rsid w:val="00084F7C"/>
    <w:rsid w:val="00085541"/>
    <w:rsid w:val="00086172"/>
    <w:rsid w:val="00093063"/>
    <w:rsid w:val="000A18EA"/>
    <w:rsid w:val="000A34CE"/>
    <w:rsid w:val="000B2521"/>
    <w:rsid w:val="000B7A9C"/>
    <w:rsid w:val="000C65E4"/>
    <w:rsid w:val="000D4BA0"/>
    <w:rsid w:val="000E01E2"/>
    <w:rsid w:val="000F2688"/>
    <w:rsid w:val="000F6B16"/>
    <w:rsid w:val="00101B98"/>
    <w:rsid w:val="00105BEB"/>
    <w:rsid w:val="00105F2A"/>
    <w:rsid w:val="001064D8"/>
    <w:rsid w:val="00106B72"/>
    <w:rsid w:val="001164EF"/>
    <w:rsid w:val="0011750D"/>
    <w:rsid w:val="0012095C"/>
    <w:rsid w:val="00125D40"/>
    <w:rsid w:val="00127EBA"/>
    <w:rsid w:val="0013565A"/>
    <w:rsid w:val="00136B0E"/>
    <w:rsid w:val="00137A0F"/>
    <w:rsid w:val="001412DE"/>
    <w:rsid w:val="00144A4D"/>
    <w:rsid w:val="00150C9E"/>
    <w:rsid w:val="00151351"/>
    <w:rsid w:val="001535EA"/>
    <w:rsid w:val="00154073"/>
    <w:rsid w:val="001555A8"/>
    <w:rsid w:val="0015588B"/>
    <w:rsid w:val="001656C7"/>
    <w:rsid w:val="00172D64"/>
    <w:rsid w:val="0017455E"/>
    <w:rsid w:val="00174B39"/>
    <w:rsid w:val="001764CB"/>
    <w:rsid w:val="00183B4A"/>
    <w:rsid w:val="001943EE"/>
    <w:rsid w:val="001966C1"/>
    <w:rsid w:val="001A431C"/>
    <w:rsid w:val="001A547C"/>
    <w:rsid w:val="001A5DBA"/>
    <w:rsid w:val="001B36AB"/>
    <w:rsid w:val="001C1B4D"/>
    <w:rsid w:val="001C4340"/>
    <w:rsid w:val="001C5BA7"/>
    <w:rsid w:val="001D00B5"/>
    <w:rsid w:val="001D14DD"/>
    <w:rsid w:val="001D3B29"/>
    <w:rsid w:val="001E4EEB"/>
    <w:rsid w:val="001E6026"/>
    <w:rsid w:val="001F3696"/>
    <w:rsid w:val="001F37CA"/>
    <w:rsid w:val="001F46F6"/>
    <w:rsid w:val="00204B37"/>
    <w:rsid w:val="00204DF5"/>
    <w:rsid w:val="00207CCE"/>
    <w:rsid w:val="002105E4"/>
    <w:rsid w:val="002150F9"/>
    <w:rsid w:val="00220182"/>
    <w:rsid w:val="002236C8"/>
    <w:rsid w:val="00237E43"/>
    <w:rsid w:val="002438D4"/>
    <w:rsid w:val="002539FB"/>
    <w:rsid w:val="0026126F"/>
    <w:rsid w:val="0027198B"/>
    <w:rsid w:val="00271FBB"/>
    <w:rsid w:val="0027426A"/>
    <w:rsid w:val="00274B9B"/>
    <w:rsid w:val="00277839"/>
    <w:rsid w:val="002856CB"/>
    <w:rsid w:val="00285DB7"/>
    <w:rsid w:val="00286C0C"/>
    <w:rsid w:val="00290D5F"/>
    <w:rsid w:val="0029153E"/>
    <w:rsid w:val="002936F8"/>
    <w:rsid w:val="002938F2"/>
    <w:rsid w:val="002A44BA"/>
    <w:rsid w:val="002A5CAC"/>
    <w:rsid w:val="002A6A01"/>
    <w:rsid w:val="002A7763"/>
    <w:rsid w:val="002B68A0"/>
    <w:rsid w:val="002C3A40"/>
    <w:rsid w:val="002C5280"/>
    <w:rsid w:val="002D396D"/>
    <w:rsid w:val="002E258E"/>
    <w:rsid w:val="002E4780"/>
    <w:rsid w:val="0030118C"/>
    <w:rsid w:val="003037FF"/>
    <w:rsid w:val="00307B6A"/>
    <w:rsid w:val="003136F8"/>
    <w:rsid w:val="0031478C"/>
    <w:rsid w:val="003215A4"/>
    <w:rsid w:val="00325908"/>
    <w:rsid w:val="00325B01"/>
    <w:rsid w:val="00326DE7"/>
    <w:rsid w:val="003357E5"/>
    <w:rsid w:val="00343A85"/>
    <w:rsid w:val="00345E34"/>
    <w:rsid w:val="003558F4"/>
    <w:rsid w:val="0035648A"/>
    <w:rsid w:val="00363995"/>
    <w:rsid w:val="00365869"/>
    <w:rsid w:val="003744E8"/>
    <w:rsid w:val="00376CAD"/>
    <w:rsid w:val="00383D34"/>
    <w:rsid w:val="003841AE"/>
    <w:rsid w:val="00386A5F"/>
    <w:rsid w:val="00393412"/>
    <w:rsid w:val="0039446E"/>
    <w:rsid w:val="003949CE"/>
    <w:rsid w:val="003A7D51"/>
    <w:rsid w:val="003B1A62"/>
    <w:rsid w:val="003B2456"/>
    <w:rsid w:val="003C523E"/>
    <w:rsid w:val="003C7065"/>
    <w:rsid w:val="003D47B8"/>
    <w:rsid w:val="003D7609"/>
    <w:rsid w:val="003E0024"/>
    <w:rsid w:val="003E0E69"/>
    <w:rsid w:val="003E52AA"/>
    <w:rsid w:val="003F045A"/>
    <w:rsid w:val="003F359E"/>
    <w:rsid w:val="003F39B4"/>
    <w:rsid w:val="00407BC1"/>
    <w:rsid w:val="004108B6"/>
    <w:rsid w:val="00432EF7"/>
    <w:rsid w:val="00434773"/>
    <w:rsid w:val="00447C66"/>
    <w:rsid w:val="00451E22"/>
    <w:rsid w:val="00454CD8"/>
    <w:rsid w:val="00455200"/>
    <w:rsid w:val="004558AF"/>
    <w:rsid w:val="00455DEA"/>
    <w:rsid w:val="0045699A"/>
    <w:rsid w:val="00471B34"/>
    <w:rsid w:val="0047693C"/>
    <w:rsid w:val="00483688"/>
    <w:rsid w:val="00484206"/>
    <w:rsid w:val="0048640B"/>
    <w:rsid w:val="00490429"/>
    <w:rsid w:val="00491CA0"/>
    <w:rsid w:val="00496999"/>
    <w:rsid w:val="004A63DB"/>
    <w:rsid w:val="004B2A50"/>
    <w:rsid w:val="004B2F0F"/>
    <w:rsid w:val="004B4D47"/>
    <w:rsid w:val="004C4D03"/>
    <w:rsid w:val="004D5B56"/>
    <w:rsid w:val="004E056C"/>
    <w:rsid w:val="004E2817"/>
    <w:rsid w:val="004E3EA7"/>
    <w:rsid w:val="004E62DC"/>
    <w:rsid w:val="004F2112"/>
    <w:rsid w:val="005016FB"/>
    <w:rsid w:val="00511955"/>
    <w:rsid w:val="00511D17"/>
    <w:rsid w:val="00516150"/>
    <w:rsid w:val="0051699F"/>
    <w:rsid w:val="005210C7"/>
    <w:rsid w:val="00527330"/>
    <w:rsid w:val="0052744F"/>
    <w:rsid w:val="005277E9"/>
    <w:rsid w:val="00532E7A"/>
    <w:rsid w:val="00540418"/>
    <w:rsid w:val="005414A1"/>
    <w:rsid w:val="005637A6"/>
    <w:rsid w:val="00564AC0"/>
    <w:rsid w:val="00566DC5"/>
    <w:rsid w:val="00570814"/>
    <w:rsid w:val="005804CC"/>
    <w:rsid w:val="00583611"/>
    <w:rsid w:val="00587D66"/>
    <w:rsid w:val="0059515A"/>
    <w:rsid w:val="0059792D"/>
    <w:rsid w:val="005A48D3"/>
    <w:rsid w:val="005C0660"/>
    <w:rsid w:val="005C2D77"/>
    <w:rsid w:val="005C709D"/>
    <w:rsid w:val="005D3E69"/>
    <w:rsid w:val="005D5F76"/>
    <w:rsid w:val="005E0377"/>
    <w:rsid w:val="005E3553"/>
    <w:rsid w:val="005F3ED7"/>
    <w:rsid w:val="005F55CB"/>
    <w:rsid w:val="00601DD6"/>
    <w:rsid w:val="00603F71"/>
    <w:rsid w:val="00627E2F"/>
    <w:rsid w:val="00636760"/>
    <w:rsid w:val="00644077"/>
    <w:rsid w:val="006515C9"/>
    <w:rsid w:val="00652318"/>
    <w:rsid w:val="00656729"/>
    <w:rsid w:val="00660BC5"/>
    <w:rsid w:val="00665EF4"/>
    <w:rsid w:val="0067005F"/>
    <w:rsid w:val="00677DF6"/>
    <w:rsid w:val="006818D7"/>
    <w:rsid w:val="00691B29"/>
    <w:rsid w:val="00697F77"/>
    <w:rsid w:val="006A0D86"/>
    <w:rsid w:val="006A1249"/>
    <w:rsid w:val="006A3C4B"/>
    <w:rsid w:val="006A3C5A"/>
    <w:rsid w:val="006A778E"/>
    <w:rsid w:val="006B0EDC"/>
    <w:rsid w:val="006B29D3"/>
    <w:rsid w:val="006B37B5"/>
    <w:rsid w:val="006C0911"/>
    <w:rsid w:val="006C3BEA"/>
    <w:rsid w:val="006D3C96"/>
    <w:rsid w:val="006D46FB"/>
    <w:rsid w:val="006D5797"/>
    <w:rsid w:val="006E31B2"/>
    <w:rsid w:val="006E7E1A"/>
    <w:rsid w:val="006F0449"/>
    <w:rsid w:val="006F3575"/>
    <w:rsid w:val="006F46C7"/>
    <w:rsid w:val="00701B11"/>
    <w:rsid w:val="00707540"/>
    <w:rsid w:val="00723FD7"/>
    <w:rsid w:val="007420D3"/>
    <w:rsid w:val="00746204"/>
    <w:rsid w:val="00747715"/>
    <w:rsid w:val="0074791F"/>
    <w:rsid w:val="00750138"/>
    <w:rsid w:val="00751220"/>
    <w:rsid w:val="00751A0B"/>
    <w:rsid w:val="00753DA3"/>
    <w:rsid w:val="00755E31"/>
    <w:rsid w:val="00761557"/>
    <w:rsid w:val="00764F50"/>
    <w:rsid w:val="00770A92"/>
    <w:rsid w:val="0077128C"/>
    <w:rsid w:val="00772402"/>
    <w:rsid w:val="00774A47"/>
    <w:rsid w:val="00790C65"/>
    <w:rsid w:val="00795991"/>
    <w:rsid w:val="007A7D45"/>
    <w:rsid w:val="007B0AE6"/>
    <w:rsid w:val="007B5137"/>
    <w:rsid w:val="007C1B00"/>
    <w:rsid w:val="007D13D9"/>
    <w:rsid w:val="007D31CE"/>
    <w:rsid w:val="007D5BB7"/>
    <w:rsid w:val="007E0621"/>
    <w:rsid w:val="007E2DBC"/>
    <w:rsid w:val="007E4E37"/>
    <w:rsid w:val="007F0C31"/>
    <w:rsid w:val="007F3697"/>
    <w:rsid w:val="007F4B07"/>
    <w:rsid w:val="00800498"/>
    <w:rsid w:val="0083488D"/>
    <w:rsid w:val="008355CA"/>
    <w:rsid w:val="00836F47"/>
    <w:rsid w:val="008466C3"/>
    <w:rsid w:val="00851458"/>
    <w:rsid w:val="00861A47"/>
    <w:rsid w:val="008645BB"/>
    <w:rsid w:val="008707FF"/>
    <w:rsid w:val="008724E5"/>
    <w:rsid w:val="00874EE6"/>
    <w:rsid w:val="00880AEF"/>
    <w:rsid w:val="00886BD8"/>
    <w:rsid w:val="00893C3B"/>
    <w:rsid w:val="00893EB0"/>
    <w:rsid w:val="00896278"/>
    <w:rsid w:val="008A2D69"/>
    <w:rsid w:val="008B086C"/>
    <w:rsid w:val="008B1039"/>
    <w:rsid w:val="008B1F33"/>
    <w:rsid w:val="008B2898"/>
    <w:rsid w:val="008B324B"/>
    <w:rsid w:val="008B5361"/>
    <w:rsid w:val="008B53B6"/>
    <w:rsid w:val="008B7874"/>
    <w:rsid w:val="008C0F9B"/>
    <w:rsid w:val="008C47F8"/>
    <w:rsid w:val="008D01F0"/>
    <w:rsid w:val="008D2296"/>
    <w:rsid w:val="008D3BF7"/>
    <w:rsid w:val="008D3E74"/>
    <w:rsid w:val="008E42B8"/>
    <w:rsid w:val="008E6255"/>
    <w:rsid w:val="008F16C6"/>
    <w:rsid w:val="008F34A1"/>
    <w:rsid w:val="008F422F"/>
    <w:rsid w:val="008F7B13"/>
    <w:rsid w:val="009121CE"/>
    <w:rsid w:val="009127D8"/>
    <w:rsid w:val="0091583E"/>
    <w:rsid w:val="00917177"/>
    <w:rsid w:val="009211BE"/>
    <w:rsid w:val="00921F65"/>
    <w:rsid w:val="009265DE"/>
    <w:rsid w:val="00936A1B"/>
    <w:rsid w:val="009376AC"/>
    <w:rsid w:val="00940EC7"/>
    <w:rsid w:val="009618BE"/>
    <w:rsid w:val="00963F6C"/>
    <w:rsid w:val="0097349C"/>
    <w:rsid w:val="00975085"/>
    <w:rsid w:val="009814A5"/>
    <w:rsid w:val="00987645"/>
    <w:rsid w:val="00994A74"/>
    <w:rsid w:val="009A6A05"/>
    <w:rsid w:val="009B236F"/>
    <w:rsid w:val="009B55AC"/>
    <w:rsid w:val="009C5316"/>
    <w:rsid w:val="009C6C03"/>
    <w:rsid w:val="009D4547"/>
    <w:rsid w:val="009D5910"/>
    <w:rsid w:val="009D5E38"/>
    <w:rsid w:val="009D7913"/>
    <w:rsid w:val="009E73DA"/>
    <w:rsid w:val="009F1955"/>
    <w:rsid w:val="009F265A"/>
    <w:rsid w:val="009F2C29"/>
    <w:rsid w:val="009F34A4"/>
    <w:rsid w:val="009F3988"/>
    <w:rsid w:val="00A04204"/>
    <w:rsid w:val="00A04A8D"/>
    <w:rsid w:val="00A101A7"/>
    <w:rsid w:val="00A150C7"/>
    <w:rsid w:val="00A15704"/>
    <w:rsid w:val="00A16D7A"/>
    <w:rsid w:val="00A16DFA"/>
    <w:rsid w:val="00A3296A"/>
    <w:rsid w:val="00A347E5"/>
    <w:rsid w:val="00A36E4C"/>
    <w:rsid w:val="00A4330E"/>
    <w:rsid w:val="00A4545A"/>
    <w:rsid w:val="00A519A2"/>
    <w:rsid w:val="00A56E13"/>
    <w:rsid w:val="00A57F9A"/>
    <w:rsid w:val="00A6407E"/>
    <w:rsid w:val="00A70883"/>
    <w:rsid w:val="00A77AEB"/>
    <w:rsid w:val="00A84806"/>
    <w:rsid w:val="00A86042"/>
    <w:rsid w:val="00A90BF8"/>
    <w:rsid w:val="00A92AE0"/>
    <w:rsid w:val="00AA0784"/>
    <w:rsid w:val="00AA444A"/>
    <w:rsid w:val="00AB1528"/>
    <w:rsid w:val="00AC00A2"/>
    <w:rsid w:val="00AC4EBA"/>
    <w:rsid w:val="00AD1414"/>
    <w:rsid w:val="00AE0CCF"/>
    <w:rsid w:val="00AE1B18"/>
    <w:rsid w:val="00AE1BBF"/>
    <w:rsid w:val="00AE7F92"/>
    <w:rsid w:val="00AF1C32"/>
    <w:rsid w:val="00AF2051"/>
    <w:rsid w:val="00AF3417"/>
    <w:rsid w:val="00B11AE3"/>
    <w:rsid w:val="00B21F51"/>
    <w:rsid w:val="00B222BE"/>
    <w:rsid w:val="00B23201"/>
    <w:rsid w:val="00B40971"/>
    <w:rsid w:val="00B42F57"/>
    <w:rsid w:val="00B4491A"/>
    <w:rsid w:val="00B46D2E"/>
    <w:rsid w:val="00B6167A"/>
    <w:rsid w:val="00B65E0F"/>
    <w:rsid w:val="00B7244E"/>
    <w:rsid w:val="00B766B1"/>
    <w:rsid w:val="00B77968"/>
    <w:rsid w:val="00B8417D"/>
    <w:rsid w:val="00B96814"/>
    <w:rsid w:val="00B96CCA"/>
    <w:rsid w:val="00B9703D"/>
    <w:rsid w:val="00B973B5"/>
    <w:rsid w:val="00BA1D83"/>
    <w:rsid w:val="00BB1EDC"/>
    <w:rsid w:val="00BC1850"/>
    <w:rsid w:val="00BC3EB9"/>
    <w:rsid w:val="00BD59BD"/>
    <w:rsid w:val="00BF5883"/>
    <w:rsid w:val="00C031C5"/>
    <w:rsid w:val="00C13E9D"/>
    <w:rsid w:val="00C14D6F"/>
    <w:rsid w:val="00C1651E"/>
    <w:rsid w:val="00C1741B"/>
    <w:rsid w:val="00C20679"/>
    <w:rsid w:val="00C251DE"/>
    <w:rsid w:val="00C337EC"/>
    <w:rsid w:val="00C33F8D"/>
    <w:rsid w:val="00C4406C"/>
    <w:rsid w:val="00C47A3D"/>
    <w:rsid w:val="00C55E04"/>
    <w:rsid w:val="00C578EC"/>
    <w:rsid w:val="00C61E7F"/>
    <w:rsid w:val="00C6478B"/>
    <w:rsid w:val="00C65379"/>
    <w:rsid w:val="00C66FD1"/>
    <w:rsid w:val="00C67603"/>
    <w:rsid w:val="00C70EFC"/>
    <w:rsid w:val="00C853B7"/>
    <w:rsid w:val="00C8546C"/>
    <w:rsid w:val="00C86104"/>
    <w:rsid w:val="00C86AB5"/>
    <w:rsid w:val="00CA6E42"/>
    <w:rsid w:val="00CB0F37"/>
    <w:rsid w:val="00CB3C62"/>
    <w:rsid w:val="00CB5CC5"/>
    <w:rsid w:val="00CC2BC6"/>
    <w:rsid w:val="00CC4587"/>
    <w:rsid w:val="00CC6573"/>
    <w:rsid w:val="00CC7A0C"/>
    <w:rsid w:val="00CD1E38"/>
    <w:rsid w:val="00CD6638"/>
    <w:rsid w:val="00CE1D16"/>
    <w:rsid w:val="00CE2586"/>
    <w:rsid w:val="00D01751"/>
    <w:rsid w:val="00D04F53"/>
    <w:rsid w:val="00D12DE2"/>
    <w:rsid w:val="00D31859"/>
    <w:rsid w:val="00D35ABA"/>
    <w:rsid w:val="00D367E7"/>
    <w:rsid w:val="00D404B7"/>
    <w:rsid w:val="00D46EBD"/>
    <w:rsid w:val="00D6491A"/>
    <w:rsid w:val="00D65BC5"/>
    <w:rsid w:val="00D67A76"/>
    <w:rsid w:val="00D71903"/>
    <w:rsid w:val="00D71E1B"/>
    <w:rsid w:val="00D8091D"/>
    <w:rsid w:val="00D809E5"/>
    <w:rsid w:val="00D81948"/>
    <w:rsid w:val="00D81F2D"/>
    <w:rsid w:val="00D8746F"/>
    <w:rsid w:val="00D91588"/>
    <w:rsid w:val="00D9501F"/>
    <w:rsid w:val="00D97D46"/>
    <w:rsid w:val="00DB00EE"/>
    <w:rsid w:val="00DB18B3"/>
    <w:rsid w:val="00DB50D5"/>
    <w:rsid w:val="00DB562B"/>
    <w:rsid w:val="00DC410B"/>
    <w:rsid w:val="00DC41ED"/>
    <w:rsid w:val="00DC6DFF"/>
    <w:rsid w:val="00DE158B"/>
    <w:rsid w:val="00DE5793"/>
    <w:rsid w:val="00DE7275"/>
    <w:rsid w:val="00DF3DA3"/>
    <w:rsid w:val="00DF7715"/>
    <w:rsid w:val="00E00DB1"/>
    <w:rsid w:val="00E047E6"/>
    <w:rsid w:val="00E06A00"/>
    <w:rsid w:val="00E13BD9"/>
    <w:rsid w:val="00E152FF"/>
    <w:rsid w:val="00E201E7"/>
    <w:rsid w:val="00E213BE"/>
    <w:rsid w:val="00E22B99"/>
    <w:rsid w:val="00E232F4"/>
    <w:rsid w:val="00E258D9"/>
    <w:rsid w:val="00E3509F"/>
    <w:rsid w:val="00E35D55"/>
    <w:rsid w:val="00E40039"/>
    <w:rsid w:val="00E4352B"/>
    <w:rsid w:val="00E439CA"/>
    <w:rsid w:val="00E44160"/>
    <w:rsid w:val="00E47D28"/>
    <w:rsid w:val="00E5219B"/>
    <w:rsid w:val="00E57065"/>
    <w:rsid w:val="00E704D0"/>
    <w:rsid w:val="00E722A1"/>
    <w:rsid w:val="00E72B36"/>
    <w:rsid w:val="00E7558C"/>
    <w:rsid w:val="00E76EAD"/>
    <w:rsid w:val="00E82319"/>
    <w:rsid w:val="00E9263B"/>
    <w:rsid w:val="00E93F6E"/>
    <w:rsid w:val="00EA198F"/>
    <w:rsid w:val="00EC438D"/>
    <w:rsid w:val="00EC5010"/>
    <w:rsid w:val="00ED0296"/>
    <w:rsid w:val="00ED339F"/>
    <w:rsid w:val="00EE1F10"/>
    <w:rsid w:val="00EE7F54"/>
    <w:rsid w:val="00EF0BCB"/>
    <w:rsid w:val="00EF0E74"/>
    <w:rsid w:val="00EF1566"/>
    <w:rsid w:val="00EF5734"/>
    <w:rsid w:val="00EF5737"/>
    <w:rsid w:val="00EF613D"/>
    <w:rsid w:val="00F00E8A"/>
    <w:rsid w:val="00F02FCF"/>
    <w:rsid w:val="00F06861"/>
    <w:rsid w:val="00F143E0"/>
    <w:rsid w:val="00F15A22"/>
    <w:rsid w:val="00F216B1"/>
    <w:rsid w:val="00F228E9"/>
    <w:rsid w:val="00F25543"/>
    <w:rsid w:val="00F25FEB"/>
    <w:rsid w:val="00F33650"/>
    <w:rsid w:val="00F37362"/>
    <w:rsid w:val="00F4508F"/>
    <w:rsid w:val="00F4564A"/>
    <w:rsid w:val="00F473CB"/>
    <w:rsid w:val="00F50245"/>
    <w:rsid w:val="00F531F3"/>
    <w:rsid w:val="00F60CFE"/>
    <w:rsid w:val="00F633A0"/>
    <w:rsid w:val="00F63DDA"/>
    <w:rsid w:val="00F64434"/>
    <w:rsid w:val="00F675CE"/>
    <w:rsid w:val="00F70858"/>
    <w:rsid w:val="00F718F1"/>
    <w:rsid w:val="00F728F3"/>
    <w:rsid w:val="00F7397F"/>
    <w:rsid w:val="00F73E9D"/>
    <w:rsid w:val="00F75949"/>
    <w:rsid w:val="00F91ED8"/>
    <w:rsid w:val="00F941F0"/>
    <w:rsid w:val="00FA013D"/>
    <w:rsid w:val="00FB1BB0"/>
    <w:rsid w:val="00FC0DF0"/>
    <w:rsid w:val="00FC38B4"/>
    <w:rsid w:val="00FC4318"/>
    <w:rsid w:val="00FC6454"/>
    <w:rsid w:val="00FC79DD"/>
    <w:rsid w:val="00FD1941"/>
    <w:rsid w:val="00FD3235"/>
    <w:rsid w:val="00FD659D"/>
    <w:rsid w:val="00FD66D1"/>
    <w:rsid w:val="00FD6E38"/>
    <w:rsid w:val="00FE5797"/>
    <w:rsid w:val="00FF2B1D"/>
    <w:rsid w:val="00FF62B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AE0D3"/>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1">
    <w:name w:val="heading 1"/>
    <w:basedOn w:val="Normal"/>
    <w:next w:val="Normal"/>
    <w:link w:val="Heading1Char"/>
    <w:uiPriority w:val="9"/>
    <w:qFormat/>
    <w:rsid w:val="0017455E"/>
    <w:pPr>
      <w:keepNext/>
      <w:keepLines/>
      <w:spacing w:before="240" w:after="0"/>
      <w:outlineLvl w:val="0"/>
    </w:pPr>
    <w:rPr>
      <w:rFonts w:ascii="Calibri Light" w:eastAsia="DengXian Light" w:hAnsi="Calibri Light"/>
      <w:color w:val="2F5496"/>
      <w:sz w:val="32"/>
      <w:szCs w:val="32"/>
      <w:lang w:val="en-GB" w:eastAsia="en-US"/>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5BC5"/>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C66FD1"/>
    <w:pPr>
      <w:spacing w:after="120"/>
      <w:jc w:val="both"/>
    </w:pPr>
    <w:rPr>
      <w:rFonts w:ascii="Arial" w:eastAsia="Times New Roman" w:hAnsi="Arial" w:cs="Arial"/>
      <w:snapToGrid w:val="0"/>
      <w:sz w:val="22"/>
      <w:szCs w:val="22"/>
      <w:lang w:val="en-AU"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D65BC5"/>
    <w:rPr>
      <w:rFonts w:asciiTheme="majorHAnsi" w:eastAsiaTheme="majorEastAsia" w:hAnsiTheme="majorHAnsi" w:cstheme="majorBidi"/>
      <w:color w:val="243F60" w:themeColor="accent1" w:themeShade="7F"/>
      <w:sz w:val="24"/>
      <w:szCs w:val="24"/>
      <w:lang w:val="fr-FR"/>
    </w:rPr>
  </w:style>
  <w:style w:type="paragraph" w:customStyle="1" w:styleId="lmttranslationsastextitem">
    <w:name w:val="lmt__translations_as_text__item"/>
    <w:basedOn w:val="Normal"/>
    <w:rsid w:val="00D65BC5"/>
    <w:pPr>
      <w:spacing w:before="100" w:beforeAutospacing="1" w:after="100" w:afterAutospacing="1"/>
    </w:pPr>
    <w:rPr>
      <w:sz w:val="24"/>
      <w:lang w:eastAsia="zh-CN"/>
    </w:rPr>
  </w:style>
  <w:style w:type="paragraph" w:styleId="FootnoteText">
    <w:name w:val="footnote text"/>
    <w:basedOn w:val="Normal"/>
    <w:link w:val="FootnoteTextChar"/>
    <w:uiPriority w:val="99"/>
    <w:semiHidden/>
    <w:unhideWhenUsed/>
    <w:rsid w:val="00451E22"/>
    <w:pPr>
      <w:spacing w:after="0"/>
    </w:pPr>
    <w:rPr>
      <w:sz w:val="20"/>
      <w:szCs w:val="20"/>
      <w:lang w:eastAsia="en-GB"/>
    </w:rPr>
  </w:style>
  <w:style w:type="character" w:customStyle="1" w:styleId="FootnoteTextChar">
    <w:name w:val="Footnote Text Char"/>
    <w:basedOn w:val="DefaultParagraphFont"/>
    <w:link w:val="FootnoteText"/>
    <w:uiPriority w:val="99"/>
    <w:semiHidden/>
    <w:rsid w:val="00451E22"/>
    <w:rPr>
      <w:rFonts w:ascii="Times New Roman" w:eastAsia="Times New Roman" w:hAnsi="Times New Roman"/>
      <w:lang w:val="fr-FR" w:eastAsia="en-GB"/>
    </w:rPr>
  </w:style>
  <w:style w:type="character" w:styleId="FootnoteReference">
    <w:name w:val="footnote reference"/>
    <w:basedOn w:val="DefaultParagraphFont"/>
    <w:uiPriority w:val="99"/>
    <w:semiHidden/>
    <w:unhideWhenUsed/>
    <w:rsid w:val="00451E22"/>
    <w:rPr>
      <w:vertAlign w:val="superscript"/>
    </w:rPr>
  </w:style>
  <w:style w:type="paragraph" w:customStyle="1" w:styleId="gmail-p1">
    <w:name w:val="gmail-p1"/>
    <w:basedOn w:val="Normal"/>
    <w:rsid w:val="00451E22"/>
    <w:pPr>
      <w:spacing w:before="100" w:beforeAutospacing="1" w:after="100" w:afterAutospacing="1"/>
    </w:pPr>
    <w:rPr>
      <w:rFonts w:ascii="Calibri" w:eastAsiaTheme="minorEastAsia" w:hAnsi="Calibri" w:cs="Calibri"/>
      <w:szCs w:val="22"/>
      <w:lang w:eastAsia="zh-CN"/>
    </w:rPr>
  </w:style>
  <w:style w:type="paragraph" w:styleId="NormalWeb">
    <w:name w:val="Normal (Web)"/>
    <w:basedOn w:val="Normal"/>
    <w:uiPriority w:val="99"/>
    <w:unhideWhenUsed/>
    <w:rsid w:val="00DC6DFF"/>
    <w:pPr>
      <w:spacing w:before="100" w:beforeAutospacing="1" w:after="100" w:afterAutospacing="1"/>
    </w:pPr>
    <w:rPr>
      <w:rFonts w:ascii="Calibri" w:eastAsiaTheme="minorEastAsia" w:hAnsi="Calibri" w:cs="Calibri"/>
      <w:szCs w:val="22"/>
      <w:lang w:eastAsia="zh-CN"/>
    </w:rPr>
  </w:style>
  <w:style w:type="character" w:styleId="Hyperlink">
    <w:name w:val="Hyperlink"/>
    <w:basedOn w:val="DefaultParagraphFont"/>
    <w:uiPriority w:val="99"/>
    <w:unhideWhenUsed/>
    <w:rsid w:val="007B0AE6"/>
    <w:rPr>
      <w:color w:val="0000FF"/>
      <w:u w:val="single"/>
    </w:rPr>
  </w:style>
  <w:style w:type="paragraph" w:customStyle="1" w:styleId="Default">
    <w:name w:val="Default"/>
    <w:rsid w:val="001F46F6"/>
    <w:pPr>
      <w:autoSpaceDE w:val="0"/>
      <w:autoSpaceDN w:val="0"/>
      <w:adjustRightInd w:val="0"/>
    </w:pPr>
    <w:rPr>
      <w:rFonts w:eastAsiaTheme="minorHAnsi" w:cs="Calibri"/>
      <w:color w:val="000000"/>
      <w:sz w:val="24"/>
      <w:szCs w:val="24"/>
      <w:lang w:eastAsia="en-US"/>
    </w:rPr>
  </w:style>
  <w:style w:type="character" w:customStyle="1" w:styleId="contentpasted0">
    <w:name w:val="contentpasted0"/>
    <w:basedOn w:val="DefaultParagraphFont"/>
    <w:rsid w:val="001764CB"/>
  </w:style>
  <w:style w:type="character" w:customStyle="1" w:styleId="ui-provider">
    <w:name w:val="ui-provider"/>
    <w:basedOn w:val="DefaultParagraphFont"/>
    <w:rsid w:val="002438D4"/>
  </w:style>
  <w:style w:type="character" w:styleId="UnresolvedMention">
    <w:name w:val="Unresolved Mention"/>
    <w:basedOn w:val="DefaultParagraphFont"/>
    <w:uiPriority w:val="99"/>
    <w:semiHidden/>
    <w:unhideWhenUsed/>
    <w:rsid w:val="002438D4"/>
    <w:rPr>
      <w:color w:val="605E5C"/>
      <w:shd w:val="clear" w:color="auto" w:fill="E1DFDD"/>
    </w:rPr>
  </w:style>
  <w:style w:type="character" w:styleId="FollowedHyperlink">
    <w:name w:val="FollowedHyperlink"/>
    <w:basedOn w:val="DefaultParagraphFont"/>
    <w:semiHidden/>
    <w:unhideWhenUsed/>
    <w:rsid w:val="00B4491A"/>
    <w:rPr>
      <w:color w:val="800080" w:themeColor="followedHyperlink"/>
      <w:u w:val="single"/>
    </w:rPr>
  </w:style>
  <w:style w:type="paragraph" w:styleId="Revision">
    <w:name w:val="Revision"/>
    <w:hidden/>
    <w:semiHidden/>
    <w:rsid w:val="00896278"/>
    <w:rPr>
      <w:rFonts w:ascii="Times New Roman" w:eastAsia="Times New Roman" w:hAnsi="Times New Roman"/>
      <w:sz w:val="22"/>
      <w:szCs w:val="24"/>
    </w:rPr>
  </w:style>
  <w:style w:type="character" w:customStyle="1" w:styleId="cf01">
    <w:name w:val="cf01"/>
    <w:basedOn w:val="DefaultParagraphFont"/>
    <w:rsid w:val="00AC00A2"/>
    <w:rPr>
      <w:rFonts w:ascii="Segoe UI" w:hAnsi="Segoe UI" w:cs="Segoe UI" w:hint="default"/>
      <w:sz w:val="18"/>
      <w:szCs w:val="18"/>
    </w:rPr>
  </w:style>
  <w:style w:type="paragraph" w:customStyle="1" w:styleId="Heading11">
    <w:name w:val="Heading 11"/>
    <w:basedOn w:val="Normal"/>
    <w:next w:val="Normal"/>
    <w:uiPriority w:val="9"/>
    <w:qFormat/>
    <w:rsid w:val="0017455E"/>
    <w:pPr>
      <w:keepNext/>
      <w:keepLines/>
      <w:spacing w:before="240" w:after="0" w:line="256" w:lineRule="auto"/>
      <w:outlineLvl w:val="0"/>
    </w:pPr>
    <w:rPr>
      <w:rFonts w:ascii="Calibri Light" w:eastAsia="DengXian Light" w:hAnsi="Calibri Light"/>
      <w:color w:val="2F5496"/>
      <w:sz w:val="32"/>
      <w:szCs w:val="32"/>
      <w:lang w:val="en-GB" w:eastAsia="en-US"/>
    </w:rPr>
  </w:style>
  <w:style w:type="character" w:customStyle="1" w:styleId="Heading1Char">
    <w:name w:val="Heading 1 Char"/>
    <w:basedOn w:val="DefaultParagraphFont"/>
    <w:link w:val="Heading1"/>
    <w:uiPriority w:val="9"/>
    <w:rsid w:val="0017455E"/>
    <w:rPr>
      <w:rFonts w:ascii="Calibri Light" w:eastAsia="DengXian Light" w:hAnsi="Calibri Light"/>
      <w:color w:val="2F5496"/>
      <w:sz w:val="32"/>
      <w:szCs w:val="32"/>
      <w:lang w:val="en-GB" w:eastAsia="en-US"/>
    </w:rPr>
  </w:style>
  <w:style w:type="character" w:customStyle="1" w:styleId="Heading1Char1">
    <w:name w:val="Heading 1 Char1"/>
    <w:basedOn w:val="DefaultParagraphFont"/>
    <w:rsid w:val="0017455E"/>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2936F8"/>
    <w:pPr>
      <w:spacing w:after="0"/>
    </w:pPr>
    <w:rPr>
      <w:rFonts w:ascii="Arial" w:eastAsiaTheme="minorHAnsi" w:hAnsi="Arial" w:cs="Arial"/>
      <w:sz w:val="20"/>
      <w:szCs w:val="20"/>
      <w:lang w:val="en-AU" w:eastAsia="en-US"/>
    </w:rPr>
  </w:style>
  <w:style w:type="character" w:customStyle="1" w:styleId="EndnoteTextChar">
    <w:name w:val="Endnote Text Char"/>
    <w:basedOn w:val="DefaultParagraphFont"/>
    <w:link w:val="EndnoteText"/>
    <w:uiPriority w:val="99"/>
    <w:semiHidden/>
    <w:rsid w:val="002936F8"/>
    <w:rPr>
      <w:rFonts w:ascii="Arial" w:eastAsiaTheme="minorHAnsi" w:hAnsi="Arial" w:cs="Arial"/>
      <w:lang w:val="en-AU" w:eastAsia="en-US"/>
    </w:rPr>
  </w:style>
  <w:style w:type="character" w:styleId="EndnoteReference">
    <w:name w:val="endnote reference"/>
    <w:basedOn w:val="DefaultParagraphFont"/>
    <w:uiPriority w:val="99"/>
    <w:semiHidden/>
    <w:unhideWhenUsed/>
    <w:rsid w:val="002936F8"/>
    <w:rPr>
      <w:vertAlign w:val="superscript"/>
    </w:rPr>
  </w:style>
  <w:style w:type="paragraph" w:styleId="ListParagraph">
    <w:name w:val="List Paragraph"/>
    <w:basedOn w:val="Normal"/>
    <w:qFormat/>
    <w:rsid w:val="00EF5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463">
      <w:bodyDiv w:val="1"/>
      <w:marLeft w:val="0"/>
      <w:marRight w:val="0"/>
      <w:marTop w:val="0"/>
      <w:marBottom w:val="0"/>
      <w:divBdr>
        <w:top w:val="none" w:sz="0" w:space="0" w:color="auto"/>
        <w:left w:val="none" w:sz="0" w:space="0" w:color="auto"/>
        <w:bottom w:val="none" w:sz="0" w:space="0" w:color="auto"/>
        <w:right w:val="none" w:sz="0" w:space="0" w:color="auto"/>
      </w:divBdr>
    </w:div>
    <w:div w:id="21906485">
      <w:bodyDiv w:val="1"/>
      <w:marLeft w:val="0"/>
      <w:marRight w:val="0"/>
      <w:marTop w:val="0"/>
      <w:marBottom w:val="0"/>
      <w:divBdr>
        <w:top w:val="none" w:sz="0" w:space="0" w:color="auto"/>
        <w:left w:val="none" w:sz="0" w:space="0" w:color="auto"/>
        <w:bottom w:val="none" w:sz="0" w:space="0" w:color="auto"/>
        <w:right w:val="none" w:sz="0" w:space="0" w:color="auto"/>
      </w:divBdr>
    </w:div>
    <w:div w:id="49036140">
      <w:bodyDiv w:val="1"/>
      <w:marLeft w:val="0"/>
      <w:marRight w:val="0"/>
      <w:marTop w:val="0"/>
      <w:marBottom w:val="0"/>
      <w:divBdr>
        <w:top w:val="none" w:sz="0" w:space="0" w:color="auto"/>
        <w:left w:val="none" w:sz="0" w:space="0" w:color="auto"/>
        <w:bottom w:val="none" w:sz="0" w:space="0" w:color="auto"/>
        <w:right w:val="none" w:sz="0" w:space="0" w:color="auto"/>
      </w:divBdr>
    </w:div>
    <w:div w:id="66928643">
      <w:bodyDiv w:val="1"/>
      <w:marLeft w:val="0"/>
      <w:marRight w:val="0"/>
      <w:marTop w:val="0"/>
      <w:marBottom w:val="0"/>
      <w:divBdr>
        <w:top w:val="none" w:sz="0" w:space="0" w:color="auto"/>
        <w:left w:val="none" w:sz="0" w:space="0" w:color="auto"/>
        <w:bottom w:val="none" w:sz="0" w:space="0" w:color="auto"/>
        <w:right w:val="none" w:sz="0" w:space="0" w:color="auto"/>
      </w:divBdr>
    </w:div>
    <w:div w:id="89594376">
      <w:bodyDiv w:val="1"/>
      <w:marLeft w:val="0"/>
      <w:marRight w:val="0"/>
      <w:marTop w:val="0"/>
      <w:marBottom w:val="0"/>
      <w:divBdr>
        <w:top w:val="none" w:sz="0" w:space="0" w:color="auto"/>
        <w:left w:val="none" w:sz="0" w:space="0" w:color="auto"/>
        <w:bottom w:val="none" w:sz="0" w:space="0" w:color="auto"/>
        <w:right w:val="none" w:sz="0" w:space="0" w:color="auto"/>
      </w:divBdr>
    </w:div>
    <w:div w:id="385951934">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516507108">
      <w:bodyDiv w:val="1"/>
      <w:marLeft w:val="0"/>
      <w:marRight w:val="0"/>
      <w:marTop w:val="0"/>
      <w:marBottom w:val="0"/>
      <w:divBdr>
        <w:top w:val="none" w:sz="0" w:space="0" w:color="auto"/>
        <w:left w:val="none" w:sz="0" w:space="0" w:color="auto"/>
        <w:bottom w:val="none" w:sz="0" w:space="0" w:color="auto"/>
        <w:right w:val="none" w:sz="0" w:space="0" w:color="auto"/>
      </w:divBdr>
    </w:div>
    <w:div w:id="522983359">
      <w:bodyDiv w:val="1"/>
      <w:marLeft w:val="0"/>
      <w:marRight w:val="0"/>
      <w:marTop w:val="0"/>
      <w:marBottom w:val="0"/>
      <w:divBdr>
        <w:top w:val="none" w:sz="0" w:space="0" w:color="auto"/>
        <w:left w:val="none" w:sz="0" w:space="0" w:color="auto"/>
        <w:bottom w:val="none" w:sz="0" w:space="0" w:color="auto"/>
        <w:right w:val="none" w:sz="0" w:space="0" w:color="auto"/>
      </w:divBdr>
    </w:div>
    <w:div w:id="526647770">
      <w:bodyDiv w:val="1"/>
      <w:marLeft w:val="0"/>
      <w:marRight w:val="0"/>
      <w:marTop w:val="0"/>
      <w:marBottom w:val="0"/>
      <w:divBdr>
        <w:top w:val="none" w:sz="0" w:space="0" w:color="auto"/>
        <w:left w:val="none" w:sz="0" w:space="0" w:color="auto"/>
        <w:bottom w:val="none" w:sz="0" w:space="0" w:color="auto"/>
        <w:right w:val="none" w:sz="0" w:space="0" w:color="auto"/>
      </w:divBdr>
    </w:div>
    <w:div w:id="534582252">
      <w:bodyDiv w:val="1"/>
      <w:marLeft w:val="0"/>
      <w:marRight w:val="0"/>
      <w:marTop w:val="0"/>
      <w:marBottom w:val="0"/>
      <w:divBdr>
        <w:top w:val="none" w:sz="0" w:space="0" w:color="auto"/>
        <w:left w:val="none" w:sz="0" w:space="0" w:color="auto"/>
        <w:bottom w:val="none" w:sz="0" w:space="0" w:color="auto"/>
        <w:right w:val="none" w:sz="0" w:space="0" w:color="auto"/>
      </w:divBdr>
    </w:div>
    <w:div w:id="534924649">
      <w:bodyDiv w:val="1"/>
      <w:marLeft w:val="0"/>
      <w:marRight w:val="0"/>
      <w:marTop w:val="0"/>
      <w:marBottom w:val="0"/>
      <w:divBdr>
        <w:top w:val="none" w:sz="0" w:space="0" w:color="auto"/>
        <w:left w:val="none" w:sz="0" w:space="0" w:color="auto"/>
        <w:bottom w:val="none" w:sz="0" w:space="0" w:color="auto"/>
        <w:right w:val="none" w:sz="0" w:space="0" w:color="auto"/>
      </w:divBdr>
    </w:div>
    <w:div w:id="578027529">
      <w:bodyDiv w:val="1"/>
      <w:marLeft w:val="0"/>
      <w:marRight w:val="0"/>
      <w:marTop w:val="0"/>
      <w:marBottom w:val="0"/>
      <w:divBdr>
        <w:top w:val="none" w:sz="0" w:space="0" w:color="auto"/>
        <w:left w:val="none" w:sz="0" w:space="0" w:color="auto"/>
        <w:bottom w:val="none" w:sz="0" w:space="0" w:color="auto"/>
        <w:right w:val="none" w:sz="0" w:space="0" w:color="auto"/>
      </w:divBdr>
    </w:div>
    <w:div w:id="603616637">
      <w:bodyDiv w:val="1"/>
      <w:marLeft w:val="0"/>
      <w:marRight w:val="0"/>
      <w:marTop w:val="0"/>
      <w:marBottom w:val="0"/>
      <w:divBdr>
        <w:top w:val="none" w:sz="0" w:space="0" w:color="auto"/>
        <w:left w:val="none" w:sz="0" w:space="0" w:color="auto"/>
        <w:bottom w:val="none" w:sz="0" w:space="0" w:color="auto"/>
        <w:right w:val="none" w:sz="0" w:space="0" w:color="auto"/>
      </w:divBdr>
    </w:div>
    <w:div w:id="606085379">
      <w:bodyDiv w:val="1"/>
      <w:marLeft w:val="0"/>
      <w:marRight w:val="0"/>
      <w:marTop w:val="0"/>
      <w:marBottom w:val="0"/>
      <w:divBdr>
        <w:top w:val="none" w:sz="0" w:space="0" w:color="auto"/>
        <w:left w:val="none" w:sz="0" w:space="0" w:color="auto"/>
        <w:bottom w:val="none" w:sz="0" w:space="0" w:color="auto"/>
        <w:right w:val="none" w:sz="0" w:space="0" w:color="auto"/>
      </w:divBdr>
    </w:div>
    <w:div w:id="668295001">
      <w:bodyDiv w:val="1"/>
      <w:marLeft w:val="0"/>
      <w:marRight w:val="0"/>
      <w:marTop w:val="0"/>
      <w:marBottom w:val="0"/>
      <w:divBdr>
        <w:top w:val="none" w:sz="0" w:space="0" w:color="auto"/>
        <w:left w:val="none" w:sz="0" w:space="0" w:color="auto"/>
        <w:bottom w:val="none" w:sz="0" w:space="0" w:color="auto"/>
        <w:right w:val="none" w:sz="0" w:space="0" w:color="auto"/>
      </w:divBdr>
    </w:div>
    <w:div w:id="700130172">
      <w:bodyDiv w:val="1"/>
      <w:marLeft w:val="0"/>
      <w:marRight w:val="0"/>
      <w:marTop w:val="0"/>
      <w:marBottom w:val="0"/>
      <w:divBdr>
        <w:top w:val="none" w:sz="0" w:space="0" w:color="auto"/>
        <w:left w:val="none" w:sz="0" w:space="0" w:color="auto"/>
        <w:bottom w:val="none" w:sz="0" w:space="0" w:color="auto"/>
        <w:right w:val="none" w:sz="0" w:space="0" w:color="auto"/>
      </w:divBdr>
    </w:div>
    <w:div w:id="739327671">
      <w:bodyDiv w:val="1"/>
      <w:marLeft w:val="0"/>
      <w:marRight w:val="0"/>
      <w:marTop w:val="0"/>
      <w:marBottom w:val="0"/>
      <w:divBdr>
        <w:top w:val="none" w:sz="0" w:space="0" w:color="auto"/>
        <w:left w:val="none" w:sz="0" w:space="0" w:color="auto"/>
        <w:bottom w:val="none" w:sz="0" w:space="0" w:color="auto"/>
        <w:right w:val="none" w:sz="0" w:space="0" w:color="auto"/>
      </w:divBdr>
    </w:div>
    <w:div w:id="772557487">
      <w:bodyDiv w:val="1"/>
      <w:marLeft w:val="0"/>
      <w:marRight w:val="0"/>
      <w:marTop w:val="0"/>
      <w:marBottom w:val="0"/>
      <w:divBdr>
        <w:top w:val="none" w:sz="0" w:space="0" w:color="auto"/>
        <w:left w:val="none" w:sz="0" w:space="0" w:color="auto"/>
        <w:bottom w:val="none" w:sz="0" w:space="0" w:color="auto"/>
        <w:right w:val="none" w:sz="0" w:space="0" w:color="auto"/>
      </w:divBdr>
    </w:div>
    <w:div w:id="814638673">
      <w:bodyDiv w:val="1"/>
      <w:marLeft w:val="0"/>
      <w:marRight w:val="0"/>
      <w:marTop w:val="0"/>
      <w:marBottom w:val="0"/>
      <w:divBdr>
        <w:top w:val="none" w:sz="0" w:space="0" w:color="auto"/>
        <w:left w:val="none" w:sz="0" w:space="0" w:color="auto"/>
        <w:bottom w:val="none" w:sz="0" w:space="0" w:color="auto"/>
        <w:right w:val="none" w:sz="0" w:space="0" w:color="auto"/>
      </w:divBdr>
    </w:div>
    <w:div w:id="896815630">
      <w:bodyDiv w:val="1"/>
      <w:marLeft w:val="0"/>
      <w:marRight w:val="0"/>
      <w:marTop w:val="0"/>
      <w:marBottom w:val="0"/>
      <w:divBdr>
        <w:top w:val="none" w:sz="0" w:space="0" w:color="auto"/>
        <w:left w:val="none" w:sz="0" w:space="0" w:color="auto"/>
        <w:bottom w:val="none" w:sz="0" w:space="0" w:color="auto"/>
        <w:right w:val="none" w:sz="0" w:space="0" w:color="auto"/>
      </w:divBdr>
    </w:div>
    <w:div w:id="902914139">
      <w:bodyDiv w:val="1"/>
      <w:marLeft w:val="0"/>
      <w:marRight w:val="0"/>
      <w:marTop w:val="0"/>
      <w:marBottom w:val="0"/>
      <w:divBdr>
        <w:top w:val="none" w:sz="0" w:space="0" w:color="auto"/>
        <w:left w:val="none" w:sz="0" w:space="0" w:color="auto"/>
        <w:bottom w:val="none" w:sz="0" w:space="0" w:color="auto"/>
        <w:right w:val="none" w:sz="0" w:space="0" w:color="auto"/>
      </w:divBdr>
    </w:div>
    <w:div w:id="978147324">
      <w:bodyDiv w:val="1"/>
      <w:marLeft w:val="0"/>
      <w:marRight w:val="0"/>
      <w:marTop w:val="0"/>
      <w:marBottom w:val="0"/>
      <w:divBdr>
        <w:top w:val="none" w:sz="0" w:space="0" w:color="auto"/>
        <w:left w:val="none" w:sz="0" w:space="0" w:color="auto"/>
        <w:bottom w:val="none" w:sz="0" w:space="0" w:color="auto"/>
        <w:right w:val="none" w:sz="0" w:space="0" w:color="auto"/>
      </w:divBdr>
    </w:div>
    <w:div w:id="1024329560">
      <w:bodyDiv w:val="1"/>
      <w:marLeft w:val="0"/>
      <w:marRight w:val="0"/>
      <w:marTop w:val="0"/>
      <w:marBottom w:val="0"/>
      <w:divBdr>
        <w:top w:val="none" w:sz="0" w:space="0" w:color="auto"/>
        <w:left w:val="none" w:sz="0" w:space="0" w:color="auto"/>
        <w:bottom w:val="none" w:sz="0" w:space="0" w:color="auto"/>
        <w:right w:val="none" w:sz="0" w:space="0" w:color="auto"/>
      </w:divBdr>
    </w:div>
    <w:div w:id="1049187481">
      <w:bodyDiv w:val="1"/>
      <w:marLeft w:val="0"/>
      <w:marRight w:val="0"/>
      <w:marTop w:val="0"/>
      <w:marBottom w:val="0"/>
      <w:divBdr>
        <w:top w:val="none" w:sz="0" w:space="0" w:color="auto"/>
        <w:left w:val="none" w:sz="0" w:space="0" w:color="auto"/>
        <w:bottom w:val="none" w:sz="0" w:space="0" w:color="auto"/>
        <w:right w:val="none" w:sz="0" w:space="0" w:color="auto"/>
      </w:divBdr>
    </w:div>
    <w:div w:id="1087381861">
      <w:bodyDiv w:val="1"/>
      <w:marLeft w:val="0"/>
      <w:marRight w:val="0"/>
      <w:marTop w:val="0"/>
      <w:marBottom w:val="0"/>
      <w:divBdr>
        <w:top w:val="none" w:sz="0" w:space="0" w:color="auto"/>
        <w:left w:val="none" w:sz="0" w:space="0" w:color="auto"/>
        <w:bottom w:val="none" w:sz="0" w:space="0" w:color="auto"/>
        <w:right w:val="none" w:sz="0" w:space="0" w:color="auto"/>
      </w:divBdr>
    </w:div>
    <w:div w:id="1102578527">
      <w:bodyDiv w:val="1"/>
      <w:marLeft w:val="0"/>
      <w:marRight w:val="0"/>
      <w:marTop w:val="0"/>
      <w:marBottom w:val="0"/>
      <w:divBdr>
        <w:top w:val="none" w:sz="0" w:space="0" w:color="auto"/>
        <w:left w:val="none" w:sz="0" w:space="0" w:color="auto"/>
        <w:bottom w:val="none" w:sz="0" w:space="0" w:color="auto"/>
        <w:right w:val="none" w:sz="0" w:space="0" w:color="auto"/>
      </w:divBdr>
    </w:div>
    <w:div w:id="1170675451">
      <w:bodyDiv w:val="1"/>
      <w:marLeft w:val="0"/>
      <w:marRight w:val="0"/>
      <w:marTop w:val="0"/>
      <w:marBottom w:val="0"/>
      <w:divBdr>
        <w:top w:val="none" w:sz="0" w:space="0" w:color="auto"/>
        <w:left w:val="none" w:sz="0" w:space="0" w:color="auto"/>
        <w:bottom w:val="none" w:sz="0" w:space="0" w:color="auto"/>
        <w:right w:val="none" w:sz="0" w:space="0" w:color="auto"/>
      </w:divBdr>
    </w:div>
    <w:div w:id="1227759205">
      <w:bodyDiv w:val="1"/>
      <w:marLeft w:val="0"/>
      <w:marRight w:val="0"/>
      <w:marTop w:val="0"/>
      <w:marBottom w:val="0"/>
      <w:divBdr>
        <w:top w:val="none" w:sz="0" w:space="0" w:color="auto"/>
        <w:left w:val="none" w:sz="0" w:space="0" w:color="auto"/>
        <w:bottom w:val="none" w:sz="0" w:space="0" w:color="auto"/>
        <w:right w:val="none" w:sz="0" w:space="0" w:color="auto"/>
      </w:divBdr>
    </w:div>
    <w:div w:id="1257521782">
      <w:bodyDiv w:val="1"/>
      <w:marLeft w:val="0"/>
      <w:marRight w:val="0"/>
      <w:marTop w:val="0"/>
      <w:marBottom w:val="0"/>
      <w:divBdr>
        <w:top w:val="none" w:sz="0" w:space="0" w:color="auto"/>
        <w:left w:val="none" w:sz="0" w:space="0" w:color="auto"/>
        <w:bottom w:val="none" w:sz="0" w:space="0" w:color="auto"/>
        <w:right w:val="none" w:sz="0" w:space="0" w:color="auto"/>
      </w:divBdr>
    </w:div>
    <w:div w:id="1262760242">
      <w:bodyDiv w:val="1"/>
      <w:marLeft w:val="0"/>
      <w:marRight w:val="0"/>
      <w:marTop w:val="0"/>
      <w:marBottom w:val="0"/>
      <w:divBdr>
        <w:top w:val="none" w:sz="0" w:space="0" w:color="auto"/>
        <w:left w:val="none" w:sz="0" w:space="0" w:color="auto"/>
        <w:bottom w:val="none" w:sz="0" w:space="0" w:color="auto"/>
        <w:right w:val="none" w:sz="0" w:space="0" w:color="auto"/>
      </w:divBdr>
    </w:div>
    <w:div w:id="1336104623">
      <w:bodyDiv w:val="1"/>
      <w:marLeft w:val="0"/>
      <w:marRight w:val="0"/>
      <w:marTop w:val="0"/>
      <w:marBottom w:val="0"/>
      <w:divBdr>
        <w:top w:val="none" w:sz="0" w:space="0" w:color="auto"/>
        <w:left w:val="none" w:sz="0" w:space="0" w:color="auto"/>
        <w:bottom w:val="none" w:sz="0" w:space="0" w:color="auto"/>
        <w:right w:val="none" w:sz="0" w:space="0" w:color="auto"/>
      </w:divBdr>
    </w:div>
    <w:div w:id="1378509296">
      <w:bodyDiv w:val="1"/>
      <w:marLeft w:val="0"/>
      <w:marRight w:val="0"/>
      <w:marTop w:val="0"/>
      <w:marBottom w:val="0"/>
      <w:divBdr>
        <w:top w:val="none" w:sz="0" w:space="0" w:color="auto"/>
        <w:left w:val="none" w:sz="0" w:space="0" w:color="auto"/>
        <w:bottom w:val="none" w:sz="0" w:space="0" w:color="auto"/>
        <w:right w:val="none" w:sz="0" w:space="0" w:color="auto"/>
      </w:divBdr>
    </w:div>
    <w:div w:id="1381131523">
      <w:bodyDiv w:val="1"/>
      <w:marLeft w:val="0"/>
      <w:marRight w:val="0"/>
      <w:marTop w:val="0"/>
      <w:marBottom w:val="0"/>
      <w:divBdr>
        <w:top w:val="none" w:sz="0" w:space="0" w:color="auto"/>
        <w:left w:val="none" w:sz="0" w:space="0" w:color="auto"/>
        <w:bottom w:val="none" w:sz="0" w:space="0" w:color="auto"/>
        <w:right w:val="none" w:sz="0" w:space="0" w:color="auto"/>
      </w:divBdr>
    </w:div>
    <w:div w:id="1427923162">
      <w:bodyDiv w:val="1"/>
      <w:marLeft w:val="0"/>
      <w:marRight w:val="0"/>
      <w:marTop w:val="0"/>
      <w:marBottom w:val="0"/>
      <w:divBdr>
        <w:top w:val="none" w:sz="0" w:space="0" w:color="auto"/>
        <w:left w:val="none" w:sz="0" w:space="0" w:color="auto"/>
        <w:bottom w:val="none" w:sz="0" w:space="0" w:color="auto"/>
        <w:right w:val="none" w:sz="0" w:space="0" w:color="auto"/>
      </w:divBdr>
    </w:div>
    <w:div w:id="1481507021">
      <w:bodyDiv w:val="1"/>
      <w:marLeft w:val="0"/>
      <w:marRight w:val="0"/>
      <w:marTop w:val="0"/>
      <w:marBottom w:val="0"/>
      <w:divBdr>
        <w:top w:val="none" w:sz="0" w:space="0" w:color="auto"/>
        <w:left w:val="none" w:sz="0" w:space="0" w:color="auto"/>
        <w:bottom w:val="none" w:sz="0" w:space="0" w:color="auto"/>
        <w:right w:val="none" w:sz="0" w:space="0" w:color="auto"/>
      </w:divBdr>
    </w:div>
    <w:div w:id="1488473551">
      <w:bodyDiv w:val="1"/>
      <w:marLeft w:val="0"/>
      <w:marRight w:val="0"/>
      <w:marTop w:val="0"/>
      <w:marBottom w:val="0"/>
      <w:divBdr>
        <w:top w:val="none" w:sz="0" w:space="0" w:color="auto"/>
        <w:left w:val="none" w:sz="0" w:space="0" w:color="auto"/>
        <w:bottom w:val="none" w:sz="0" w:space="0" w:color="auto"/>
        <w:right w:val="none" w:sz="0" w:space="0" w:color="auto"/>
      </w:divBdr>
    </w:div>
    <w:div w:id="1511990974">
      <w:bodyDiv w:val="1"/>
      <w:marLeft w:val="0"/>
      <w:marRight w:val="0"/>
      <w:marTop w:val="0"/>
      <w:marBottom w:val="0"/>
      <w:divBdr>
        <w:top w:val="none" w:sz="0" w:space="0" w:color="auto"/>
        <w:left w:val="none" w:sz="0" w:space="0" w:color="auto"/>
        <w:bottom w:val="none" w:sz="0" w:space="0" w:color="auto"/>
        <w:right w:val="none" w:sz="0" w:space="0" w:color="auto"/>
      </w:divBdr>
    </w:div>
    <w:div w:id="1526745192">
      <w:bodyDiv w:val="1"/>
      <w:marLeft w:val="0"/>
      <w:marRight w:val="0"/>
      <w:marTop w:val="0"/>
      <w:marBottom w:val="0"/>
      <w:divBdr>
        <w:top w:val="none" w:sz="0" w:space="0" w:color="auto"/>
        <w:left w:val="none" w:sz="0" w:space="0" w:color="auto"/>
        <w:bottom w:val="none" w:sz="0" w:space="0" w:color="auto"/>
        <w:right w:val="none" w:sz="0" w:space="0" w:color="auto"/>
      </w:divBdr>
    </w:div>
    <w:div w:id="1553543591">
      <w:bodyDiv w:val="1"/>
      <w:marLeft w:val="0"/>
      <w:marRight w:val="0"/>
      <w:marTop w:val="0"/>
      <w:marBottom w:val="0"/>
      <w:divBdr>
        <w:top w:val="none" w:sz="0" w:space="0" w:color="auto"/>
        <w:left w:val="none" w:sz="0" w:space="0" w:color="auto"/>
        <w:bottom w:val="none" w:sz="0" w:space="0" w:color="auto"/>
        <w:right w:val="none" w:sz="0" w:space="0" w:color="auto"/>
      </w:divBdr>
    </w:div>
    <w:div w:id="1571499196">
      <w:bodyDiv w:val="1"/>
      <w:marLeft w:val="0"/>
      <w:marRight w:val="0"/>
      <w:marTop w:val="0"/>
      <w:marBottom w:val="0"/>
      <w:divBdr>
        <w:top w:val="none" w:sz="0" w:space="0" w:color="auto"/>
        <w:left w:val="none" w:sz="0" w:space="0" w:color="auto"/>
        <w:bottom w:val="none" w:sz="0" w:space="0" w:color="auto"/>
        <w:right w:val="none" w:sz="0" w:space="0" w:color="auto"/>
      </w:divBdr>
    </w:div>
    <w:div w:id="1679890701">
      <w:bodyDiv w:val="1"/>
      <w:marLeft w:val="0"/>
      <w:marRight w:val="0"/>
      <w:marTop w:val="0"/>
      <w:marBottom w:val="0"/>
      <w:divBdr>
        <w:top w:val="none" w:sz="0" w:space="0" w:color="auto"/>
        <w:left w:val="none" w:sz="0" w:space="0" w:color="auto"/>
        <w:bottom w:val="none" w:sz="0" w:space="0" w:color="auto"/>
        <w:right w:val="none" w:sz="0" w:space="0" w:color="auto"/>
      </w:divBdr>
    </w:div>
    <w:div w:id="1710834982">
      <w:bodyDiv w:val="1"/>
      <w:marLeft w:val="0"/>
      <w:marRight w:val="0"/>
      <w:marTop w:val="0"/>
      <w:marBottom w:val="0"/>
      <w:divBdr>
        <w:top w:val="none" w:sz="0" w:space="0" w:color="auto"/>
        <w:left w:val="none" w:sz="0" w:space="0" w:color="auto"/>
        <w:bottom w:val="none" w:sz="0" w:space="0" w:color="auto"/>
        <w:right w:val="none" w:sz="0" w:space="0" w:color="auto"/>
      </w:divBdr>
    </w:div>
    <w:div w:id="1796556684">
      <w:bodyDiv w:val="1"/>
      <w:marLeft w:val="0"/>
      <w:marRight w:val="0"/>
      <w:marTop w:val="0"/>
      <w:marBottom w:val="0"/>
      <w:divBdr>
        <w:top w:val="none" w:sz="0" w:space="0" w:color="auto"/>
        <w:left w:val="none" w:sz="0" w:space="0" w:color="auto"/>
        <w:bottom w:val="none" w:sz="0" w:space="0" w:color="auto"/>
        <w:right w:val="none" w:sz="0" w:space="0" w:color="auto"/>
      </w:divBdr>
    </w:div>
    <w:div w:id="1809543779">
      <w:bodyDiv w:val="1"/>
      <w:marLeft w:val="0"/>
      <w:marRight w:val="0"/>
      <w:marTop w:val="0"/>
      <w:marBottom w:val="0"/>
      <w:divBdr>
        <w:top w:val="none" w:sz="0" w:space="0" w:color="auto"/>
        <w:left w:val="none" w:sz="0" w:space="0" w:color="auto"/>
        <w:bottom w:val="none" w:sz="0" w:space="0" w:color="auto"/>
        <w:right w:val="none" w:sz="0" w:space="0" w:color="auto"/>
      </w:divBdr>
    </w:div>
    <w:div w:id="1813861543">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24813613">
      <w:bodyDiv w:val="1"/>
      <w:marLeft w:val="0"/>
      <w:marRight w:val="0"/>
      <w:marTop w:val="0"/>
      <w:marBottom w:val="0"/>
      <w:divBdr>
        <w:top w:val="none" w:sz="0" w:space="0" w:color="auto"/>
        <w:left w:val="none" w:sz="0" w:space="0" w:color="auto"/>
        <w:bottom w:val="none" w:sz="0" w:space="0" w:color="auto"/>
        <w:right w:val="none" w:sz="0" w:space="0" w:color="auto"/>
      </w:divBdr>
    </w:div>
    <w:div w:id="182570611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0603068">
      <w:bodyDiv w:val="1"/>
      <w:marLeft w:val="0"/>
      <w:marRight w:val="0"/>
      <w:marTop w:val="0"/>
      <w:marBottom w:val="0"/>
      <w:divBdr>
        <w:top w:val="none" w:sz="0" w:space="0" w:color="auto"/>
        <w:left w:val="none" w:sz="0" w:space="0" w:color="auto"/>
        <w:bottom w:val="none" w:sz="0" w:space="0" w:color="auto"/>
        <w:right w:val="none" w:sz="0" w:space="0" w:color="auto"/>
      </w:divBdr>
    </w:div>
    <w:div w:id="1962614275">
      <w:bodyDiv w:val="1"/>
      <w:marLeft w:val="0"/>
      <w:marRight w:val="0"/>
      <w:marTop w:val="0"/>
      <w:marBottom w:val="0"/>
      <w:divBdr>
        <w:top w:val="none" w:sz="0" w:space="0" w:color="auto"/>
        <w:left w:val="none" w:sz="0" w:space="0" w:color="auto"/>
        <w:bottom w:val="none" w:sz="0" w:space="0" w:color="auto"/>
        <w:right w:val="none" w:sz="0" w:space="0" w:color="auto"/>
      </w:divBdr>
    </w:div>
    <w:div w:id="2058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21</TotalTime>
  <Pages>6</Pages>
  <Words>2604</Words>
  <Characters>14848</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Koffi, Bryan</cp:lastModifiedBy>
  <cp:revision>10</cp:revision>
  <cp:lastPrinted>2011-08-09T15:26:00Z</cp:lastPrinted>
  <dcterms:created xsi:type="dcterms:W3CDTF">2024-06-07T12:12:00Z</dcterms:created>
  <dcterms:modified xsi:type="dcterms:W3CDTF">2024-06-07T17:45:00Z</dcterms:modified>
</cp:coreProperties>
</file>