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417A7" w14:textId="77777777" w:rsidR="00935424" w:rsidRDefault="00935424" w:rsidP="00935424">
      <w:pPr>
        <w:tabs>
          <w:tab w:val="center" w:pos="4819"/>
          <w:tab w:val="left" w:pos="8760"/>
        </w:tabs>
        <w:spacing w:before="480"/>
        <w:jc w:val="center"/>
        <w:rPr>
          <w:rFonts w:ascii="Arial" w:hAnsi="Arial" w:cs="Arial"/>
          <w:b/>
          <w:szCs w:val="22"/>
        </w:rPr>
      </w:pPr>
    </w:p>
    <w:p w14:paraId="00ED2CAE" w14:textId="2AFE2AFE" w:rsidR="00506F17" w:rsidRPr="00935424" w:rsidRDefault="00506F17" w:rsidP="00935424">
      <w:pPr>
        <w:tabs>
          <w:tab w:val="center" w:pos="4819"/>
          <w:tab w:val="left" w:pos="8760"/>
        </w:tabs>
        <w:spacing w:before="1440"/>
        <w:jc w:val="center"/>
        <w:rPr>
          <w:rFonts w:ascii="Arial" w:hAnsi="Arial" w:cs="Arial"/>
          <w:b/>
          <w:szCs w:val="22"/>
        </w:rPr>
      </w:pPr>
      <w:r w:rsidRPr="00935424">
        <w:rPr>
          <w:rFonts w:ascii="Arial" w:hAnsi="Arial" w:cs="Arial"/>
          <w:b/>
          <w:szCs w:val="22"/>
        </w:rPr>
        <w:t>CONVENTION POUR LA SAUVEGARDE DU</w:t>
      </w:r>
      <w:r w:rsidRPr="00935424">
        <w:rPr>
          <w:rFonts w:ascii="Arial" w:hAnsi="Arial" w:cs="Arial"/>
          <w:b/>
          <w:szCs w:val="22"/>
        </w:rPr>
        <w:br/>
        <w:t>PATRIMOINE CULTUREL IMMATÉRIEL</w:t>
      </w:r>
    </w:p>
    <w:p w14:paraId="25D7CAC8" w14:textId="77777777" w:rsidR="00506F17" w:rsidRPr="00B53A34" w:rsidRDefault="00506F17" w:rsidP="00506F17">
      <w:pPr>
        <w:spacing w:before="1200"/>
        <w:ind w:right="-1"/>
        <w:jc w:val="center"/>
        <w:rPr>
          <w:rFonts w:ascii="Arial" w:eastAsia="Calibri" w:hAnsi="Arial" w:cs="Arial"/>
          <w:b/>
          <w:bCs/>
          <w:szCs w:val="22"/>
        </w:rPr>
      </w:pPr>
      <w:bookmarkStart w:id="0" w:name="_Hlk128593939"/>
      <w:r w:rsidRPr="00430964">
        <w:rPr>
          <w:rFonts w:ascii="Arial" w:eastAsia="Calibri" w:hAnsi="Arial" w:cs="Arial"/>
          <w:b/>
          <w:bCs/>
          <w:szCs w:val="22"/>
        </w:rPr>
        <w:t>Réunion d’experts sur la sauvegarde du patrimoine culturel immatériel</w:t>
      </w:r>
      <w:r>
        <w:rPr>
          <w:rFonts w:ascii="Arial" w:eastAsia="Calibri" w:hAnsi="Arial" w:cs="Arial"/>
          <w:b/>
          <w:bCs/>
          <w:szCs w:val="22"/>
        </w:rPr>
        <w:br/>
        <w:t>et le changement climatique</w:t>
      </w:r>
    </w:p>
    <w:bookmarkEnd w:id="0"/>
    <w:p w14:paraId="628B1DA4" w14:textId="77777777" w:rsidR="00506F17" w:rsidRDefault="00506F17" w:rsidP="00506F17">
      <w:pPr>
        <w:spacing w:before="840"/>
        <w:jc w:val="center"/>
        <w:rPr>
          <w:rFonts w:ascii="Arial" w:hAnsi="Arial" w:cs="Arial"/>
          <w:b/>
          <w:szCs w:val="22"/>
        </w:rPr>
      </w:pPr>
      <w:r>
        <w:rPr>
          <w:rFonts w:ascii="Arial" w:eastAsia="Calibri" w:hAnsi="Arial" w:cs="Arial"/>
          <w:b/>
          <w:bCs/>
          <w:szCs w:val="22"/>
        </w:rPr>
        <w:t>19</w:t>
      </w:r>
      <w:r w:rsidRPr="0086314E">
        <w:rPr>
          <w:rFonts w:ascii="Arial" w:eastAsia="Calibri" w:hAnsi="Arial" w:cs="Arial"/>
          <w:b/>
          <w:bCs/>
          <w:szCs w:val="22"/>
        </w:rPr>
        <w:t xml:space="preserve"> – </w:t>
      </w:r>
      <w:r>
        <w:rPr>
          <w:rFonts w:ascii="Arial" w:hAnsi="Arial" w:cs="Arial"/>
          <w:b/>
          <w:szCs w:val="22"/>
        </w:rPr>
        <w:t xml:space="preserve">20 </w:t>
      </w:r>
      <w:r>
        <w:rPr>
          <w:rFonts w:ascii="Arial" w:eastAsia="Calibri" w:hAnsi="Arial" w:cs="Arial"/>
          <w:b/>
          <w:bCs/>
          <w:szCs w:val="22"/>
        </w:rPr>
        <w:t>juin</w:t>
      </w:r>
      <w:r>
        <w:rPr>
          <w:rFonts w:ascii="Arial" w:hAnsi="Arial" w:cs="Arial"/>
          <w:b/>
          <w:szCs w:val="22"/>
        </w:rPr>
        <w:t xml:space="preserve"> 2024 (partie I)</w:t>
      </w:r>
    </w:p>
    <w:p w14:paraId="0DFD10C2" w14:textId="77777777" w:rsidR="00506F17" w:rsidRDefault="00506F17" w:rsidP="00506F17">
      <w:pPr>
        <w:ind w:right="-1"/>
        <w:jc w:val="center"/>
        <w:rPr>
          <w:rFonts w:ascii="Arial" w:hAnsi="Arial" w:cs="Arial"/>
          <w:b/>
          <w:szCs w:val="22"/>
        </w:rPr>
      </w:pPr>
      <w:r w:rsidRPr="0086314E">
        <w:rPr>
          <w:rFonts w:ascii="Arial" w:eastAsia="Calibri" w:hAnsi="Arial" w:cs="Arial"/>
          <w:b/>
          <w:bCs/>
          <w:szCs w:val="22"/>
        </w:rPr>
        <w:t>Siège</w:t>
      </w:r>
      <w:r w:rsidRPr="00430964">
        <w:rPr>
          <w:rFonts w:ascii="Arial" w:hAnsi="Arial" w:cs="Arial"/>
          <w:b/>
          <w:szCs w:val="22"/>
        </w:rPr>
        <w:t xml:space="preserve"> de l’UNESCO</w:t>
      </w:r>
      <w:r w:rsidRPr="004F1B36">
        <w:rPr>
          <w:rFonts w:ascii="Arial" w:hAnsi="Arial" w:cs="Arial"/>
          <w:b/>
          <w:szCs w:val="22"/>
        </w:rPr>
        <w:t xml:space="preserve">, </w:t>
      </w:r>
      <w:bookmarkStart w:id="1" w:name="_Hlk128491999"/>
      <w:r>
        <w:rPr>
          <w:rFonts w:ascii="Arial" w:hAnsi="Arial" w:cs="Arial"/>
          <w:b/>
          <w:szCs w:val="22"/>
        </w:rPr>
        <w:t>Paris</w:t>
      </w:r>
      <w:bookmarkEnd w:id="1"/>
    </w:p>
    <w:p w14:paraId="40789B1F" w14:textId="77777777" w:rsidR="00506F17" w:rsidRDefault="00506F17" w:rsidP="00506F17">
      <w:pPr>
        <w:spacing w:before="360"/>
        <w:ind w:right="-1"/>
        <w:jc w:val="center"/>
        <w:rPr>
          <w:rFonts w:ascii="Arial" w:hAnsi="Arial" w:cs="Arial"/>
          <w:b/>
          <w:szCs w:val="22"/>
        </w:rPr>
      </w:pPr>
      <w:r>
        <w:rPr>
          <w:rFonts w:ascii="Arial" w:hAnsi="Arial" w:cs="Arial"/>
          <w:b/>
          <w:szCs w:val="22"/>
        </w:rPr>
        <w:t>25 – 26 septembre 2024 (partie II)</w:t>
      </w:r>
    </w:p>
    <w:p w14:paraId="6DE3DA63" w14:textId="77777777" w:rsidR="00506F17" w:rsidRDefault="00506F17" w:rsidP="00506F17">
      <w:pPr>
        <w:spacing w:after="1200"/>
        <w:jc w:val="center"/>
        <w:rPr>
          <w:rFonts w:ascii="Arial" w:hAnsi="Arial" w:cs="Arial"/>
          <w:b/>
          <w:szCs w:val="22"/>
        </w:rPr>
      </w:pPr>
      <w:r>
        <w:rPr>
          <w:rFonts w:ascii="Arial" w:hAnsi="Arial" w:cs="Arial"/>
          <w:b/>
          <w:szCs w:val="22"/>
        </w:rPr>
        <w:t xml:space="preserve">En </w:t>
      </w:r>
      <w:r w:rsidRPr="006D5A8D">
        <w:rPr>
          <w:rFonts w:ascii="Arial" w:eastAsia="Calibri" w:hAnsi="Arial" w:cs="Arial"/>
          <w:b/>
          <w:bCs/>
          <w:szCs w:val="22"/>
          <w:lang w:eastAsia="en-US"/>
        </w:rPr>
        <w:t>ligne</w:t>
      </w:r>
    </w:p>
    <w:p w14:paraId="2D09841A" w14:textId="67F38F7D" w:rsidR="00851458" w:rsidRPr="00A41402" w:rsidRDefault="009F265A" w:rsidP="00B86EBF">
      <w:pPr>
        <w:shd w:val="clear" w:color="auto" w:fill="FFFFFF" w:themeFill="background1"/>
        <w:spacing w:before="600" w:after="1200"/>
        <w:jc w:val="center"/>
        <w:rPr>
          <w:rFonts w:ascii="Arial" w:eastAsiaTheme="minorEastAsia" w:hAnsi="Arial" w:cs="Arial"/>
          <w:b/>
          <w:szCs w:val="22"/>
        </w:rPr>
      </w:pPr>
      <w:r>
        <w:rPr>
          <w:rFonts w:ascii="Arial" w:hAnsi="Arial"/>
          <w:b/>
          <w:bCs/>
          <w:lang w:val="fr"/>
        </w:rPr>
        <w:t xml:space="preserve">Élaboration de politiques et de partenariats et renforcement des capacités pour </w:t>
      </w:r>
      <w:r>
        <w:rPr>
          <w:rFonts w:ascii="Arial" w:hAnsi="Arial"/>
          <w:lang w:val="fr"/>
        </w:rPr>
        <w:br/>
      </w:r>
      <w:r>
        <w:rPr>
          <w:rFonts w:ascii="Arial" w:hAnsi="Arial"/>
          <w:b/>
          <w:bCs/>
          <w:lang w:val="fr"/>
        </w:rPr>
        <w:t>le patrimoine vivant en situation d</w:t>
      </w:r>
      <w:r w:rsidR="0041390A">
        <w:rPr>
          <w:rFonts w:ascii="Arial" w:hAnsi="Arial"/>
          <w:b/>
          <w:bCs/>
          <w:lang w:val="fr"/>
        </w:rPr>
        <w:t>’</w:t>
      </w:r>
      <w:r>
        <w:rPr>
          <w:rFonts w:ascii="Arial" w:hAnsi="Arial"/>
          <w:b/>
          <w:bCs/>
          <w:lang w:val="fr"/>
        </w:rPr>
        <w:t>urgence climatique</w:t>
      </w:r>
    </w:p>
    <w:p w14:paraId="12A14E47" w14:textId="6F6417B3" w:rsidR="00B86EBF" w:rsidRPr="00AD71A4" w:rsidRDefault="00851458" w:rsidP="00951FFE">
      <w:pPr>
        <w:pStyle w:val="1GAPara"/>
        <w:rPr>
          <w:lang w:val="fr-FR"/>
        </w:rPr>
      </w:pPr>
      <w:r>
        <w:rPr>
          <w:lang w:val="fr"/>
        </w:rPr>
        <w:br w:type="page"/>
      </w:r>
      <w:r>
        <w:rPr>
          <w:lang w:val="fr"/>
        </w:rPr>
        <w:lastRenderedPageBreak/>
        <w:t>Ce document résume les principaux résultats de la recherche et de la consultation pour la note d</w:t>
      </w:r>
      <w:r w:rsidR="0041390A">
        <w:rPr>
          <w:lang w:val="fr"/>
        </w:rPr>
        <w:t>’</w:t>
      </w:r>
      <w:r>
        <w:rPr>
          <w:lang w:val="fr"/>
        </w:rPr>
        <w:t>orientation, en identifiant trois domaines d</w:t>
      </w:r>
      <w:r w:rsidR="0041390A">
        <w:rPr>
          <w:lang w:val="fr"/>
        </w:rPr>
        <w:t>’</w:t>
      </w:r>
      <w:r>
        <w:rPr>
          <w:lang w:val="fr"/>
        </w:rPr>
        <w:t>action fondamentaux et cinq défis ou opportunités pour l</w:t>
      </w:r>
      <w:r w:rsidR="0041390A">
        <w:rPr>
          <w:lang w:val="fr"/>
        </w:rPr>
        <w:t>’</w:t>
      </w:r>
      <w:r>
        <w:rPr>
          <w:lang w:val="fr"/>
        </w:rPr>
        <w:t xml:space="preserve">action climatique dans le cadre de la Convention de 2003. Le changement climatique se poursuit avec des effets de plus en plus importants </w:t>
      </w:r>
      <w:r w:rsidR="0041390A">
        <w:rPr>
          <w:lang w:val="fr"/>
        </w:rPr>
        <w:t xml:space="preserve">qui affectent </w:t>
      </w:r>
      <w:r>
        <w:rPr>
          <w:lang w:val="fr"/>
        </w:rPr>
        <w:t>tous les aspects de la vie. En 2021, l</w:t>
      </w:r>
      <w:r w:rsidR="0041390A">
        <w:rPr>
          <w:lang w:val="fr"/>
        </w:rPr>
        <w:t>’</w:t>
      </w:r>
      <w:r>
        <w:rPr>
          <w:lang w:val="fr"/>
        </w:rPr>
        <w:t>enquête publique de l</w:t>
      </w:r>
      <w:r w:rsidR="0041390A">
        <w:rPr>
          <w:lang w:val="fr"/>
        </w:rPr>
        <w:t>’</w:t>
      </w:r>
      <w:r>
        <w:rPr>
          <w:lang w:val="fr"/>
        </w:rPr>
        <w:t>UNESCO</w:t>
      </w:r>
      <w:bookmarkStart w:id="2" w:name="_Hlk132647556"/>
      <w:r>
        <w:rPr>
          <w:lang w:val="fr"/>
        </w:rPr>
        <w:t xml:space="preserve"> « Le monde en 2030 »</w:t>
      </w:r>
      <w:bookmarkEnd w:id="2"/>
      <w:r>
        <w:rPr>
          <w:lang w:val="fr"/>
        </w:rPr>
        <w:t>  a identifié le « changement climatique et la perte de biodiversité » comme les plus grandes préoccupations désignées pour toutes les régions et tous les groupes démographiques, et comme l</w:t>
      </w:r>
      <w:r w:rsidR="0041390A">
        <w:rPr>
          <w:lang w:val="fr"/>
        </w:rPr>
        <w:t>’</w:t>
      </w:r>
      <w:r>
        <w:rPr>
          <w:lang w:val="fr"/>
        </w:rPr>
        <w:t>un des quatre principaux défis pour 67 % de l</w:t>
      </w:r>
      <w:r w:rsidR="0041390A">
        <w:rPr>
          <w:lang w:val="fr"/>
        </w:rPr>
        <w:t>’</w:t>
      </w:r>
      <w:r>
        <w:rPr>
          <w:lang w:val="fr"/>
        </w:rPr>
        <w:t>ensemble des personnes interrogées.</w:t>
      </w:r>
      <w:r>
        <w:rPr>
          <w:lang w:val="fr"/>
        </w:rPr>
        <w:endnoteReference w:id="1"/>
      </w:r>
      <w:r>
        <w:rPr>
          <w:lang w:val="fr"/>
        </w:rPr>
        <w:t xml:space="preserve"> Dans la catégorie de la perte de climat et de la biodiversité, le sujet qui a suscité le plus d</w:t>
      </w:r>
      <w:r w:rsidR="0041390A">
        <w:rPr>
          <w:lang w:val="fr"/>
        </w:rPr>
        <w:t>’</w:t>
      </w:r>
      <w:r>
        <w:rPr>
          <w:lang w:val="fr"/>
        </w:rPr>
        <w:t>inquiétude est « l</w:t>
      </w:r>
      <w:r w:rsidR="0041390A">
        <w:rPr>
          <w:lang w:val="fr"/>
        </w:rPr>
        <w:t>’</w:t>
      </w:r>
      <w:r>
        <w:rPr>
          <w:lang w:val="fr"/>
        </w:rPr>
        <w:t>augmentation des catastrophes naturelles et des phénomènes météorologiques extrêmes ». Pour la plupart des habitants de la plupart des régions du monde, l</w:t>
      </w:r>
      <w:r w:rsidR="0041390A">
        <w:rPr>
          <w:lang w:val="fr"/>
        </w:rPr>
        <w:t>’</w:t>
      </w:r>
      <w:r>
        <w:rPr>
          <w:lang w:val="fr"/>
        </w:rPr>
        <w:t xml:space="preserve">adaptation au changement climatique consistera </w:t>
      </w:r>
      <w:r w:rsidR="0041390A">
        <w:rPr>
          <w:lang w:val="fr"/>
        </w:rPr>
        <w:t xml:space="preserve">avant tout </w:t>
      </w:r>
      <w:r>
        <w:rPr>
          <w:lang w:val="fr"/>
        </w:rPr>
        <w:t xml:space="preserve">à limiter les risques liés aux </w:t>
      </w:r>
      <w:r w:rsidR="0041390A">
        <w:rPr>
          <w:lang w:val="fr"/>
        </w:rPr>
        <w:t xml:space="preserve">catastrophes </w:t>
      </w:r>
      <w:r>
        <w:rPr>
          <w:lang w:val="fr"/>
        </w:rPr>
        <w:t>naturel</w:t>
      </w:r>
      <w:r w:rsidR="0041390A">
        <w:rPr>
          <w:lang w:val="fr"/>
        </w:rPr>
        <w:t>le</w:t>
      </w:r>
      <w:r>
        <w:rPr>
          <w:lang w:val="fr"/>
        </w:rPr>
        <w:t>s et à faire face aux changements plus lents qui remettent en question des modes de vie entiers.</w:t>
      </w:r>
    </w:p>
    <w:p w14:paraId="5144A7B9" w14:textId="147D4371" w:rsidR="00B86EBF" w:rsidRPr="00AD71A4" w:rsidRDefault="007B47ED" w:rsidP="00A628BE">
      <w:pPr>
        <w:pStyle w:val="1GAPara"/>
        <w:rPr>
          <w:lang w:val="fr-FR"/>
        </w:rPr>
      </w:pPr>
      <w:r>
        <w:rPr>
          <w:lang w:val="fr"/>
        </w:rPr>
        <w:t>Le patrimoine vivant jouera un rôle essentiel dans la manière dont nous abordons et nous adaptons au changement climatique. La vision holistique de la Convention de 2003 place le patrimoine culturel immatériel au centre de la planification et de la modélisation futures du rôle de toutes les formes de patrimoine culturel dans l</w:t>
      </w:r>
      <w:r w:rsidR="0041390A">
        <w:rPr>
          <w:lang w:val="fr"/>
        </w:rPr>
        <w:t>’</w:t>
      </w:r>
      <w:r>
        <w:rPr>
          <w:lang w:val="fr"/>
        </w:rPr>
        <w:t>adaptation au changement climatique. Pour y parvenir, la Convention de 2003 devra : a) développer et promouvoir une compréhension plus claire et plus accessible du patrimoine culturel immatériel qui puisse être mis en relation avec l</w:t>
      </w:r>
      <w:r w:rsidR="0041390A">
        <w:rPr>
          <w:lang w:val="fr"/>
        </w:rPr>
        <w:t>’</w:t>
      </w:r>
      <w:r>
        <w:rPr>
          <w:lang w:val="fr"/>
        </w:rPr>
        <w:t>adaptation au changement climatique aussi rapidement et solidement que possible ; et b) fournir des orientations aux parties prenantes à tous les niveaux sur la meilleure façon d</w:t>
      </w:r>
      <w:r w:rsidR="0041390A">
        <w:rPr>
          <w:lang w:val="fr"/>
        </w:rPr>
        <w:t>’</w:t>
      </w:r>
      <w:r>
        <w:rPr>
          <w:lang w:val="fr"/>
        </w:rPr>
        <w:t>intégrer le patrimoine culturel immatériel à leurs stratégies d</w:t>
      </w:r>
      <w:r w:rsidR="0041390A">
        <w:rPr>
          <w:lang w:val="fr"/>
        </w:rPr>
        <w:t>’</w:t>
      </w:r>
      <w:r>
        <w:rPr>
          <w:lang w:val="fr"/>
        </w:rPr>
        <w:t xml:space="preserve">adaptation au changement climatique. </w:t>
      </w:r>
    </w:p>
    <w:p w14:paraId="2B3D9449" w14:textId="72E25D40" w:rsidR="00F47ACD" w:rsidRPr="00AD71A4" w:rsidRDefault="00B86EBF" w:rsidP="00A628BE">
      <w:pPr>
        <w:pStyle w:val="1GAPara"/>
        <w:rPr>
          <w:lang w:val="fr-FR"/>
        </w:rPr>
      </w:pPr>
      <w:bookmarkStart w:id="3" w:name="_Hlk148610652"/>
      <w:r>
        <w:rPr>
          <w:lang w:val="fr"/>
        </w:rPr>
        <w:t>Il n</w:t>
      </w:r>
      <w:r w:rsidR="0041390A">
        <w:rPr>
          <w:lang w:val="fr"/>
        </w:rPr>
        <w:t>’</w:t>
      </w:r>
      <w:r>
        <w:rPr>
          <w:lang w:val="fr"/>
        </w:rPr>
        <w:t>existe pas de prévisions claires sur la manière dont le changement climatique se déroulera à l</w:t>
      </w:r>
      <w:r w:rsidR="0041390A">
        <w:rPr>
          <w:lang w:val="fr"/>
        </w:rPr>
        <w:t>’</w:t>
      </w:r>
      <w:r>
        <w:rPr>
          <w:lang w:val="fr"/>
        </w:rPr>
        <w:t xml:space="preserve">échelle mondiale ou </w:t>
      </w:r>
      <w:proofErr w:type="gramStart"/>
      <w:r>
        <w:rPr>
          <w:lang w:val="fr"/>
        </w:rPr>
        <w:t>aura</w:t>
      </w:r>
      <w:proofErr w:type="gramEnd"/>
      <w:r>
        <w:rPr>
          <w:lang w:val="fr"/>
        </w:rPr>
        <w:t xml:space="preserve"> des répercussions différentes sur les régions, et les politiques, lignes directrices et outils relatifs aux actions climatiques pour la sauvegarde du patrimoine culturel immatériel devront également faire preuve d</w:t>
      </w:r>
      <w:r w:rsidR="0041390A">
        <w:rPr>
          <w:lang w:val="fr"/>
        </w:rPr>
        <w:t>’</w:t>
      </w:r>
      <w:r>
        <w:rPr>
          <w:lang w:val="fr"/>
        </w:rPr>
        <w:t xml:space="preserve">une grande souplesse et être ouverts à des modifications constantes. </w:t>
      </w:r>
      <w:bookmarkEnd w:id="3"/>
      <w:r>
        <w:rPr>
          <w:lang w:val="fr"/>
        </w:rPr>
        <w:t>Si les orientations et les outils élaborés doivent viser à offrir un modèle de portée mondiale, ce modèle sera d</w:t>
      </w:r>
      <w:r w:rsidR="0041390A">
        <w:rPr>
          <w:lang w:val="fr"/>
        </w:rPr>
        <w:t>’</w:t>
      </w:r>
      <w:r>
        <w:rPr>
          <w:lang w:val="fr"/>
        </w:rPr>
        <w:t>autant plus efficace qu</w:t>
      </w:r>
      <w:r w:rsidR="0041390A">
        <w:rPr>
          <w:lang w:val="fr"/>
        </w:rPr>
        <w:t>’</w:t>
      </w:r>
      <w:r>
        <w:rPr>
          <w:lang w:val="fr"/>
        </w:rPr>
        <w:t xml:space="preserve">il pourra ensuite être adapté aux besoins de régions spécifiques. Des régions particulières sont confrontées à des expériences, des menaces et des vulnérabilités largement similaires en matière </w:t>
      </w:r>
      <w:r w:rsidR="0041390A">
        <w:rPr>
          <w:lang w:val="fr"/>
        </w:rPr>
        <w:t xml:space="preserve">de catastrophes </w:t>
      </w:r>
      <w:r>
        <w:rPr>
          <w:lang w:val="fr"/>
        </w:rPr>
        <w:t xml:space="preserve">et de changement climatique, et il convient de </w:t>
      </w:r>
      <w:r w:rsidR="0041390A">
        <w:rPr>
          <w:lang w:val="fr"/>
        </w:rPr>
        <w:t>prévoir</w:t>
      </w:r>
      <w:r>
        <w:rPr>
          <w:lang w:val="fr"/>
        </w:rPr>
        <w:t xml:space="preserve"> un processus organique de développement de réseaux de pratiques régionaux ou thématiques.</w:t>
      </w:r>
      <w:r>
        <w:rPr>
          <w:rStyle w:val="EndnoteReference"/>
          <w:lang w:val="fr"/>
        </w:rPr>
        <w:endnoteReference w:id="2"/>
      </w:r>
    </w:p>
    <w:p w14:paraId="17E0682E" w14:textId="79DA395A" w:rsidR="007B47ED" w:rsidRPr="00AD71A4" w:rsidRDefault="007B47ED" w:rsidP="00A628BE">
      <w:pPr>
        <w:pStyle w:val="1GAPara"/>
        <w:rPr>
          <w:lang w:val="fr-FR"/>
        </w:rPr>
      </w:pPr>
      <w:r>
        <w:rPr>
          <w:lang w:val="fr"/>
        </w:rPr>
        <w:t>Les trois grands domaines d</w:t>
      </w:r>
      <w:r w:rsidR="0041390A">
        <w:rPr>
          <w:lang w:val="fr"/>
        </w:rPr>
        <w:t>’</w:t>
      </w:r>
      <w:r>
        <w:rPr>
          <w:lang w:val="fr"/>
        </w:rPr>
        <w:t>action et les cinq défis ou opportunités pour l</w:t>
      </w:r>
      <w:r w:rsidR="0041390A">
        <w:rPr>
          <w:lang w:val="fr"/>
        </w:rPr>
        <w:t>’</w:t>
      </w:r>
      <w:r>
        <w:rPr>
          <w:lang w:val="fr"/>
        </w:rPr>
        <w:t>action climatique présentés ci-dessous fournissent une orientation pour le développement de cette série d</w:t>
      </w:r>
      <w:r w:rsidR="0041390A">
        <w:rPr>
          <w:lang w:val="fr"/>
        </w:rPr>
        <w:t>’</w:t>
      </w:r>
      <w:r>
        <w:rPr>
          <w:lang w:val="fr"/>
        </w:rPr>
        <w:t>instruments.</w:t>
      </w:r>
    </w:p>
    <w:p w14:paraId="48B99367" w14:textId="43D729A8" w:rsidR="007B47ED" w:rsidRPr="00951667" w:rsidRDefault="00C951EC" w:rsidP="00951667">
      <w:pPr>
        <w:spacing w:before="240" w:line="360" w:lineRule="auto"/>
        <w:jc w:val="both"/>
        <w:rPr>
          <w:rFonts w:ascii="Arial" w:eastAsia="Calibri" w:hAnsi="Arial" w:cs="Arial"/>
          <w:b/>
          <w:bCs/>
          <w:szCs w:val="22"/>
          <w:u w:val="single"/>
        </w:rPr>
      </w:pPr>
      <w:r>
        <w:rPr>
          <w:rFonts w:ascii="Arial" w:eastAsia="Calibri" w:hAnsi="Arial" w:cs="Arial"/>
          <w:b/>
          <w:bCs/>
          <w:szCs w:val="22"/>
          <w:u w:val="single"/>
          <w:lang w:val="fr"/>
        </w:rPr>
        <w:t>Principaux domaines d</w:t>
      </w:r>
      <w:r w:rsidR="0041390A">
        <w:rPr>
          <w:rFonts w:ascii="Arial" w:eastAsia="Calibri" w:hAnsi="Arial" w:cs="Arial"/>
          <w:b/>
          <w:bCs/>
          <w:szCs w:val="22"/>
          <w:u w:val="single"/>
          <w:lang w:val="fr"/>
        </w:rPr>
        <w:t>’</w:t>
      </w:r>
      <w:r>
        <w:rPr>
          <w:rFonts w:ascii="Arial" w:eastAsia="Calibri" w:hAnsi="Arial" w:cs="Arial"/>
          <w:b/>
          <w:bCs/>
          <w:szCs w:val="22"/>
          <w:u w:val="single"/>
          <w:lang w:val="fr"/>
        </w:rPr>
        <w:t xml:space="preserve">action </w:t>
      </w:r>
    </w:p>
    <w:p w14:paraId="5626282D" w14:textId="3065E487" w:rsidR="007B47ED" w:rsidRPr="00AD71A4" w:rsidRDefault="007B47ED" w:rsidP="007B47ED">
      <w:pPr>
        <w:pStyle w:val="COMPara"/>
        <w:keepNext/>
        <w:numPr>
          <w:ilvl w:val="0"/>
          <w:numId w:val="30"/>
        </w:numPr>
        <w:jc w:val="both"/>
        <w:rPr>
          <w:lang w:val="fr-FR"/>
        </w:rPr>
      </w:pPr>
      <w:r>
        <w:rPr>
          <w:b/>
          <w:bCs/>
          <w:lang w:val="fr"/>
        </w:rPr>
        <w:t>Promouvoir et renforcer le rôle du patrimoine vivant dans l</w:t>
      </w:r>
      <w:r w:rsidR="0041390A">
        <w:rPr>
          <w:b/>
          <w:bCs/>
          <w:lang w:val="fr"/>
        </w:rPr>
        <w:t>’</w:t>
      </w:r>
      <w:r>
        <w:rPr>
          <w:b/>
          <w:bCs/>
          <w:lang w:val="fr"/>
        </w:rPr>
        <w:t>adaptation au changement climatique</w:t>
      </w:r>
    </w:p>
    <w:p w14:paraId="10E02F2D" w14:textId="5655C8F7" w:rsidR="007B47ED" w:rsidRPr="00AD71A4" w:rsidRDefault="007B47ED" w:rsidP="007B47ED">
      <w:pPr>
        <w:pStyle w:val="COMPara"/>
        <w:keepNext/>
        <w:ind w:firstLine="0"/>
        <w:jc w:val="both"/>
        <w:rPr>
          <w:lang w:val="fr-FR"/>
        </w:rPr>
      </w:pPr>
      <w:r>
        <w:rPr>
          <w:lang w:val="fr"/>
        </w:rPr>
        <w:t>Le patrimoine vivant a un rôle positif essentiel à jouer dans l</w:t>
      </w:r>
      <w:r w:rsidR="0041390A">
        <w:rPr>
          <w:lang w:val="fr"/>
        </w:rPr>
        <w:t>’</w:t>
      </w:r>
      <w:r>
        <w:rPr>
          <w:lang w:val="fr"/>
        </w:rPr>
        <w:t>adaptation des sociétés et des environnements au changement climatique et dans la gestion de ses impacts en identifiant, évaluant et surveillant le changement climatique, en limitant les impacts liés au climat, en promouvant et en facilitant l</w:t>
      </w:r>
      <w:r w:rsidR="0041390A">
        <w:rPr>
          <w:lang w:val="fr"/>
        </w:rPr>
        <w:t>’</w:t>
      </w:r>
      <w:r>
        <w:rPr>
          <w:lang w:val="fr"/>
        </w:rPr>
        <w:t>adaptation de la société et de l</w:t>
      </w:r>
      <w:r w:rsidR="0041390A">
        <w:rPr>
          <w:lang w:val="fr"/>
        </w:rPr>
        <w:t>’</w:t>
      </w:r>
      <w:r>
        <w:rPr>
          <w:lang w:val="fr"/>
        </w:rPr>
        <w:t>environnement au changement climatique. Les parties prenantes de la Convention de 2003, en particulier les communautés, sont des médiateurs importants dans les processus d</w:t>
      </w:r>
      <w:r w:rsidR="0041390A">
        <w:rPr>
          <w:lang w:val="fr"/>
        </w:rPr>
        <w:t>’</w:t>
      </w:r>
      <w:r>
        <w:rPr>
          <w:lang w:val="fr"/>
        </w:rPr>
        <w:t>adaptation au climat. Pour réaliser ce potentiel, il est essentiel de mettre en place des mécanismes et des forums appropriés qui promeuvent le rôle du patrimoine vivant dans l</w:t>
      </w:r>
      <w:r w:rsidR="0041390A">
        <w:rPr>
          <w:lang w:val="fr"/>
        </w:rPr>
        <w:t>’</w:t>
      </w:r>
      <w:r>
        <w:rPr>
          <w:lang w:val="fr"/>
        </w:rPr>
        <w:t xml:space="preserve">adaptation au changement climatique et qui </w:t>
      </w:r>
      <w:r>
        <w:rPr>
          <w:lang w:val="fr"/>
        </w:rPr>
        <w:lastRenderedPageBreak/>
        <w:t>permettent un nouveau dialogue avec les systèmes de connaissances scientifiques et des échanges sur les stratégies d</w:t>
      </w:r>
      <w:r w:rsidR="0041390A">
        <w:rPr>
          <w:lang w:val="fr"/>
        </w:rPr>
        <w:t>’</w:t>
      </w:r>
      <w:r>
        <w:rPr>
          <w:lang w:val="fr"/>
        </w:rPr>
        <w:t xml:space="preserve">adaptation au changement climatique. </w:t>
      </w:r>
    </w:p>
    <w:p w14:paraId="037E8940" w14:textId="340B7D67" w:rsidR="007B47ED" w:rsidRPr="00AD71A4" w:rsidRDefault="007B47ED" w:rsidP="007B47ED">
      <w:pPr>
        <w:pStyle w:val="COMPara"/>
        <w:keepNext/>
        <w:numPr>
          <w:ilvl w:val="0"/>
          <w:numId w:val="30"/>
        </w:numPr>
        <w:jc w:val="both"/>
        <w:rPr>
          <w:b/>
          <w:bCs/>
          <w:lang w:val="fr-FR"/>
        </w:rPr>
      </w:pPr>
      <w:r>
        <w:rPr>
          <w:b/>
          <w:bCs/>
          <w:lang w:val="fr"/>
        </w:rPr>
        <w:t>Promouvoir et renforcer le rôle du patrimoine vivant dans l</w:t>
      </w:r>
      <w:r w:rsidR="0041390A">
        <w:rPr>
          <w:b/>
          <w:bCs/>
          <w:lang w:val="fr"/>
        </w:rPr>
        <w:t>’</w:t>
      </w:r>
      <w:r>
        <w:rPr>
          <w:b/>
          <w:bCs/>
          <w:lang w:val="fr"/>
        </w:rPr>
        <w:t>atténuation du changement climatique</w:t>
      </w:r>
    </w:p>
    <w:p w14:paraId="2863FCB2" w14:textId="727DE2AA" w:rsidR="007B47ED" w:rsidRPr="00AD71A4" w:rsidRDefault="007B47ED" w:rsidP="007B47ED">
      <w:pPr>
        <w:pStyle w:val="COMPara"/>
        <w:keepNext/>
        <w:ind w:firstLine="0"/>
        <w:jc w:val="both"/>
        <w:rPr>
          <w:lang w:val="fr-FR"/>
        </w:rPr>
      </w:pPr>
      <w:r>
        <w:rPr>
          <w:lang w:val="fr"/>
        </w:rPr>
        <w:t>L</w:t>
      </w:r>
      <w:r w:rsidR="0041390A">
        <w:rPr>
          <w:lang w:val="fr"/>
        </w:rPr>
        <w:t>’</w:t>
      </w:r>
      <w:r>
        <w:rPr>
          <w:lang w:val="fr"/>
        </w:rPr>
        <w:t>atténuation du changement climatique est une occasion importante pour les communautés locales et les peuples autochtones, qui constituent rarement, voire jamais, des sources majeures d</w:t>
      </w:r>
      <w:r w:rsidR="0041390A">
        <w:rPr>
          <w:lang w:val="fr"/>
        </w:rPr>
        <w:t>’</w:t>
      </w:r>
      <w:r>
        <w:rPr>
          <w:lang w:val="fr"/>
        </w:rPr>
        <w:t>émissions, de démontrer la contribution potentielle de leurs connaissances et de leur expérience. Les régimes locaux et autochtones de gestion des incendies, les systèmes agricoles patrimoniaux à faible teneur en carbone et la gestion des puits de carbone naturels sont des formes démontrées d</w:t>
      </w:r>
      <w:r w:rsidR="0041390A">
        <w:rPr>
          <w:lang w:val="fr"/>
        </w:rPr>
        <w:t>’</w:t>
      </w:r>
      <w:r>
        <w:rPr>
          <w:lang w:val="fr"/>
        </w:rPr>
        <w:t xml:space="preserve">atténuation. Les parties prenantes pourraient souhaiter promouvoir davantage la possibilité de tirer des enseignements de ce patrimoine vivant et de le </w:t>
      </w:r>
      <w:r w:rsidR="0041390A">
        <w:rPr>
          <w:lang w:val="fr"/>
        </w:rPr>
        <w:t>valoriser à des fins d’atténuation</w:t>
      </w:r>
      <w:r>
        <w:rPr>
          <w:lang w:val="fr"/>
        </w:rPr>
        <w:t>.</w:t>
      </w:r>
    </w:p>
    <w:p w14:paraId="1EE20518" w14:textId="626D8FC3" w:rsidR="007B47ED" w:rsidRPr="00AD71A4" w:rsidRDefault="007B47ED" w:rsidP="007B47ED">
      <w:pPr>
        <w:pStyle w:val="COMPara"/>
        <w:keepNext/>
        <w:numPr>
          <w:ilvl w:val="0"/>
          <w:numId w:val="30"/>
        </w:numPr>
        <w:jc w:val="both"/>
        <w:rPr>
          <w:b/>
          <w:bCs/>
          <w:lang w:val="fr-FR"/>
        </w:rPr>
      </w:pPr>
      <w:r>
        <w:rPr>
          <w:b/>
          <w:bCs/>
          <w:lang w:val="fr"/>
        </w:rPr>
        <w:t>Améliorer les mesures de sauvegarde du patrimoine vivant en cas d</w:t>
      </w:r>
      <w:r w:rsidR="0041390A">
        <w:rPr>
          <w:b/>
          <w:bCs/>
          <w:lang w:val="fr"/>
        </w:rPr>
        <w:t>’</w:t>
      </w:r>
      <w:r>
        <w:rPr>
          <w:b/>
          <w:bCs/>
          <w:lang w:val="fr"/>
        </w:rPr>
        <w:t>urgence climatique</w:t>
      </w:r>
    </w:p>
    <w:p w14:paraId="5FEA27AF" w14:textId="2C2F4813" w:rsidR="007B47ED" w:rsidRPr="00AD71A4" w:rsidRDefault="007B47ED" w:rsidP="007B47ED">
      <w:pPr>
        <w:pStyle w:val="COMPara"/>
        <w:keepNext/>
        <w:jc w:val="both"/>
        <w:rPr>
          <w:lang w:val="fr-FR"/>
        </w:rPr>
      </w:pPr>
      <w:r>
        <w:rPr>
          <w:lang w:val="fr"/>
        </w:rPr>
        <w:tab/>
        <w:t>Le patrimoine vivant a été une source importante de résilience face aux transformations lentes de l</w:t>
      </w:r>
      <w:r w:rsidR="0041390A">
        <w:rPr>
          <w:lang w:val="fr"/>
        </w:rPr>
        <w:t>’</w:t>
      </w:r>
      <w:r>
        <w:rPr>
          <w:lang w:val="fr"/>
        </w:rPr>
        <w:t>environnement local et aux situations d</w:t>
      </w:r>
      <w:r w:rsidR="0041390A">
        <w:rPr>
          <w:lang w:val="fr"/>
        </w:rPr>
        <w:t>’</w:t>
      </w:r>
      <w:r>
        <w:rPr>
          <w:lang w:val="fr"/>
        </w:rPr>
        <w:t>urgence rapides. Il s</w:t>
      </w:r>
      <w:r w:rsidR="0041390A">
        <w:rPr>
          <w:lang w:val="fr"/>
        </w:rPr>
        <w:t>’</w:t>
      </w:r>
      <w:r>
        <w:rPr>
          <w:lang w:val="fr"/>
        </w:rPr>
        <w:t>avérera vital pour les communautés et la sauvegarde de leur patrimoine dans le cadre de l</w:t>
      </w:r>
      <w:r w:rsidR="0041390A">
        <w:rPr>
          <w:lang w:val="fr"/>
        </w:rPr>
        <w:t>’</w:t>
      </w:r>
      <w:r>
        <w:rPr>
          <w:lang w:val="fr"/>
        </w:rPr>
        <w:t>urgence climatique. Le fait de comprendre les sources de vulnérabilité aux effets du changement climatique pour les communautés et leur patrimoine vivant constituer une priorité urgente pour doter les parties prenantes des connaissances et des moyens nécessaires pour soutenir et renforcer les mesures de sauvegarde nécessaires.</w:t>
      </w:r>
    </w:p>
    <w:p w14:paraId="23D1F53B" w14:textId="52D47068" w:rsidR="007B47ED" w:rsidRPr="00951667" w:rsidRDefault="00C951EC" w:rsidP="00951667">
      <w:pPr>
        <w:spacing w:before="240" w:line="360" w:lineRule="auto"/>
        <w:jc w:val="both"/>
        <w:rPr>
          <w:rFonts w:eastAsia="Calibri" w:cs="Arial"/>
          <w:szCs w:val="22"/>
          <w:u w:val="single"/>
        </w:rPr>
      </w:pPr>
      <w:r>
        <w:rPr>
          <w:rFonts w:ascii="Arial" w:eastAsia="Calibri" w:hAnsi="Arial" w:cs="Arial"/>
          <w:b/>
          <w:bCs/>
          <w:szCs w:val="22"/>
          <w:u w:val="single"/>
          <w:lang w:val="fr"/>
        </w:rPr>
        <w:t xml:space="preserve">Défis et opportunités </w:t>
      </w:r>
    </w:p>
    <w:p w14:paraId="6ACEA0EC" w14:textId="0E979555" w:rsidR="00296322" w:rsidRPr="00C32B90" w:rsidRDefault="00C951EC" w:rsidP="00951667">
      <w:pPr>
        <w:pStyle w:val="Heading4"/>
        <w:numPr>
          <w:ilvl w:val="0"/>
          <w:numId w:val="33"/>
        </w:numPr>
        <w:rPr>
          <w:rFonts w:eastAsia="Calibri"/>
        </w:rPr>
      </w:pPr>
      <w:r>
        <w:rPr>
          <w:rFonts w:eastAsia="Calibri"/>
          <w:lang w:val="fr"/>
        </w:rPr>
        <w:t xml:space="preserve"> Partenariats</w:t>
      </w:r>
    </w:p>
    <w:p w14:paraId="74F392A8" w14:textId="106379A6" w:rsidR="00296322" w:rsidRPr="00AD71A4" w:rsidRDefault="00296322" w:rsidP="00296322">
      <w:pPr>
        <w:pStyle w:val="1GAPara"/>
        <w:rPr>
          <w:lang w:val="fr-FR"/>
        </w:rPr>
      </w:pPr>
      <w:r>
        <w:rPr>
          <w:lang w:val="fr"/>
        </w:rPr>
        <w:t>Une grande partie de l</w:t>
      </w:r>
      <w:r w:rsidR="0041390A">
        <w:rPr>
          <w:lang w:val="fr"/>
        </w:rPr>
        <w:t>’</w:t>
      </w:r>
      <w:r>
        <w:rPr>
          <w:lang w:val="fr"/>
        </w:rPr>
        <w:t>engagement institutionnel nécessaire à une intégration efficace du patrimoine vivant et de l</w:t>
      </w:r>
      <w:r w:rsidR="0041390A">
        <w:rPr>
          <w:lang w:val="fr"/>
        </w:rPr>
        <w:t>’</w:t>
      </w:r>
      <w:r>
        <w:rPr>
          <w:lang w:val="fr"/>
        </w:rPr>
        <w:t>adaptation au changement climatique est déjà en place. Les parties prenantes à la Convention de 2003 devraient jouer un rôle important dans la mise en place de réseaux de partenariat avec d</w:t>
      </w:r>
      <w:r w:rsidR="0041390A">
        <w:rPr>
          <w:lang w:val="fr"/>
        </w:rPr>
        <w:t>’</w:t>
      </w:r>
      <w:r>
        <w:rPr>
          <w:lang w:val="fr"/>
        </w:rPr>
        <w:t>autres Conventions de l</w:t>
      </w:r>
      <w:r w:rsidR="0041390A">
        <w:rPr>
          <w:lang w:val="fr"/>
        </w:rPr>
        <w:t>’</w:t>
      </w:r>
      <w:r>
        <w:rPr>
          <w:lang w:val="fr"/>
        </w:rPr>
        <w:t>UNESCO, avec des institutions clés en matière d</w:t>
      </w:r>
      <w:r w:rsidR="0041390A">
        <w:rPr>
          <w:lang w:val="fr"/>
        </w:rPr>
        <w:t>’</w:t>
      </w:r>
      <w:r>
        <w:rPr>
          <w:lang w:val="fr"/>
        </w:rPr>
        <w:t>urgence et de changement climatique, ainsi qu</w:t>
      </w:r>
      <w:r w:rsidR="0041390A">
        <w:rPr>
          <w:lang w:val="fr"/>
        </w:rPr>
        <w:t>’</w:t>
      </w:r>
      <w:r>
        <w:rPr>
          <w:lang w:val="fr"/>
        </w:rPr>
        <w:t>avec d</w:t>
      </w:r>
      <w:r w:rsidR="0041390A">
        <w:rPr>
          <w:lang w:val="fr"/>
        </w:rPr>
        <w:t>’</w:t>
      </w:r>
      <w:r>
        <w:rPr>
          <w:lang w:val="fr"/>
        </w:rPr>
        <w:t>autres institutions et initiatives déjà engagées dans l</w:t>
      </w:r>
      <w:r w:rsidR="0041390A">
        <w:rPr>
          <w:lang w:val="fr"/>
        </w:rPr>
        <w:t>’</w:t>
      </w:r>
      <w:r>
        <w:rPr>
          <w:lang w:val="fr"/>
        </w:rPr>
        <w:t xml:space="preserve">intégration du changement climatique et du patrimoine vivant. Les mécanismes existants de partenariat et de représentation des communautés locales et des détenteurs du patrimoine vivant </w:t>
      </w:r>
      <w:proofErr w:type="gramStart"/>
      <w:r>
        <w:rPr>
          <w:lang w:val="fr"/>
        </w:rPr>
        <w:t>devront</w:t>
      </w:r>
      <w:proofErr w:type="gramEnd"/>
      <w:r>
        <w:rPr>
          <w:lang w:val="fr"/>
        </w:rPr>
        <w:t xml:space="preserve"> être </w:t>
      </w:r>
      <w:r w:rsidR="004634DD">
        <w:rPr>
          <w:lang w:val="fr"/>
        </w:rPr>
        <w:t xml:space="preserve">encore </w:t>
      </w:r>
      <w:r>
        <w:rPr>
          <w:lang w:val="fr"/>
        </w:rPr>
        <w:t>améliorés ou renforcés.</w:t>
      </w:r>
    </w:p>
    <w:p w14:paraId="3F4E2F84" w14:textId="45C2B1FF" w:rsidR="00296322" w:rsidRPr="00AD71A4" w:rsidRDefault="00296322" w:rsidP="00296322">
      <w:pPr>
        <w:pStyle w:val="1GAPara"/>
        <w:rPr>
          <w:lang w:val="fr-FR"/>
        </w:rPr>
      </w:pPr>
      <w:r>
        <w:rPr>
          <w:lang w:val="fr"/>
        </w:rPr>
        <w:t>Le processus d</w:t>
      </w:r>
      <w:r w:rsidR="0041390A">
        <w:rPr>
          <w:lang w:val="fr"/>
        </w:rPr>
        <w:t>’</w:t>
      </w:r>
      <w:r>
        <w:rPr>
          <w:lang w:val="fr"/>
        </w:rPr>
        <w:t>élaboration, de communication et de mise en œuvre des politiques doit être mené par la Convention de 2003 si l</w:t>
      </w:r>
      <w:r w:rsidR="0041390A">
        <w:rPr>
          <w:lang w:val="fr"/>
        </w:rPr>
        <w:t>’</w:t>
      </w:r>
      <w:r>
        <w:rPr>
          <w:lang w:val="fr"/>
        </w:rPr>
        <w:t>on veut qu</w:t>
      </w:r>
      <w:r w:rsidR="0041390A">
        <w:rPr>
          <w:lang w:val="fr"/>
        </w:rPr>
        <w:t>’</w:t>
      </w:r>
      <w:r>
        <w:rPr>
          <w:lang w:val="fr"/>
        </w:rPr>
        <w:t>il aborde de manière substantielle la question du patrimoine, mais les partenariats avec certain(e)s des institutions, instruments et personnes clés identifié(e)s dans l</w:t>
      </w:r>
      <w:r w:rsidR="0041390A">
        <w:rPr>
          <w:lang w:val="fr"/>
        </w:rPr>
        <w:t>’</w:t>
      </w:r>
      <w:r>
        <w:rPr>
          <w:lang w:val="fr"/>
        </w:rPr>
        <w:t>examen des cadres politiques pertinents (LHE</w:t>
      </w:r>
      <w:r w:rsidR="004634DD">
        <w:rPr>
          <w:lang w:val="fr"/>
        </w:rPr>
        <w:t>/</w:t>
      </w:r>
      <w:r>
        <w:rPr>
          <w:lang w:val="fr"/>
        </w:rPr>
        <w:t>24</w:t>
      </w:r>
      <w:r w:rsidR="004634DD">
        <w:rPr>
          <w:lang w:val="fr"/>
        </w:rPr>
        <w:t>/</w:t>
      </w:r>
      <w:r>
        <w:rPr>
          <w:lang w:val="fr"/>
        </w:rPr>
        <w:t>EXP</w:t>
      </w:r>
      <w:r w:rsidR="004634DD">
        <w:rPr>
          <w:lang w:val="fr"/>
        </w:rPr>
        <w:t xml:space="preserve"> </w:t>
      </w:r>
      <w:r>
        <w:rPr>
          <w:lang w:val="fr"/>
        </w:rPr>
        <w:t>THEMA-CLIMA</w:t>
      </w:r>
      <w:r w:rsidR="004634DD">
        <w:rPr>
          <w:lang w:val="fr"/>
        </w:rPr>
        <w:t>/</w:t>
      </w:r>
      <w:r>
        <w:rPr>
          <w:lang w:val="fr"/>
        </w:rPr>
        <w:t xml:space="preserve">4e) seront déterminants pour la réussite de ce processus. </w:t>
      </w:r>
    </w:p>
    <w:p w14:paraId="3581B7CA" w14:textId="5CE73233" w:rsidR="00296322" w:rsidRPr="00AD71A4" w:rsidRDefault="00296322" w:rsidP="0035787E">
      <w:pPr>
        <w:pStyle w:val="1GAPara"/>
        <w:numPr>
          <w:ilvl w:val="0"/>
          <w:numId w:val="34"/>
        </w:numPr>
        <w:ind w:left="540"/>
        <w:rPr>
          <w:lang w:val="fr-FR"/>
        </w:rPr>
      </w:pPr>
      <w:r>
        <w:rPr>
          <w:b/>
          <w:bCs/>
          <w:lang w:val="fr"/>
        </w:rPr>
        <w:t>Améliorer la coordination entre les conventions sur le patrimoine et les parties prenantes</w:t>
      </w:r>
      <w:r>
        <w:rPr>
          <w:lang w:val="fr"/>
        </w:rPr>
        <w:t>. En s</w:t>
      </w:r>
      <w:r w:rsidR="0041390A">
        <w:rPr>
          <w:lang w:val="fr"/>
        </w:rPr>
        <w:t>’</w:t>
      </w:r>
      <w:r>
        <w:rPr>
          <w:lang w:val="fr"/>
        </w:rPr>
        <w:t>appuyant sur des initiatives récentes telles que l</w:t>
      </w:r>
      <w:r w:rsidR="0041390A">
        <w:rPr>
          <w:lang w:val="fr"/>
        </w:rPr>
        <w:t>’</w:t>
      </w:r>
      <w:r>
        <w:rPr>
          <w:lang w:val="fr"/>
        </w:rPr>
        <w:t>appel à l</w:t>
      </w:r>
      <w:r w:rsidR="0041390A">
        <w:rPr>
          <w:lang w:val="fr"/>
        </w:rPr>
        <w:t>’</w:t>
      </w:r>
      <w:r>
        <w:rPr>
          <w:lang w:val="fr"/>
        </w:rPr>
        <w:t>action « L</w:t>
      </w:r>
      <w:r w:rsidR="0041390A">
        <w:rPr>
          <w:lang w:val="fr"/>
        </w:rPr>
        <w:t>’</w:t>
      </w:r>
      <w:r>
        <w:rPr>
          <w:lang w:val="fr"/>
        </w:rPr>
        <w:t>Esprit de Naples », la collaboration avec d</w:t>
      </w:r>
      <w:r w:rsidR="0041390A">
        <w:rPr>
          <w:lang w:val="fr"/>
        </w:rPr>
        <w:t>’</w:t>
      </w:r>
      <w:r>
        <w:rPr>
          <w:lang w:val="fr"/>
        </w:rPr>
        <w:t>autres conventions et programmes de l</w:t>
      </w:r>
      <w:r w:rsidR="0041390A">
        <w:rPr>
          <w:lang w:val="fr"/>
        </w:rPr>
        <w:t>’</w:t>
      </w:r>
      <w:r>
        <w:rPr>
          <w:lang w:val="fr"/>
        </w:rPr>
        <w:t>UNESCO relatifs au patrimoine est essentielle pour s</w:t>
      </w:r>
      <w:r w:rsidR="0041390A">
        <w:rPr>
          <w:lang w:val="fr"/>
        </w:rPr>
        <w:t>’</w:t>
      </w:r>
      <w:r>
        <w:rPr>
          <w:lang w:val="fr"/>
        </w:rPr>
        <w:t>assurer que le patrimoine vivant est correctement identifié et pris en compte dans leurs politiques relatives au changement climatique et aux situations d</w:t>
      </w:r>
      <w:r w:rsidR="0041390A">
        <w:rPr>
          <w:lang w:val="fr"/>
        </w:rPr>
        <w:t>’</w:t>
      </w:r>
      <w:r>
        <w:rPr>
          <w:lang w:val="fr"/>
        </w:rPr>
        <w:t>urgence. C</w:t>
      </w:r>
      <w:r w:rsidR="0041390A">
        <w:rPr>
          <w:lang w:val="fr"/>
        </w:rPr>
        <w:t>’</w:t>
      </w:r>
      <w:r>
        <w:rPr>
          <w:lang w:val="fr"/>
        </w:rPr>
        <w:t>est également l</w:t>
      </w:r>
      <w:r w:rsidR="0041390A">
        <w:rPr>
          <w:lang w:val="fr"/>
        </w:rPr>
        <w:t>’</w:t>
      </w:r>
      <w:r>
        <w:rPr>
          <w:lang w:val="fr"/>
        </w:rPr>
        <w:t>occasion de reconsidérer et d</w:t>
      </w:r>
      <w:r w:rsidR="0041390A">
        <w:rPr>
          <w:lang w:val="fr"/>
        </w:rPr>
        <w:t>’</w:t>
      </w:r>
      <w:r>
        <w:rPr>
          <w:lang w:val="fr"/>
        </w:rPr>
        <w:t>harmoniser les approches conceptuelles des distinctions entre patrimoine naturel et culturel, et entre expressions matérielles et immatérielles du patrimoine culturel, qui entravent souvent notre capacité à comprendre et à communiquer les processus de pratique et de transmission culturelles, et à modéliser leur capacité d</w:t>
      </w:r>
      <w:r w:rsidR="0041390A">
        <w:rPr>
          <w:lang w:val="fr"/>
        </w:rPr>
        <w:t>’</w:t>
      </w:r>
      <w:r>
        <w:rPr>
          <w:lang w:val="fr"/>
        </w:rPr>
        <w:t>adaptation au changement climatique.</w:t>
      </w:r>
    </w:p>
    <w:p w14:paraId="4C749C3F" w14:textId="5EB26A5F" w:rsidR="00296322" w:rsidRPr="00AD71A4" w:rsidRDefault="00296322" w:rsidP="0035787E">
      <w:pPr>
        <w:pStyle w:val="1GAPara"/>
        <w:numPr>
          <w:ilvl w:val="0"/>
          <w:numId w:val="34"/>
        </w:numPr>
        <w:ind w:left="540"/>
        <w:rPr>
          <w:lang w:val="fr-FR"/>
        </w:rPr>
      </w:pPr>
      <w:r>
        <w:rPr>
          <w:b/>
          <w:bCs/>
          <w:lang w:val="fr"/>
        </w:rPr>
        <w:t>Aborder l</w:t>
      </w:r>
      <w:r w:rsidR="0041390A">
        <w:rPr>
          <w:b/>
          <w:bCs/>
          <w:lang w:val="fr"/>
        </w:rPr>
        <w:t>’</w:t>
      </w:r>
      <w:r>
        <w:rPr>
          <w:b/>
          <w:bCs/>
          <w:lang w:val="fr"/>
        </w:rPr>
        <w:t>adaptation au changement climatique dans un cadre d</w:t>
      </w:r>
      <w:r w:rsidR="0041390A">
        <w:rPr>
          <w:b/>
          <w:bCs/>
          <w:lang w:val="fr"/>
        </w:rPr>
        <w:t>’</w:t>
      </w:r>
      <w:r>
        <w:rPr>
          <w:b/>
          <w:bCs/>
          <w:lang w:val="fr"/>
        </w:rPr>
        <w:t>urgence.</w:t>
      </w:r>
      <w:r>
        <w:rPr>
          <w:lang w:val="fr"/>
        </w:rPr>
        <w:t xml:space="preserve"> Qu</w:t>
      </w:r>
      <w:r w:rsidR="0041390A">
        <w:rPr>
          <w:lang w:val="fr"/>
        </w:rPr>
        <w:t>’</w:t>
      </w:r>
      <w:r>
        <w:rPr>
          <w:lang w:val="fr"/>
        </w:rPr>
        <w:t>il s</w:t>
      </w:r>
      <w:r w:rsidR="0041390A">
        <w:rPr>
          <w:lang w:val="fr"/>
        </w:rPr>
        <w:t>’</w:t>
      </w:r>
      <w:r>
        <w:rPr>
          <w:lang w:val="fr"/>
        </w:rPr>
        <w:t>agisse de changements à évolution lente ou de situations d</w:t>
      </w:r>
      <w:r w:rsidR="0041390A">
        <w:rPr>
          <w:lang w:val="fr"/>
        </w:rPr>
        <w:t>’</w:t>
      </w:r>
      <w:r>
        <w:rPr>
          <w:lang w:val="fr"/>
        </w:rPr>
        <w:t xml:space="preserve">urgence plus rapides liées à des </w:t>
      </w:r>
      <w:r w:rsidR="004634DD">
        <w:rPr>
          <w:lang w:val="fr"/>
        </w:rPr>
        <w:t>catastrophes</w:t>
      </w:r>
      <w:r>
        <w:rPr>
          <w:lang w:val="fr"/>
        </w:rPr>
        <w:t xml:space="preserve">, les stratégies élaborées pour limiter les effets du changement climatique sur le patrimoine vivant pourraient bénéficier des approches des cadres de gestion des urgences ou </w:t>
      </w:r>
      <w:r>
        <w:rPr>
          <w:lang w:val="fr"/>
        </w:rPr>
        <w:lastRenderedPageBreak/>
        <w:t>de réduction des risques de catastrophe. Des leçons et des stratégies de sauvegarde du patrimoine vivant peuvent être tirées de l</w:t>
      </w:r>
      <w:r w:rsidR="0041390A">
        <w:rPr>
          <w:lang w:val="fr"/>
        </w:rPr>
        <w:t>’</w:t>
      </w:r>
      <w:r>
        <w:rPr>
          <w:lang w:val="fr"/>
        </w:rPr>
        <w:t>ensemble des situations d</w:t>
      </w:r>
      <w:r w:rsidR="0041390A">
        <w:rPr>
          <w:lang w:val="fr"/>
        </w:rPr>
        <w:t>’</w:t>
      </w:r>
      <w:r>
        <w:rPr>
          <w:lang w:val="fr"/>
        </w:rPr>
        <w:t xml:space="preserve">urgence, y compris les conflits, les pandémies et les </w:t>
      </w:r>
      <w:r w:rsidR="004634DD">
        <w:rPr>
          <w:lang w:val="fr"/>
        </w:rPr>
        <w:t xml:space="preserve">risques de </w:t>
      </w:r>
      <w:r>
        <w:rPr>
          <w:lang w:val="fr"/>
        </w:rPr>
        <w:t>catastrophes naturelles ou causées par l</w:t>
      </w:r>
      <w:r w:rsidR="0041390A">
        <w:rPr>
          <w:lang w:val="fr"/>
        </w:rPr>
        <w:t>’</w:t>
      </w:r>
      <w:r>
        <w:rPr>
          <w:lang w:val="fr"/>
        </w:rPr>
        <w:t>homme. Les partenariats avec l</w:t>
      </w:r>
      <w:r w:rsidR="0041390A">
        <w:rPr>
          <w:lang w:val="fr"/>
        </w:rPr>
        <w:t>’</w:t>
      </w:r>
      <w:r>
        <w:rPr>
          <w:lang w:val="fr"/>
        </w:rPr>
        <w:t>UNDRR et d</w:t>
      </w:r>
      <w:r w:rsidR="0041390A">
        <w:rPr>
          <w:lang w:val="fr"/>
        </w:rPr>
        <w:t>’</w:t>
      </w:r>
      <w:r>
        <w:rPr>
          <w:lang w:val="fr"/>
        </w:rPr>
        <w:t>autres cadres d</w:t>
      </w:r>
      <w:r w:rsidR="0041390A">
        <w:rPr>
          <w:lang w:val="fr"/>
        </w:rPr>
        <w:t>’</w:t>
      </w:r>
      <w:r>
        <w:rPr>
          <w:lang w:val="fr"/>
        </w:rPr>
        <w:t>urgence devraient être une priorité.</w:t>
      </w:r>
    </w:p>
    <w:p w14:paraId="309AEAE3" w14:textId="5F72A3EF" w:rsidR="00296322" w:rsidRPr="00AD71A4" w:rsidRDefault="00296322" w:rsidP="0035787E">
      <w:pPr>
        <w:pStyle w:val="1GAPara"/>
        <w:numPr>
          <w:ilvl w:val="0"/>
          <w:numId w:val="34"/>
        </w:numPr>
        <w:ind w:left="540"/>
        <w:rPr>
          <w:lang w:val="fr-FR"/>
        </w:rPr>
      </w:pPr>
      <w:r>
        <w:rPr>
          <w:b/>
          <w:bCs/>
          <w:lang w:val="fr"/>
        </w:rPr>
        <w:t>Renforcer l</w:t>
      </w:r>
      <w:r w:rsidR="0041390A">
        <w:rPr>
          <w:b/>
          <w:bCs/>
          <w:lang w:val="fr"/>
        </w:rPr>
        <w:t>’</w:t>
      </w:r>
      <w:r>
        <w:rPr>
          <w:b/>
          <w:bCs/>
          <w:lang w:val="fr"/>
        </w:rPr>
        <w:t>engagement des acteurs du patrimoine vivant.</w:t>
      </w:r>
      <w:r>
        <w:rPr>
          <w:lang w:val="fr"/>
        </w:rPr>
        <w:t xml:space="preserve"> Les mécanismes existants de partenariat avec la communauté du patrimoine vivant, y compris les détenteurs et les praticiens, les chercheurs, les ONG, les institutions et les États parties, devront être améliorés ou renforcés. Un certain nombre de forums individuels qui fournissent une plate-forme pour les systèmes de connaissances locaux, et en particulier ceux des communautés autochtones, est déjà en place dans de nombreux secteurs répertoriés dans l</w:t>
      </w:r>
      <w:r w:rsidR="0041390A">
        <w:rPr>
          <w:lang w:val="fr"/>
        </w:rPr>
        <w:t>’</w:t>
      </w:r>
      <w:r>
        <w:rPr>
          <w:lang w:val="fr"/>
        </w:rPr>
        <w:t>examen des cadres politiques pertinents (LHE</w:t>
      </w:r>
      <w:r w:rsidR="004634DD">
        <w:rPr>
          <w:lang w:val="fr"/>
        </w:rPr>
        <w:t>/</w:t>
      </w:r>
      <w:r>
        <w:rPr>
          <w:lang w:val="fr"/>
        </w:rPr>
        <w:t>24</w:t>
      </w:r>
      <w:r w:rsidR="004634DD">
        <w:rPr>
          <w:lang w:val="fr"/>
        </w:rPr>
        <w:t>/</w:t>
      </w:r>
      <w:r>
        <w:rPr>
          <w:lang w:val="fr"/>
        </w:rPr>
        <w:t>EXP</w:t>
      </w:r>
      <w:r w:rsidR="004634DD">
        <w:rPr>
          <w:lang w:val="fr"/>
        </w:rPr>
        <w:t xml:space="preserve"> </w:t>
      </w:r>
      <w:r>
        <w:rPr>
          <w:lang w:val="fr"/>
        </w:rPr>
        <w:t>THEMA-CLIMA</w:t>
      </w:r>
      <w:r w:rsidR="004634DD">
        <w:rPr>
          <w:lang w:val="fr"/>
        </w:rPr>
        <w:t>/</w:t>
      </w:r>
      <w:r>
        <w:rPr>
          <w:lang w:val="fr"/>
        </w:rPr>
        <w:t>4e). L</w:t>
      </w:r>
      <w:r w:rsidR="004634DD">
        <w:rPr>
          <w:lang w:val="fr"/>
        </w:rPr>
        <w:t>a</w:t>
      </w:r>
      <w:r>
        <w:rPr>
          <w:lang w:val="fr"/>
        </w:rPr>
        <w:t xml:space="preserve"> </w:t>
      </w:r>
      <w:r w:rsidR="004634DD">
        <w:rPr>
          <w:lang w:val="fr"/>
        </w:rPr>
        <w:t xml:space="preserve">note </w:t>
      </w:r>
      <w:r>
        <w:rPr>
          <w:lang w:val="fr"/>
        </w:rPr>
        <w:t>d</w:t>
      </w:r>
      <w:r w:rsidR="0041390A">
        <w:rPr>
          <w:lang w:val="fr"/>
        </w:rPr>
        <w:t>’</w:t>
      </w:r>
      <w:r>
        <w:rPr>
          <w:lang w:val="fr"/>
        </w:rPr>
        <w:t xml:space="preserve">orientation </w:t>
      </w:r>
      <w:r w:rsidR="004634DD">
        <w:rPr>
          <w:lang w:val="fr"/>
        </w:rPr>
        <w:t xml:space="preserve">pourrait </w:t>
      </w:r>
      <w:r>
        <w:rPr>
          <w:lang w:val="fr"/>
        </w:rPr>
        <w:t>exiger de repenser la forme et la composition d</w:t>
      </w:r>
      <w:r w:rsidR="0041390A">
        <w:rPr>
          <w:lang w:val="fr"/>
        </w:rPr>
        <w:t>’</w:t>
      </w:r>
      <w:r>
        <w:rPr>
          <w:lang w:val="fr"/>
        </w:rPr>
        <w:t>un ou de plusieurs forums spécifiques à la Convention de 2003, et une coordination avec les forums existants sera nécessaire.</w:t>
      </w:r>
    </w:p>
    <w:p w14:paraId="4231E3AD" w14:textId="404AA987" w:rsidR="00296322" w:rsidRPr="00AD71A4" w:rsidRDefault="00296322" w:rsidP="0035787E">
      <w:pPr>
        <w:pStyle w:val="1GAPara"/>
        <w:numPr>
          <w:ilvl w:val="0"/>
          <w:numId w:val="34"/>
        </w:numPr>
        <w:ind w:left="540"/>
        <w:rPr>
          <w:bCs/>
          <w:lang w:val="fr-FR"/>
        </w:rPr>
      </w:pPr>
      <w:r>
        <w:rPr>
          <w:b/>
          <w:bCs/>
          <w:lang w:val="fr"/>
        </w:rPr>
        <w:t>Investir dans des partenariats stratégiques.</w:t>
      </w:r>
      <w:r>
        <w:rPr>
          <w:lang w:val="fr"/>
        </w:rPr>
        <w:t xml:space="preserve"> Un grand nombre de partenaires potentiels se situe en marge ou au-delà des secteurs du patrimoine et du changement climatique. Pour répondre aux besoins des communautés déplacées en matière de patrimoine vivant, par exemple, les partenaires évidents pourraient être l</w:t>
      </w:r>
      <w:r w:rsidR="0041390A">
        <w:rPr>
          <w:lang w:val="fr"/>
        </w:rPr>
        <w:t>’</w:t>
      </w:r>
      <w:r>
        <w:rPr>
          <w:lang w:val="fr"/>
        </w:rPr>
        <w:t>OIM, le HCR, l</w:t>
      </w:r>
      <w:r w:rsidR="0041390A">
        <w:rPr>
          <w:lang w:val="fr"/>
        </w:rPr>
        <w:t>’</w:t>
      </w:r>
      <w:r>
        <w:rPr>
          <w:lang w:val="fr"/>
        </w:rPr>
        <w:t>UICN, ONU Femmes, le PNUD et l</w:t>
      </w:r>
      <w:r w:rsidR="0041390A">
        <w:rPr>
          <w:lang w:val="fr"/>
        </w:rPr>
        <w:t>’</w:t>
      </w:r>
      <w:r>
        <w:rPr>
          <w:lang w:val="fr"/>
        </w:rPr>
        <w:t>UNICEF.</w:t>
      </w:r>
    </w:p>
    <w:p w14:paraId="0EF83C31" w14:textId="113811A3" w:rsidR="00296322" w:rsidRPr="00AD71A4" w:rsidRDefault="00296322" w:rsidP="0035787E">
      <w:pPr>
        <w:pStyle w:val="1GAPara"/>
        <w:numPr>
          <w:ilvl w:val="0"/>
          <w:numId w:val="34"/>
        </w:numPr>
        <w:ind w:left="540"/>
        <w:rPr>
          <w:bCs/>
          <w:lang w:val="fr-FR"/>
        </w:rPr>
      </w:pPr>
      <w:r>
        <w:rPr>
          <w:b/>
          <w:bCs/>
          <w:lang w:val="fr"/>
        </w:rPr>
        <w:t>Promouvoir les partenariats régionaux.</w:t>
      </w:r>
      <w:r>
        <w:rPr>
          <w:lang w:val="fr"/>
        </w:rPr>
        <w:t xml:space="preserve"> Le changement climatique se manifestera de manière inégale dans différents environnements, dominés par des </w:t>
      </w:r>
      <w:r w:rsidR="004634DD">
        <w:rPr>
          <w:lang w:val="fr"/>
        </w:rPr>
        <w:t xml:space="preserve">catastrophes </w:t>
      </w:r>
      <w:r>
        <w:rPr>
          <w:lang w:val="fr"/>
        </w:rPr>
        <w:t>et des défis spécifiques à des régions ou à des conditions économiques particulières. La mise en œuvre efficace de la politique et le partage d</w:t>
      </w:r>
      <w:r w:rsidR="0041390A">
        <w:rPr>
          <w:lang w:val="fr"/>
        </w:rPr>
        <w:t>’</w:t>
      </w:r>
      <w:r>
        <w:rPr>
          <w:lang w:val="fr"/>
        </w:rPr>
        <w:t>expériences communes et de stratégies réussies peuvent être considérablement améliorés en aidant au développement organique de ces partenariats régionaux ou thématiques, pour les milieux urbains, la région arctique ou les petits États insulaires en développement (PEID), par exemple.</w:t>
      </w:r>
    </w:p>
    <w:p w14:paraId="77E34C92" w14:textId="7304C334" w:rsidR="00296322" w:rsidRPr="00951667" w:rsidRDefault="00296322" w:rsidP="00951667">
      <w:pPr>
        <w:pStyle w:val="Heading4"/>
        <w:numPr>
          <w:ilvl w:val="0"/>
          <w:numId w:val="33"/>
        </w:numPr>
        <w:rPr>
          <w:rFonts w:eastAsia="Calibri" w:cs="Arial"/>
          <w:szCs w:val="22"/>
        </w:rPr>
      </w:pPr>
      <w:bookmarkStart w:id="4" w:name="_Hlk166858819"/>
      <w:r>
        <w:rPr>
          <w:rFonts w:eastAsia="Calibri"/>
          <w:lang w:val="fr"/>
        </w:rPr>
        <w:t>Recherches</w:t>
      </w:r>
      <w:r>
        <w:rPr>
          <w:rFonts w:eastAsia="Calibri"/>
          <w:szCs w:val="22"/>
          <w:lang w:val="fr"/>
        </w:rPr>
        <w:t xml:space="preserve"> et études de cas</w:t>
      </w:r>
    </w:p>
    <w:p w14:paraId="65FD7F90" w14:textId="39207A24" w:rsidR="00296322" w:rsidRPr="00AD71A4" w:rsidRDefault="004634DD" w:rsidP="00296322">
      <w:pPr>
        <w:pStyle w:val="1GAPara"/>
        <w:rPr>
          <w:lang w:val="fr-FR"/>
        </w:rPr>
      </w:pPr>
      <w:r>
        <w:rPr>
          <w:lang w:val="fr"/>
        </w:rPr>
        <w:t xml:space="preserve">Des recherches supplémentaires sont </w:t>
      </w:r>
      <w:r w:rsidR="00296322">
        <w:rPr>
          <w:lang w:val="fr"/>
        </w:rPr>
        <w:t>nécessaire</w:t>
      </w:r>
      <w:r>
        <w:rPr>
          <w:lang w:val="fr"/>
        </w:rPr>
        <w:t>s</w:t>
      </w:r>
      <w:r w:rsidR="00296322">
        <w:rPr>
          <w:lang w:val="fr"/>
        </w:rPr>
        <w:t xml:space="preserve"> sur les aspects liés au changement climatique </w:t>
      </w:r>
      <w:r>
        <w:rPr>
          <w:lang w:val="fr"/>
        </w:rPr>
        <w:t>dans</w:t>
      </w:r>
      <w:r w:rsidR="00296322">
        <w:rPr>
          <w:lang w:val="fr"/>
        </w:rPr>
        <w:t xml:space="preserve"> la sauvegarde du patrimoine vivant dans le cadre de la Convention de 2003, afin de mieux éclairer l</w:t>
      </w:r>
      <w:r w:rsidR="0041390A">
        <w:rPr>
          <w:lang w:val="fr"/>
        </w:rPr>
        <w:t>’</w:t>
      </w:r>
      <w:r w:rsidR="00296322">
        <w:rPr>
          <w:lang w:val="fr"/>
        </w:rPr>
        <w:t>élaboration des politiques. Les domaines de recherche spécifiques qui pourraient bénéficier de la promotion de la Convention de 2003 sont les suivants : la vulnérabilité aux effets du changement climatique de la transmission future du patrimoine vivant ; l</w:t>
      </w:r>
      <w:r w:rsidR="0041390A">
        <w:rPr>
          <w:lang w:val="fr"/>
        </w:rPr>
        <w:t>’</w:t>
      </w:r>
      <w:r w:rsidR="00296322">
        <w:rPr>
          <w:lang w:val="fr"/>
        </w:rPr>
        <w:t>interdépendance des formes matérielles et immatérielles du patrimoine dans un contexte de changement climatique ; la relation entre le patrimoine vivant et les moyens de subsistance dans un contexte de changement climatique ; une base plus claire pour l</w:t>
      </w:r>
      <w:r w:rsidR="0041390A">
        <w:rPr>
          <w:lang w:val="fr"/>
        </w:rPr>
        <w:t>’</w:t>
      </w:r>
      <w:r w:rsidR="00296322">
        <w:rPr>
          <w:lang w:val="fr"/>
        </w:rPr>
        <w:t>action sur le changement climatique du patrimoine vivant dans le contexte des cadres des droits de l</w:t>
      </w:r>
      <w:r w:rsidR="0041390A">
        <w:rPr>
          <w:lang w:val="fr"/>
        </w:rPr>
        <w:t>’</w:t>
      </w:r>
      <w:r w:rsidR="00296322">
        <w:rPr>
          <w:lang w:val="fr"/>
        </w:rPr>
        <w:t>homme et des droits culturels ; et les défis liés aux effets du changement climatique et de la dislocation possible des formes de patrimoine vivant selon le lieu.</w:t>
      </w:r>
      <w:bookmarkEnd w:id="4"/>
    </w:p>
    <w:p w14:paraId="4913ACBA" w14:textId="5EC008FB" w:rsidR="00296322" w:rsidRPr="00AD71A4" w:rsidRDefault="00296322" w:rsidP="00296322">
      <w:pPr>
        <w:pStyle w:val="1GAPara"/>
        <w:rPr>
          <w:lang w:val="fr-FR"/>
        </w:rPr>
      </w:pPr>
      <w:r>
        <w:rPr>
          <w:lang w:val="fr"/>
        </w:rPr>
        <w:t>Les études de cas permettent aux parties prenantes de suivre et de comprendre les questions essentielles qui se posent en temps réel avec des communautés réelles dans des lieux réels. Le très grand nombre d</w:t>
      </w:r>
      <w:r w:rsidR="0041390A">
        <w:rPr>
          <w:lang w:val="fr"/>
        </w:rPr>
        <w:t>’</w:t>
      </w:r>
      <w:r>
        <w:rPr>
          <w:lang w:val="fr"/>
        </w:rPr>
        <w:t>études de cas déjà publiées et répertoriées dans la bibliographie annexée à l</w:t>
      </w:r>
      <w:r w:rsidR="0041390A">
        <w:rPr>
          <w:lang w:val="fr"/>
        </w:rPr>
        <w:t>’</w:t>
      </w:r>
      <w:r>
        <w:rPr>
          <w:lang w:val="fr"/>
        </w:rPr>
        <w:t>analyse documentaire (</w:t>
      </w:r>
      <w:hyperlink r:id="rId8" w:history="1">
        <w:r w:rsidR="004634DD" w:rsidRPr="00AD71A4">
          <w:rPr>
            <w:rStyle w:val="Hyperlink"/>
            <w:lang w:val="fr"/>
          </w:rPr>
          <w:t>annexe I</w:t>
        </w:r>
      </w:hyperlink>
      <w:r>
        <w:rPr>
          <w:lang w:val="fr"/>
        </w:rPr>
        <w:t>) fournit une plate-forme pour la mise en place d</w:t>
      </w:r>
      <w:r w:rsidR="0041390A">
        <w:rPr>
          <w:lang w:val="fr"/>
        </w:rPr>
        <w:t>’</w:t>
      </w:r>
      <w:r>
        <w:rPr>
          <w:lang w:val="fr"/>
        </w:rPr>
        <w:t>une série plus ciblée d</w:t>
      </w:r>
      <w:r w:rsidR="0041390A">
        <w:rPr>
          <w:lang w:val="fr"/>
        </w:rPr>
        <w:t>’</w:t>
      </w:r>
      <w:r>
        <w:rPr>
          <w:lang w:val="fr"/>
        </w:rPr>
        <w:t>études de cas combinant la documentation existante et l</w:t>
      </w:r>
      <w:r w:rsidR="0041390A">
        <w:rPr>
          <w:lang w:val="fr"/>
        </w:rPr>
        <w:t>’</w:t>
      </w:r>
      <w:r>
        <w:rPr>
          <w:lang w:val="fr"/>
        </w:rPr>
        <w:t xml:space="preserve">expérience vécue, rédigées ou co-rédigées par des praticiens ou des communautés, et conçues pour illustrer les questions abordées dans </w:t>
      </w:r>
      <w:r w:rsidR="004634DD">
        <w:rPr>
          <w:lang w:val="fr"/>
        </w:rPr>
        <w:t>la note</w:t>
      </w:r>
      <w:r>
        <w:rPr>
          <w:lang w:val="fr"/>
        </w:rPr>
        <w:t xml:space="preserve"> d</w:t>
      </w:r>
      <w:r w:rsidR="0041390A">
        <w:rPr>
          <w:lang w:val="fr"/>
        </w:rPr>
        <w:t>’</w:t>
      </w:r>
      <w:r>
        <w:rPr>
          <w:lang w:val="fr"/>
        </w:rPr>
        <w:t>orientation, communiquer plus efficacement sur la politique et inspirer d</w:t>
      </w:r>
      <w:r w:rsidR="0041390A">
        <w:rPr>
          <w:lang w:val="fr"/>
        </w:rPr>
        <w:t>’</w:t>
      </w:r>
      <w:r>
        <w:rPr>
          <w:lang w:val="fr"/>
        </w:rPr>
        <w:t>autres conversations et réflexions.</w:t>
      </w:r>
    </w:p>
    <w:p w14:paraId="736EE830" w14:textId="20A0ADFA" w:rsidR="00B86EBF" w:rsidRPr="00951667" w:rsidRDefault="00B86EBF" w:rsidP="00951667">
      <w:pPr>
        <w:pStyle w:val="Heading4"/>
        <w:numPr>
          <w:ilvl w:val="0"/>
          <w:numId w:val="33"/>
        </w:numPr>
        <w:rPr>
          <w:rFonts w:eastAsia="Calibri" w:cs="Arial"/>
          <w:szCs w:val="22"/>
        </w:rPr>
      </w:pPr>
      <w:r>
        <w:rPr>
          <w:rFonts w:eastAsia="Calibri"/>
          <w:lang w:val="fr"/>
        </w:rPr>
        <w:t xml:space="preserve">Orientation </w:t>
      </w:r>
      <w:r w:rsidR="004634DD">
        <w:rPr>
          <w:rFonts w:eastAsia="Calibri"/>
          <w:lang w:val="fr"/>
        </w:rPr>
        <w:t xml:space="preserve">de politiques et plaidoyer </w:t>
      </w:r>
    </w:p>
    <w:p w14:paraId="62BDE0D1" w14:textId="4FECA56D" w:rsidR="00216696" w:rsidRPr="00AD71A4" w:rsidRDefault="00216696" w:rsidP="00A628BE">
      <w:pPr>
        <w:pStyle w:val="1GAPara"/>
        <w:rPr>
          <w:lang w:val="fr-FR"/>
        </w:rPr>
      </w:pPr>
      <w:r>
        <w:rPr>
          <w:lang w:val="fr"/>
        </w:rPr>
        <w:t>Les Directives opérationnelles pour la mise en œuvre de la Convention de 2003, notamment le chapitre VI, constituent un outil politique déjà disponible pour la sauvegarde du patrimoine culturel immatériel et le changement climatique. Ce qu</w:t>
      </w:r>
      <w:r w:rsidR="0041390A">
        <w:rPr>
          <w:lang w:val="fr"/>
        </w:rPr>
        <w:t>’</w:t>
      </w:r>
      <w:r>
        <w:rPr>
          <w:lang w:val="fr"/>
        </w:rPr>
        <w:t>il faut maintenant, ce sont des orientations et des outils supplémentaires pour aborder les questions et saisir les opportunités à la jonction du patrimoine vivant et de l</w:t>
      </w:r>
      <w:r w:rsidR="0041390A">
        <w:rPr>
          <w:lang w:val="fr"/>
        </w:rPr>
        <w:t>’</w:t>
      </w:r>
      <w:r>
        <w:rPr>
          <w:lang w:val="fr"/>
        </w:rPr>
        <w:t>action climatique. Il est en outre nécessaire de les intégrer à l</w:t>
      </w:r>
      <w:r w:rsidR="0041390A">
        <w:rPr>
          <w:lang w:val="fr"/>
        </w:rPr>
        <w:t>’</w:t>
      </w:r>
      <w:r>
        <w:rPr>
          <w:lang w:val="fr"/>
        </w:rPr>
        <w:t>architecture politique existante et au processus d</w:t>
      </w:r>
      <w:r w:rsidR="0041390A">
        <w:rPr>
          <w:lang w:val="fr"/>
        </w:rPr>
        <w:t>’</w:t>
      </w:r>
      <w:r>
        <w:rPr>
          <w:lang w:val="fr"/>
        </w:rPr>
        <w:t>élaboration des politiques, et de veiller à ce qu</w:t>
      </w:r>
      <w:r w:rsidR="0041390A">
        <w:rPr>
          <w:lang w:val="fr"/>
        </w:rPr>
        <w:t>’</w:t>
      </w:r>
      <w:r>
        <w:rPr>
          <w:lang w:val="fr"/>
        </w:rPr>
        <w:t xml:space="preserve">elles puissent </w:t>
      </w:r>
      <w:r>
        <w:rPr>
          <w:lang w:val="fr"/>
        </w:rPr>
        <w:lastRenderedPageBreak/>
        <w:t>être enrichies ou adaptées, le cas échéant, pour répondre à la portée et aux besoins du patrimoine culturel immatériel et de la Convention de 2003.</w:t>
      </w:r>
    </w:p>
    <w:p w14:paraId="3C5F5C40" w14:textId="05539B6F" w:rsidR="00216696" w:rsidRPr="00AD71A4" w:rsidRDefault="00216696" w:rsidP="00A628BE">
      <w:pPr>
        <w:pStyle w:val="1GAPara"/>
        <w:rPr>
          <w:lang w:val="fr-FR"/>
        </w:rPr>
      </w:pPr>
      <w:r>
        <w:rPr>
          <w:lang w:val="fr"/>
        </w:rPr>
        <w:t>L</w:t>
      </w:r>
      <w:r w:rsidR="0041390A">
        <w:rPr>
          <w:lang w:val="fr"/>
        </w:rPr>
        <w:t>’</w:t>
      </w:r>
      <w:r>
        <w:rPr>
          <w:lang w:val="fr"/>
        </w:rPr>
        <w:t>élaboration d</w:t>
      </w:r>
      <w:r w:rsidR="0041390A">
        <w:rPr>
          <w:lang w:val="fr"/>
        </w:rPr>
        <w:t>’</w:t>
      </w:r>
      <w:r>
        <w:rPr>
          <w:lang w:val="fr"/>
        </w:rPr>
        <w:t>une note d</w:t>
      </w:r>
      <w:r w:rsidR="0041390A">
        <w:rPr>
          <w:lang w:val="fr"/>
        </w:rPr>
        <w:t>’</w:t>
      </w:r>
      <w:r>
        <w:rPr>
          <w:lang w:val="fr"/>
        </w:rPr>
        <w:t>orientation sur l</w:t>
      </w:r>
      <w:r w:rsidR="0041390A">
        <w:rPr>
          <w:lang w:val="fr"/>
        </w:rPr>
        <w:t>’</w:t>
      </w:r>
      <w:r>
        <w:rPr>
          <w:lang w:val="fr"/>
        </w:rPr>
        <w:t>action climatique pour le patrimoine culturel immatériel pourrait aborder les questions suivantes :</w:t>
      </w:r>
    </w:p>
    <w:p w14:paraId="41A79DBD" w14:textId="2D31825F" w:rsidR="00B86EBF" w:rsidRPr="00AD71A4" w:rsidRDefault="00216696" w:rsidP="00951667">
      <w:pPr>
        <w:pStyle w:val="1GAPara"/>
        <w:numPr>
          <w:ilvl w:val="0"/>
          <w:numId w:val="35"/>
        </w:numPr>
        <w:ind w:left="540"/>
        <w:rPr>
          <w:lang w:val="fr-FR"/>
        </w:rPr>
      </w:pPr>
      <w:r>
        <w:rPr>
          <w:b/>
          <w:bCs/>
          <w:lang w:val="fr"/>
        </w:rPr>
        <w:t>Expliquer et promouvoir les termes et concepts du patrimoine culturel immatériel</w:t>
      </w:r>
      <w:r>
        <w:rPr>
          <w:lang w:val="fr"/>
        </w:rPr>
        <w:t>. Si le concept de patrimoine culturel immatériel ou de patrimoine vivant est particulièrement bien adapté à</w:t>
      </w:r>
      <w:r w:rsidR="004634DD">
        <w:rPr>
          <w:lang w:val="fr"/>
        </w:rPr>
        <w:t xml:space="preserve"> la tâche</w:t>
      </w:r>
      <w:r>
        <w:rPr>
          <w:lang w:val="fr"/>
        </w:rPr>
        <w:t xml:space="preserve"> </w:t>
      </w:r>
      <w:r w:rsidR="004634DD">
        <w:rPr>
          <w:lang w:val="fr"/>
        </w:rPr>
        <w:t>d</w:t>
      </w:r>
      <w:r w:rsidR="0041390A">
        <w:rPr>
          <w:lang w:val="fr"/>
        </w:rPr>
        <w:t>’</w:t>
      </w:r>
      <w:r>
        <w:rPr>
          <w:lang w:val="fr"/>
        </w:rPr>
        <w:t xml:space="preserve">intégration des systèmes de connaissances locaux et </w:t>
      </w:r>
      <w:r w:rsidR="004634DD">
        <w:rPr>
          <w:lang w:val="fr"/>
        </w:rPr>
        <w:t>d</w:t>
      </w:r>
      <w:r w:rsidR="0041390A">
        <w:rPr>
          <w:lang w:val="fr"/>
        </w:rPr>
        <w:t>’</w:t>
      </w:r>
      <w:r>
        <w:rPr>
          <w:lang w:val="fr"/>
        </w:rPr>
        <w:t xml:space="preserve">adaptation au changement climatique, </w:t>
      </w:r>
      <w:r w:rsidR="00F37C53">
        <w:rPr>
          <w:lang w:val="fr"/>
        </w:rPr>
        <w:t>l</w:t>
      </w:r>
      <w:r>
        <w:rPr>
          <w:lang w:val="fr"/>
        </w:rPr>
        <w:t xml:space="preserve">es termes doivent être déployés et diffusés de manière plus efficace, en particulier dans les </w:t>
      </w:r>
      <w:r w:rsidR="00F37C53">
        <w:rPr>
          <w:lang w:val="fr"/>
        </w:rPr>
        <w:t xml:space="preserve">discussions </w:t>
      </w:r>
      <w:r>
        <w:rPr>
          <w:lang w:val="fr"/>
        </w:rPr>
        <w:t xml:space="preserve">avec </w:t>
      </w:r>
      <w:r w:rsidR="00F37C53">
        <w:rPr>
          <w:lang w:val="fr"/>
        </w:rPr>
        <w:t>les spécialistes des</w:t>
      </w:r>
      <w:r>
        <w:rPr>
          <w:lang w:val="fr"/>
        </w:rPr>
        <w:t xml:space="preserve"> situations d</w:t>
      </w:r>
      <w:r w:rsidR="0041390A">
        <w:rPr>
          <w:lang w:val="fr"/>
        </w:rPr>
        <w:t>’</w:t>
      </w:r>
      <w:r>
        <w:rPr>
          <w:lang w:val="fr"/>
        </w:rPr>
        <w:t xml:space="preserve">urgence, </w:t>
      </w:r>
      <w:r w:rsidR="00F37C53">
        <w:rPr>
          <w:lang w:val="fr"/>
        </w:rPr>
        <w:t xml:space="preserve">de </w:t>
      </w:r>
      <w:r>
        <w:rPr>
          <w:lang w:val="fr"/>
        </w:rPr>
        <w:t xml:space="preserve">la réduction des risques de catastrophe et </w:t>
      </w:r>
      <w:r w:rsidR="00F37C53">
        <w:rPr>
          <w:lang w:val="fr"/>
        </w:rPr>
        <w:t>du</w:t>
      </w:r>
      <w:r>
        <w:rPr>
          <w:lang w:val="fr"/>
        </w:rPr>
        <w:t xml:space="preserve"> changement climatique, </w:t>
      </w:r>
      <w:r w:rsidR="00F37C53">
        <w:rPr>
          <w:lang w:val="fr"/>
        </w:rPr>
        <w:t>ainsi qu’avec</w:t>
      </w:r>
      <w:r>
        <w:rPr>
          <w:lang w:val="fr"/>
        </w:rPr>
        <w:t xml:space="preserve"> d</w:t>
      </w:r>
      <w:r w:rsidR="0041390A">
        <w:rPr>
          <w:lang w:val="fr"/>
        </w:rPr>
        <w:t>’</w:t>
      </w:r>
      <w:r>
        <w:rPr>
          <w:lang w:val="fr"/>
        </w:rPr>
        <w:t>autres professionnels du patrimoine.</w:t>
      </w:r>
    </w:p>
    <w:p w14:paraId="115E6BC8" w14:textId="0B769CEF" w:rsidR="00216696" w:rsidRPr="00AD71A4" w:rsidRDefault="00216696" w:rsidP="00951667">
      <w:pPr>
        <w:pStyle w:val="1GAPara"/>
        <w:numPr>
          <w:ilvl w:val="0"/>
          <w:numId w:val="35"/>
        </w:numPr>
        <w:ind w:left="540"/>
        <w:rPr>
          <w:lang w:val="fr-FR"/>
        </w:rPr>
      </w:pPr>
      <w:r>
        <w:rPr>
          <w:b/>
          <w:bCs/>
          <w:lang w:val="fr"/>
        </w:rPr>
        <w:t>Questions essentielles à l</w:t>
      </w:r>
      <w:r w:rsidR="0041390A">
        <w:rPr>
          <w:b/>
          <w:bCs/>
          <w:lang w:val="fr"/>
        </w:rPr>
        <w:t>’</w:t>
      </w:r>
      <w:r>
        <w:rPr>
          <w:b/>
          <w:bCs/>
          <w:lang w:val="fr"/>
        </w:rPr>
        <w:t>intersection du patrimoine culturel immatériel et de l</w:t>
      </w:r>
      <w:r w:rsidR="0041390A">
        <w:rPr>
          <w:b/>
          <w:bCs/>
          <w:lang w:val="fr"/>
        </w:rPr>
        <w:t>’</w:t>
      </w:r>
      <w:r>
        <w:rPr>
          <w:b/>
          <w:bCs/>
          <w:lang w:val="fr"/>
        </w:rPr>
        <w:t xml:space="preserve">action climatique : </w:t>
      </w:r>
      <w:r>
        <w:rPr>
          <w:lang w:val="fr"/>
        </w:rPr>
        <w:t>La note d</w:t>
      </w:r>
      <w:r w:rsidR="0041390A">
        <w:rPr>
          <w:lang w:val="fr"/>
        </w:rPr>
        <w:t>’</w:t>
      </w:r>
      <w:r>
        <w:rPr>
          <w:lang w:val="fr"/>
        </w:rPr>
        <w:t xml:space="preserve">orientation pourrait aborder les principaux enjeux </w:t>
      </w:r>
      <w:r w:rsidR="00F37C53">
        <w:rPr>
          <w:lang w:val="fr"/>
        </w:rPr>
        <w:t xml:space="preserve">pour </w:t>
      </w:r>
      <w:r>
        <w:rPr>
          <w:lang w:val="fr"/>
        </w:rPr>
        <w:t xml:space="preserve">la sauvegarde du patrimoine culturel immatériel et </w:t>
      </w:r>
      <w:r w:rsidR="00F37C53">
        <w:rPr>
          <w:lang w:val="fr"/>
        </w:rPr>
        <w:t xml:space="preserve">le </w:t>
      </w:r>
      <w:r>
        <w:rPr>
          <w:lang w:val="fr"/>
        </w:rPr>
        <w:t>changement climatique, en s</w:t>
      </w:r>
      <w:r w:rsidR="0041390A">
        <w:rPr>
          <w:lang w:val="fr"/>
        </w:rPr>
        <w:t>’</w:t>
      </w:r>
      <w:r>
        <w:rPr>
          <w:lang w:val="fr"/>
        </w:rPr>
        <w:t>appuyant sur les recherches documentaires et les consultations d</w:t>
      </w:r>
      <w:r w:rsidR="0041390A">
        <w:rPr>
          <w:lang w:val="fr"/>
        </w:rPr>
        <w:t>’</w:t>
      </w:r>
      <w:r>
        <w:rPr>
          <w:lang w:val="fr"/>
        </w:rPr>
        <w:t>experts en cours. Il pourrait s</w:t>
      </w:r>
      <w:r w:rsidR="0041390A">
        <w:rPr>
          <w:lang w:val="fr"/>
        </w:rPr>
        <w:t>’</w:t>
      </w:r>
      <w:r>
        <w:rPr>
          <w:lang w:val="fr"/>
        </w:rPr>
        <w:t>agir, par exemple, de questions liées à la compréhension des rôles et des risques pour le patrimoine culturel immatériel dans le contexte du changement climatique. Par exemple, d</w:t>
      </w:r>
      <w:r w:rsidR="0041390A">
        <w:rPr>
          <w:lang w:val="fr"/>
        </w:rPr>
        <w:t>’</w:t>
      </w:r>
      <w:r>
        <w:rPr>
          <w:lang w:val="fr"/>
        </w:rPr>
        <w:t>une part, le rôle important que le patrimoine vivant peut jouer dans l</w:t>
      </w:r>
      <w:r w:rsidR="0041390A">
        <w:rPr>
          <w:lang w:val="fr"/>
        </w:rPr>
        <w:t>’</w:t>
      </w:r>
      <w:r>
        <w:rPr>
          <w:lang w:val="fr"/>
        </w:rPr>
        <w:t xml:space="preserve">adaptation de la société et la résilience des communautés, grâce à des stratégies de subsistance, à la cohésion sociale et à </w:t>
      </w:r>
      <w:r w:rsidR="00F37C53">
        <w:rPr>
          <w:lang w:val="fr"/>
        </w:rPr>
        <w:t>l’entraide</w:t>
      </w:r>
      <w:r>
        <w:rPr>
          <w:lang w:val="fr"/>
        </w:rPr>
        <w:t>. D</w:t>
      </w:r>
      <w:r w:rsidR="0041390A">
        <w:rPr>
          <w:lang w:val="fr"/>
        </w:rPr>
        <w:t>’</w:t>
      </w:r>
      <w:r>
        <w:rPr>
          <w:lang w:val="fr"/>
        </w:rPr>
        <w:t>autre part, comment la relation entre les aspects matériels et immatériels du patrimoine culturel contribue-t-elle à la transmission ou la met-elle en péril ? De même, comment le patrimoine culturel immatériel devient-il exposé ou vulnérable aux différentes formes d</w:t>
      </w:r>
      <w:r w:rsidR="0041390A">
        <w:rPr>
          <w:lang w:val="fr"/>
        </w:rPr>
        <w:t>’</w:t>
      </w:r>
      <w:r>
        <w:rPr>
          <w:lang w:val="fr"/>
        </w:rPr>
        <w:t>urgence et aux effets du changement climatique ?</w:t>
      </w:r>
    </w:p>
    <w:p w14:paraId="74B8E0E0" w14:textId="691BE8B0" w:rsidR="00216696" w:rsidRPr="00AD71A4" w:rsidRDefault="00216696" w:rsidP="00951667">
      <w:pPr>
        <w:pStyle w:val="1GAPara"/>
        <w:numPr>
          <w:ilvl w:val="0"/>
          <w:numId w:val="35"/>
        </w:numPr>
        <w:ind w:left="540"/>
        <w:rPr>
          <w:lang w:val="fr-FR"/>
        </w:rPr>
      </w:pPr>
      <w:r>
        <w:rPr>
          <w:b/>
          <w:bCs/>
          <w:lang w:val="fr"/>
        </w:rPr>
        <w:t>Propositions pour la sauvegarde et la valorisation du patrimoine culturel immatériel pour l</w:t>
      </w:r>
      <w:r w:rsidR="0041390A">
        <w:rPr>
          <w:b/>
          <w:bCs/>
          <w:lang w:val="fr"/>
        </w:rPr>
        <w:t>’</w:t>
      </w:r>
      <w:r>
        <w:rPr>
          <w:b/>
          <w:bCs/>
          <w:lang w:val="fr"/>
        </w:rPr>
        <w:t xml:space="preserve">action climatique. </w:t>
      </w:r>
      <w:r>
        <w:rPr>
          <w:lang w:val="fr"/>
        </w:rPr>
        <w:t>Les États et les autres parties prenantes ont besoin d</w:t>
      </w:r>
      <w:r w:rsidR="0041390A">
        <w:rPr>
          <w:lang w:val="fr"/>
        </w:rPr>
        <w:t>’</w:t>
      </w:r>
      <w:r>
        <w:rPr>
          <w:lang w:val="fr"/>
        </w:rPr>
        <w:t xml:space="preserve">orientations supplémentaires </w:t>
      </w:r>
      <w:r w:rsidR="00F37C53">
        <w:rPr>
          <w:lang w:val="fr"/>
        </w:rPr>
        <w:t xml:space="preserve">sur </w:t>
      </w:r>
      <w:proofErr w:type="gramStart"/>
      <w:r w:rsidR="00F37C53">
        <w:rPr>
          <w:lang w:val="fr"/>
        </w:rPr>
        <w:t>la meilleures façon</w:t>
      </w:r>
      <w:proofErr w:type="gramEnd"/>
      <w:r w:rsidR="00F37C53">
        <w:rPr>
          <w:lang w:val="fr"/>
        </w:rPr>
        <w:t xml:space="preserve"> d’</w:t>
      </w:r>
      <w:r>
        <w:rPr>
          <w:lang w:val="fr"/>
        </w:rPr>
        <w:t xml:space="preserve">intégrer le patrimoine culturel immatériel </w:t>
      </w:r>
      <w:r w:rsidR="00F37C53">
        <w:rPr>
          <w:lang w:val="fr"/>
        </w:rPr>
        <w:t xml:space="preserve">dans </w:t>
      </w:r>
      <w:r>
        <w:rPr>
          <w:lang w:val="fr"/>
        </w:rPr>
        <w:t>leurs stratégies d</w:t>
      </w:r>
      <w:r w:rsidR="0041390A">
        <w:rPr>
          <w:lang w:val="fr"/>
        </w:rPr>
        <w:t>’</w:t>
      </w:r>
      <w:r>
        <w:rPr>
          <w:lang w:val="fr"/>
        </w:rPr>
        <w:t>adaptation au changement climatique.</w:t>
      </w:r>
      <w:r>
        <w:rPr>
          <w:b/>
          <w:bCs/>
          <w:lang w:val="fr"/>
        </w:rPr>
        <w:t xml:space="preserve"> </w:t>
      </w:r>
      <w:r>
        <w:rPr>
          <w:lang w:val="fr"/>
        </w:rPr>
        <w:t>Il pourrait s</w:t>
      </w:r>
      <w:r w:rsidR="0041390A">
        <w:rPr>
          <w:lang w:val="fr"/>
        </w:rPr>
        <w:t>’</w:t>
      </w:r>
      <w:r>
        <w:rPr>
          <w:lang w:val="fr"/>
        </w:rPr>
        <w:t xml:space="preserve">agir de propositions de sensibilisation et </w:t>
      </w:r>
      <w:r w:rsidR="00F37C53">
        <w:rPr>
          <w:lang w:val="fr"/>
        </w:rPr>
        <w:t>de partage</w:t>
      </w:r>
      <w:r>
        <w:rPr>
          <w:lang w:val="fr"/>
        </w:rPr>
        <w:t xml:space="preserve"> d</w:t>
      </w:r>
      <w:r w:rsidR="0041390A">
        <w:rPr>
          <w:lang w:val="fr"/>
        </w:rPr>
        <w:t>’</w:t>
      </w:r>
      <w:r>
        <w:rPr>
          <w:lang w:val="fr"/>
        </w:rPr>
        <w:t>expériences, de partenariats, de renforcement des capacités, en synergie avec d</w:t>
      </w:r>
      <w:r w:rsidR="0041390A">
        <w:rPr>
          <w:lang w:val="fr"/>
        </w:rPr>
        <w:t>’</w:t>
      </w:r>
      <w:r>
        <w:rPr>
          <w:lang w:val="fr"/>
        </w:rPr>
        <w:t xml:space="preserve">autres acteurs et programmes </w:t>
      </w:r>
      <w:r w:rsidR="00F37C53">
        <w:rPr>
          <w:lang w:val="fr"/>
        </w:rPr>
        <w:t xml:space="preserve">clés </w:t>
      </w:r>
      <w:r>
        <w:rPr>
          <w:lang w:val="fr"/>
        </w:rPr>
        <w:t xml:space="preserve">dans ce domaine. </w:t>
      </w:r>
    </w:p>
    <w:p w14:paraId="48AD5617" w14:textId="71E7593D" w:rsidR="00296322" w:rsidRPr="00FC6B09" w:rsidRDefault="00296322" w:rsidP="00951667">
      <w:pPr>
        <w:pStyle w:val="Heading4"/>
        <w:numPr>
          <w:ilvl w:val="0"/>
          <w:numId w:val="33"/>
        </w:numPr>
        <w:rPr>
          <w:rFonts w:eastAsia="Calibri" w:cs="Arial"/>
          <w:szCs w:val="22"/>
        </w:rPr>
      </w:pPr>
      <w:r>
        <w:rPr>
          <w:rFonts w:eastAsia="Calibri"/>
          <w:lang w:val="fr"/>
        </w:rPr>
        <w:t>Sauvegarde</w:t>
      </w:r>
    </w:p>
    <w:p w14:paraId="45202634" w14:textId="46F1E3FA" w:rsidR="00296322" w:rsidRPr="00AD71A4" w:rsidRDefault="00E46DD4" w:rsidP="000F6124">
      <w:pPr>
        <w:pStyle w:val="1GAPara"/>
        <w:rPr>
          <w:b/>
          <w:bCs/>
          <w:lang w:val="fr-FR"/>
        </w:rPr>
      </w:pPr>
      <w:r>
        <w:rPr>
          <w:lang w:val="fr"/>
        </w:rPr>
        <w:t>Dans le cadre de la Convention de 2003, la sensibilisation au changement climatique devrait être intégrée aux plans et mesures de sauvegarde à tous les niveaux. Il pourrait s</w:t>
      </w:r>
      <w:r w:rsidR="0041390A">
        <w:rPr>
          <w:lang w:val="fr"/>
        </w:rPr>
        <w:t>’</w:t>
      </w:r>
      <w:r>
        <w:rPr>
          <w:lang w:val="fr"/>
        </w:rPr>
        <w:t>agir de recherches menées par les communautés, d</w:t>
      </w:r>
      <w:r w:rsidR="0041390A">
        <w:rPr>
          <w:lang w:val="fr"/>
        </w:rPr>
        <w:t>’</w:t>
      </w:r>
      <w:r>
        <w:rPr>
          <w:lang w:val="fr"/>
        </w:rPr>
        <w:t xml:space="preserve">inventaires et (le cas échéant) de dossiers de candidature au titre de la Convention. Les États parties </w:t>
      </w:r>
      <w:r w:rsidR="00F37C53">
        <w:rPr>
          <w:lang w:val="fr"/>
        </w:rPr>
        <w:t xml:space="preserve">devraient </w:t>
      </w:r>
      <w:r>
        <w:rPr>
          <w:lang w:val="fr"/>
        </w:rPr>
        <w:t xml:space="preserve">être encouragés à collecter et à rassembler des informations sur les dimensions du </w:t>
      </w:r>
      <w:r w:rsidR="00F37C53">
        <w:rPr>
          <w:lang w:val="fr"/>
        </w:rPr>
        <w:t xml:space="preserve">changement climatique du </w:t>
      </w:r>
      <w:r>
        <w:rPr>
          <w:lang w:val="fr"/>
        </w:rPr>
        <w:t>patrimoine vivant</w:t>
      </w:r>
      <w:r w:rsidR="00F37C53">
        <w:rPr>
          <w:lang w:val="fr"/>
        </w:rPr>
        <w:t>,</w:t>
      </w:r>
      <w:r>
        <w:rPr>
          <w:lang w:val="fr"/>
        </w:rPr>
        <w:t xml:space="preserve"> et sur la gestion de ces processus dans le cadre du processus de rapports périodiques Par exemple, en développant des indicateurs spécifiques dans le cadre du processus de rapports périodiques au cours de l</w:t>
      </w:r>
      <w:r w:rsidR="0041390A">
        <w:rPr>
          <w:lang w:val="fr"/>
        </w:rPr>
        <w:t>’</w:t>
      </w:r>
      <w:r>
        <w:rPr>
          <w:lang w:val="fr"/>
        </w:rPr>
        <w:t>année de réflexion (2025). Les informations pourraient être partagées par le biais de plates-formes sur les rapports périodiques ou le mécanisme de l</w:t>
      </w:r>
      <w:r w:rsidR="0041390A">
        <w:rPr>
          <w:lang w:val="fr"/>
        </w:rPr>
        <w:t>’</w:t>
      </w:r>
      <w:r>
        <w:rPr>
          <w:lang w:val="fr"/>
        </w:rPr>
        <w:t>article 18.</w:t>
      </w:r>
    </w:p>
    <w:p w14:paraId="41733308" w14:textId="2AB9FA3C" w:rsidR="00B86EBF" w:rsidRPr="00951667" w:rsidRDefault="00B86EBF" w:rsidP="00951667">
      <w:pPr>
        <w:pStyle w:val="Heading4"/>
        <w:numPr>
          <w:ilvl w:val="0"/>
          <w:numId w:val="33"/>
        </w:numPr>
        <w:rPr>
          <w:rFonts w:eastAsia="Calibri" w:cs="Arial"/>
          <w:szCs w:val="22"/>
        </w:rPr>
      </w:pPr>
      <w:r>
        <w:rPr>
          <w:rFonts w:eastAsia="Calibri" w:cs="Arial"/>
          <w:szCs w:val="22"/>
          <w:lang w:val="fr"/>
        </w:rPr>
        <w:t>Renforcement des capacités</w:t>
      </w:r>
    </w:p>
    <w:p w14:paraId="409D7AA9" w14:textId="60F34F78" w:rsidR="00CC5944" w:rsidRPr="00AD71A4" w:rsidRDefault="00CC5944" w:rsidP="00A628BE">
      <w:pPr>
        <w:pStyle w:val="1GAPara"/>
        <w:rPr>
          <w:lang w:val="fr-FR"/>
        </w:rPr>
      </w:pPr>
      <w:r>
        <w:rPr>
          <w:lang w:val="fr"/>
        </w:rPr>
        <w:t xml:space="preserve">Des outils et des programmes de formation sont nécessaires pour aider les partenaires à mettre en œuvre </w:t>
      </w:r>
      <w:r w:rsidR="00F37C53">
        <w:rPr>
          <w:lang w:val="fr"/>
        </w:rPr>
        <w:t xml:space="preserve">les </w:t>
      </w:r>
      <w:r>
        <w:rPr>
          <w:lang w:val="fr"/>
        </w:rPr>
        <w:t>politique</w:t>
      </w:r>
      <w:r w:rsidR="00F37C53">
        <w:rPr>
          <w:lang w:val="fr"/>
        </w:rPr>
        <w:t>s</w:t>
      </w:r>
      <w:r>
        <w:rPr>
          <w:lang w:val="fr"/>
        </w:rPr>
        <w:t>, à concevoir des programmes ou à modifier les cadres pour les adapter aux conditions locales. L</w:t>
      </w:r>
      <w:r w:rsidR="0041390A">
        <w:rPr>
          <w:lang w:val="fr"/>
        </w:rPr>
        <w:t>’</w:t>
      </w:r>
      <w:r>
        <w:rPr>
          <w:lang w:val="fr"/>
        </w:rPr>
        <w:t>accent devrait être mis sur des programmes modulaires capables de s</w:t>
      </w:r>
      <w:r w:rsidR="0041390A">
        <w:rPr>
          <w:lang w:val="fr"/>
        </w:rPr>
        <w:t>’</w:t>
      </w:r>
      <w:r>
        <w:rPr>
          <w:lang w:val="fr"/>
        </w:rPr>
        <w:t>adapter à un large éventail de conditions et de demandes qui varieront en fonction des communautés, des régions et des environnements, et de la vulnérabilité au changement climatique. Les outils et les programmes de formation sont l</w:t>
      </w:r>
      <w:r w:rsidR="0041390A">
        <w:rPr>
          <w:lang w:val="fr"/>
        </w:rPr>
        <w:t>’</w:t>
      </w:r>
      <w:r>
        <w:rPr>
          <w:lang w:val="fr"/>
        </w:rPr>
        <w:t>occasion d</w:t>
      </w:r>
      <w:r w:rsidR="0041390A">
        <w:rPr>
          <w:lang w:val="fr"/>
        </w:rPr>
        <w:t>’</w:t>
      </w:r>
      <w:r>
        <w:rPr>
          <w:lang w:val="fr"/>
        </w:rPr>
        <w:t>un processus d</w:t>
      </w:r>
      <w:r w:rsidR="0041390A">
        <w:rPr>
          <w:lang w:val="fr"/>
        </w:rPr>
        <w:t>’</w:t>
      </w:r>
      <w:r>
        <w:rPr>
          <w:lang w:val="fr"/>
        </w:rPr>
        <w:t>apprentissage bidirectionnel ou dialogique au sein de la communauté des parties prenantes de la Convention. L</w:t>
      </w:r>
      <w:r w:rsidR="0041390A">
        <w:rPr>
          <w:lang w:val="fr"/>
        </w:rPr>
        <w:t>’</w:t>
      </w:r>
      <w:r>
        <w:rPr>
          <w:lang w:val="fr"/>
        </w:rPr>
        <w:t xml:space="preserve">expérience peut être tirée de la stratégie globale de renforcement des capacités dans le cadre de la Convention de 2003. </w:t>
      </w:r>
    </w:p>
    <w:p w14:paraId="7F37A546" w14:textId="05B838B1" w:rsidR="00B86EBF" w:rsidRPr="00AD71A4" w:rsidRDefault="00B86EBF" w:rsidP="00AD71A4">
      <w:pPr>
        <w:pStyle w:val="1GAPara"/>
        <w:numPr>
          <w:ilvl w:val="0"/>
          <w:numId w:val="23"/>
        </w:numPr>
        <w:ind w:left="540"/>
        <w:rPr>
          <w:lang w:val="fr-FR"/>
        </w:rPr>
      </w:pPr>
      <w:r>
        <w:rPr>
          <w:b/>
          <w:bCs/>
          <w:lang w:val="fr"/>
        </w:rPr>
        <w:t>Formation par le biais de cours modulaires.</w:t>
      </w:r>
      <w:r>
        <w:rPr>
          <w:lang w:val="fr"/>
        </w:rPr>
        <w:t xml:space="preserve"> Le renforcement des capacités devrait être assuré par une série de cours de formation dans le cadre de la stratégie globale de </w:t>
      </w:r>
      <w:r>
        <w:rPr>
          <w:lang w:val="fr"/>
        </w:rPr>
        <w:lastRenderedPageBreak/>
        <w:t>renforcement des capacités, allant des principes de base du patrimoine culturel immatériel dans le c</w:t>
      </w:r>
      <w:r w:rsidR="00F37C53">
        <w:rPr>
          <w:lang w:val="fr"/>
        </w:rPr>
        <w:t>ontexte</w:t>
      </w:r>
      <w:r>
        <w:rPr>
          <w:lang w:val="fr"/>
        </w:rPr>
        <w:t xml:space="preserve"> du changement climatique et des situations d</w:t>
      </w:r>
      <w:r w:rsidR="0041390A">
        <w:rPr>
          <w:lang w:val="fr"/>
        </w:rPr>
        <w:t>’</w:t>
      </w:r>
      <w:r>
        <w:rPr>
          <w:lang w:val="fr"/>
        </w:rPr>
        <w:t>urgence, destinés à l</w:t>
      </w:r>
      <w:r w:rsidR="0041390A">
        <w:rPr>
          <w:lang w:val="fr"/>
        </w:rPr>
        <w:t>’</w:t>
      </w:r>
      <w:r>
        <w:rPr>
          <w:lang w:val="fr"/>
        </w:rPr>
        <w:t>ensemble des parties prenantes, à des modules flexibles ciblant des groupes et des besoins particuliers, et pouvant être adaptés localement à des circonstances spécifiques.</w:t>
      </w:r>
    </w:p>
    <w:p w14:paraId="14CC67BE" w14:textId="090B7032" w:rsidR="00B86EBF" w:rsidRPr="00AD71A4" w:rsidRDefault="00B86EBF" w:rsidP="00AD71A4">
      <w:pPr>
        <w:pStyle w:val="1GAPara"/>
        <w:numPr>
          <w:ilvl w:val="0"/>
          <w:numId w:val="23"/>
        </w:numPr>
        <w:ind w:left="540"/>
        <w:rPr>
          <w:lang w:val="fr-FR"/>
        </w:rPr>
      </w:pPr>
      <w:r>
        <w:rPr>
          <w:b/>
          <w:bCs/>
          <w:lang w:val="fr"/>
        </w:rPr>
        <w:t>Forums, réseaux et alliances nationaux.</w:t>
      </w:r>
      <w:r>
        <w:rPr>
          <w:lang w:val="fr"/>
        </w:rPr>
        <w:t xml:space="preserve"> Le renforcement des capacités nationales en matière d</w:t>
      </w:r>
      <w:r w:rsidR="0041390A">
        <w:rPr>
          <w:lang w:val="fr"/>
        </w:rPr>
        <w:t>’</w:t>
      </w:r>
      <w:r>
        <w:rPr>
          <w:lang w:val="fr"/>
        </w:rPr>
        <w:t>actions climatiques nécessitera des alliances stratégiques entre les bureaux régionaux de l</w:t>
      </w:r>
      <w:r w:rsidR="0041390A">
        <w:rPr>
          <w:lang w:val="fr"/>
        </w:rPr>
        <w:t>’</w:t>
      </w:r>
      <w:r>
        <w:rPr>
          <w:lang w:val="fr"/>
        </w:rPr>
        <w:t>UNESCO, les institutions et agences nationales chargées du patrimoine, des situations d</w:t>
      </w:r>
      <w:r w:rsidR="0041390A">
        <w:rPr>
          <w:lang w:val="fr"/>
        </w:rPr>
        <w:t>’</w:t>
      </w:r>
      <w:r>
        <w:rPr>
          <w:lang w:val="fr"/>
        </w:rPr>
        <w:t>urgence et du changement climatique, et les praticiens et les communautés. La Convention de 2003 peut contribuer à ce processus par le renforcement des capacités et la promotion d</w:t>
      </w:r>
      <w:r w:rsidR="0041390A">
        <w:rPr>
          <w:lang w:val="fr"/>
        </w:rPr>
        <w:t>’</w:t>
      </w:r>
      <w:r>
        <w:rPr>
          <w:lang w:val="fr"/>
        </w:rPr>
        <w:t>une plate-forme en ligne pour partager les approches et les expériences dans ce domaine et soutenir la mise en réseau.</w:t>
      </w:r>
    </w:p>
    <w:sectPr w:rsidR="00B86EBF" w:rsidRPr="00AD71A4" w:rsidSect="000B09F5">
      <w:headerReference w:type="even" r:id="rId9"/>
      <w:headerReference w:type="default" r:id="rId10"/>
      <w:footerReference w:type="even" r:id="rId11"/>
      <w:footerReference w:type="default" r:id="rId12"/>
      <w:headerReference w:type="first" r:id="rId13"/>
      <w:footerReference w:type="first" r:id="rId14"/>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EEA2C" w14:textId="77777777" w:rsidR="000B09F5" w:rsidRDefault="000B09F5" w:rsidP="002938F2">
      <w:r>
        <w:separator/>
      </w:r>
    </w:p>
    <w:p w14:paraId="380A759F" w14:textId="77777777" w:rsidR="000B09F5" w:rsidRDefault="000B09F5"/>
  </w:endnote>
  <w:endnote w:type="continuationSeparator" w:id="0">
    <w:p w14:paraId="6D9331EA" w14:textId="77777777" w:rsidR="000B09F5" w:rsidRDefault="000B09F5" w:rsidP="002938F2">
      <w:r>
        <w:continuationSeparator/>
      </w:r>
    </w:p>
    <w:p w14:paraId="42EEDB96" w14:textId="77777777" w:rsidR="000B09F5" w:rsidRDefault="000B09F5"/>
  </w:endnote>
  <w:endnote w:id="1">
    <w:p w14:paraId="2B97D600" w14:textId="77777777" w:rsidR="00B86EBF" w:rsidRPr="00AD71A4" w:rsidRDefault="00B86EBF" w:rsidP="00B86EBF">
      <w:pPr>
        <w:pStyle w:val="EndnoteText"/>
        <w:ind w:left="360" w:hanging="360"/>
        <w:rPr>
          <w:lang w:val="fr-FR"/>
        </w:rPr>
      </w:pPr>
      <w:r>
        <w:rPr>
          <w:rStyle w:val="EndnoteReference"/>
          <w:lang w:val="fr"/>
        </w:rPr>
        <w:endnoteRef/>
      </w:r>
      <w:r>
        <w:rPr>
          <w:lang w:val="fr"/>
        </w:rPr>
        <w:t xml:space="preserve"> UNESCO 2021, 14.</w:t>
      </w:r>
    </w:p>
  </w:endnote>
  <w:endnote w:id="2">
    <w:p w14:paraId="4DD72DEF" w14:textId="77777777" w:rsidR="00F47ACD" w:rsidRPr="00AD71A4" w:rsidRDefault="00F47ACD" w:rsidP="00F47ACD">
      <w:pPr>
        <w:pStyle w:val="EndnoteText"/>
        <w:rPr>
          <w:lang w:val="fr-FR"/>
        </w:rPr>
      </w:pPr>
      <w:r>
        <w:rPr>
          <w:rStyle w:val="EndnoteReference"/>
          <w:lang w:val="fr"/>
        </w:rPr>
        <w:endnoteRef/>
      </w:r>
      <w:r>
        <w:rPr>
          <w:lang w:val="fr"/>
        </w:rPr>
        <w:t xml:space="preserve"> Voir les premières indications de la valeur des approches régionales décrites par Seeger (2001).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0667E" w14:textId="77777777" w:rsidR="007176DB" w:rsidRDefault="007176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45283" w14:textId="77777777" w:rsidR="007176DB" w:rsidRDefault="007176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A7383" w14:textId="77777777" w:rsidR="007176DB" w:rsidRDefault="007176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BF2F7" w14:textId="77777777" w:rsidR="000B09F5" w:rsidRDefault="000B09F5" w:rsidP="0017455E">
      <w:r>
        <w:separator/>
      </w:r>
    </w:p>
  </w:footnote>
  <w:footnote w:type="continuationSeparator" w:id="0">
    <w:p w14:paraId="584DE5CD" w14:textId="77777777" w:rsidR="000B09F5" w:rsidRDefault="000B09F5" w:rsidP="0017455E">
      <w:r>
        <w:continuationSeparator/>
      </w:r>
    </w:p>
  </w:footnote>
  <w:footnote w:type="continuationNotice" w:id="1">
    <w:p w14:paraId="257C1299" w14:textId="77777777" w:rsidR="000B09F5" w:rsidRDefault="000B09F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BBA7F" w14:textId="1546B877" w:rsidR="00B6167A" w:rsidRPr="00AD71A4" w:rsidRDefault="00FD1941" w:rsidP="009B55AC">
    <w:pPr>
      <w:pStyle w:val="Header"/>
      <w:rPr>
        <w:rFonts w:ascii="Arial" w:hAnsi="Arial" w:cs="Arial"/>
        <w:sz w:val="18"/>
        <w:szCs w:val="18"/>
        <w:lang w:val="es-ES"/>
      </w:rPr>
    </w:pPr>
    <w:r w:rsidRPr="00AD71A4">
      <w:rPr>
        <w:rFonts w:ascii="Arial" w:hAnsi="Arial"/>
        <w:sz w:val="18"/>
        <w:szCs w:val="18"/>
        <w:lang w:val="es-ES"/>
      </w:rPr>
      <w:t xml:space="preserve">LHE/24/EXP THEMA-CLIMA/4f – page </w:t>
    </w:r>
    <w:r>
      <w:rPr>
        <w:rStyle w:val="PageNumber"/>
        <w:rFonts w:ascii="Arial" w:hAnsi="Arial" w:cs="Arial"/>
        <w:sz w:val="18"/>
        <w:szCs w:val="18"/>
        <w:lang w:val="fr"/>
      </w:rPr>
      <w:fldChar w:fldCharType="begin"/>
    </w:r>
    <w:r w:rsidRPr="00AD71A4">
      <w:rPr>
        <w:rStyle w:val="PageNumber"/>
        <w:rFonts w:ascii="Arial" w:hAnsi="Arial" w:cs="Arial"/>
        <w:sz w:val="18"/>
        <w:szCs w:val="18"/>
        <w:lang w:val="es-ES"/>
      </w:rPr>
      <w:instrText xml:space="preserve"> PAGE </w:instrText>
    </w:r>
    <w:r>
      <w:rPr>
        <w:rStyle w:val="PageNumber"/>
        <w:rFonts w:ascii="Arial" w:hAnsi="Arial" w:cs="Arial"/>
        <w:sz w:val="18"/>
        <w:szCs w:val="18"/>
        <w:lang w:val="fr"/>
      </w:rPr>
      <w:fldChar w:fldCharType="separate"/>
    </w:r>
    <w:r w:rsidRPr="00AD71A4">
      <w:rPr>
        <w:rStyle w:val="PageNumber"/>
        <w:rFonts w:ascii="Arial" w:hAnsi="Arial" w:cs="Arial"/>
        <w:sz w:val="18"/>
        <w:szCs w:val="18"/>
        <w:lang w:val="es-ES"/>
      </w:rPr>
      <w:t>2</w:t>
    </w:r>
    <w:r>
      <w:rPr>
        <w:rStyle w:val="PageNumber"/>
        <w:rFonts w:ascii="Arial" w:hAnsi="Arial" w:cs="Arial"/>
        <w:sz w:val="18"/>
        <w:szCs w:val="18"/>
        <w:lang w:val="f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3062F" w14:textId="5B01E00E" w:rsidR="00B6167A" w:rsidRPr="00AD71A4" w:rsidRDefault="00105BEB" w:rsidP="00FD6E38">
    <w:pPr>
      <w:pStyle w:val="Header"/>
      <w:ind w:left="2544" w:right="100"/>
      <w:jc w:val="right"/>
      <w:rPr>
        <w:rFonts w:ascii="Arial" w:hAnsi="Arial" w:cs="Arial"/>
        <w:lang w:val="es-ES"/>
      </w:rPr>
    </w:pPr>
    <w:r w:rsidRPr="00AD71A4">
      <w:rPr>
        <w:rFonts w:ascii="Arial" w:hAnsi="Arial"/>
        <w:sz w:val="20"/>
        <w:lang w:val="es-ES"/>
      </w:rPr>
      <w:t xml:space="preserve">LHE/24/EXP THEMA-CLIMA/4f – page </w:t>
    </w:r>
    <w:r>
      <w:rPr>
        <w:rStyle w:val="PageNumber"/>
        <w:rFonts w:ascii="Arial" w:hAnsi="Arial" w:cs="Arial"/>
        <w:sz w:val="20"/>
        <w:lang w:val="fr"/>
      </w:rPr>
      <w:fldChar w:fldCharType="begin"/>
    </w:r>
    <w:r w:rsidRPr="00AD71A4">
      <w:rPr>
        <w:rStyle w:val="PageNumber"/>
        <w:rFonts w:ascii="Arial" w:hAnsi="Arial" w:cs="Arial"/>
        <w:sz w:val="20"/>
        <w:lang w:val="es-ES"/>
      </w:rPr>
      <w:instrText xml:space="preserve"> PAGE </w:instrText>
    </w:r>
    <w:r>
      <w:rPr>
        <w:rStyle w:val="PageNumber"/>
        <w:rFonts w:ascii="Arial" w:hAnsi="Arial" w:cs="Arial"/>
        <w:sz w:val="20"/>
        <w:lang w:val="fr"/>
      </w:rPr>
      <w:fldChar w:fldCharType="separate"/>
    </w:r>
    <w:r w:rsidRPr="00AD71A4">
      <w:rPr>
        <w:rStyle w:val="PageNumber"/>
        <w:rFonts w:ascii="Arial" w:hAnsi="Arial" w:cs="Arial"/>
        <w:sz w:val="20"/>
        <w:lang w:val="es-ES"/>
      </w:rPr>
      <w:t>3</w:t>
    </w:r>
    <w:r>
      <w:rPr>
        <w:rStyle w:val="PageNumber"/>
        <w:rFonts w:ascii="Arial" w:hAnsi="Arial" w:cs="Arial"/>
        <w:sz w:val="20"/>
        <w:lang w:val="f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B1DD4" w14:textId="16DBEA42" w:rsidR="00B6167A" w:rsidRPr="00AD71A4" w:rsidRDefault="006D6FF2" w:rsidP="008D2296">
    <w:pPr>
      <w:pStyle w:val="Header"/>
      <w:jc w:val="right"/>
      <w:rPr>
        <w:vanish/>
        <w:lang w:val="es-ES"/>
      </w:rPr>
    </w:pPr>
    <w:r>
      <w:rPr>
        <w:rFonts w:ascii="Arial" w:hAnsi="Arial" w:cs="Arial"/>
        <w:b/>
        <w:noProof/>
        <w:sz w:val="44"/>
        <w:szCs w:val="44"/>
        <w:lang w:val="pt-PT"/>
      </w:rPr>
      <w:drawing>
        <wp:anchor distT="0" distB="0" distL="114300" distR="114300" simplePos="0" relativeHeight="251662336" behindDoc="0" locked="0" layoutInCell="1" allowOverlap="1" wp14:anchorId="44829311" wp14:editId="0669FC3C">
          <wp:simplePos x="0" y="0"/>
          <wp:positionH relativeFrom="column">
            <wp:posOffset>0</wp:posOffset>
          </wp:positionH>
          <wp:positionV relativeFrom="paragraph">
            <wp:posOffset>161925</wp:posOffset>
          </wp:positionV>
          <wp:extent cx="1657350" cy="1391920"/>
          <wp:effectExtent l="0" t="0" r="0" b="0"/>
          <wp:wrapSquare wrapText="bothSides"/>
          <wp:docPr id="1756277883" name="Imag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277883" name="Imag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1391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71A4">
      <w:rPr>
        <w:noProof/>
        <w:lang w:val="es-ES"/>
      </w:rPr>
      <w:t>v</w:t>
    </w:r>
  </w:p>
  <w:p w14:paraId="0B43FA27" w14:textId="5857B68E" w:rsidR="00105BEB" w:rsidRPr="00AD71A4" w:rsidRDefault="00105BEB" w:rsidP="008D2296">
    <w:pPr>
      <w:pStyle w:val="Header"/>
      <w:tabs>
        <w:tab w:val="clear" w:pos="4536"/>
        <w:tab w:val="center" w:pos="5387"/>
      </w:tabs>
      <w:spacing w:after="520"/>
      <w:jc w:val="right"/>
      <w:rPr>
        <w:rFonts w:ascii="Arial" w:hAnsi="Arial" w:cs="Arial"/>
        <w:b/>
        <w:sz w:val="44"/>
        <w:szCs w:val="44"/>
        <w:lang w:val="es-ES"/>
      </w:rPr>
    </w:pPr>
    <w:r w:rsidRPr="00AD71A4">
      <w:rPr>
        <w:rFonts w:ascii="Arial" w:hAnsi="Arial"/>
        <w:b/>
        <w:bCs/>
        <w:sz w:val="44"/>
        <w:lang w:val="es-ES"/>
      </w:rPr>
      <w:t>EXP THEMA-CLIMA</w:t>
    </w:r>
  </w:p>
  <w:p w14:paraId="49E05D1F" w14:textId="6841834E" w:rsidR="00105BEB" w:rsidRPr="00AD71A4" w:rsidRDefault="00105BEB" w:rsidP="00105BEB">
    <w:pPr>
      <w:spacing w:after="0"/>
      <w:jc w:val="right"/>
      <w:rPr>
        <w:rFonts w:ascii="Arial" w:hAnsi="Arial" w:cs="Arial"/>
        <w:b/>
        <w:szCs w:val="22"/>
        <w:lang w:val="es-ES"/>
      </w:rPr>
    </w:pPr>
    <w:r w:rsidRPr="00AD71A4">
      <w:rPr>
        <w:rFonts w:ascii="Arial" w:hAnsi="Arial"/>
        <w:b/>
        <w:bCs/>
        <w:lang w:val="es-ES"/>
      </w:rPr>
      <w:t>LHE/24/</w:t>
    </w:r>
    <w:bookmarkStart w:id="5" w:name="_Hlk94624970"/>
    <w:r w:rsidRPr="00AD71A4">
      <w:rPr>
        <w:rFonts w:ascii="Arial" w:hAnsi="Arial"/>
        <w:b/>
        <w:bCs/>
        <w:lang w:val="es-ES"/>
      </w:rPr>
      <w:t>EXP THEMA-CLIMA/4f</w:t>
    </w:r>
  </w:p>
  <w:bookmarkEnd w:id="5"/>
  <w:p w14:paraId="3F614105" w14:textId="45727ECF" w:rsidR="00105BEB" w:rsidRPr="00F60CFE" w:rsidRDefault="00105BEB" w:rsidP="00105BEB">
    <w:pPr>
      <w:spacing w:after="0"/>
      <w:jc w:val="right"/>
      <w:rPr>
        <w:rFonts w:ascii="Arial" w:eastAsiaTheme="minorEastAsia" w:hAnsi="Arial" w:cs="Arial"/>
        <w:b/>
        <w:szCs w:val="22"/>
      </w:rPr>
    </w:pPr>
    <w:r>
      <w:rPr>
        <w:rFonts w:ascii="Arial" w:hAnsi="Arial"/>
        <w:b/>
        <w:bCs/>
        <w:lang w:val="fr"/>
      </w:rPr>
      <w:t xml:space="preserve">Paris, le </w:t>
    </w:r>
    <w:r w:rsidR="006D6FF2">
      <w:rPr>
        <w:rFonts w:ascii="Arial" w:hAnsi="Arial"/>
        <w:b/>
        <w:bCs/>
        <w:lang w:val="fr"/>
      </w:rPr>
      <w:t xml:space="preserve">7 </w:t>
    </w:r>
    <w:r>
      <w:rPr>
        <w:rFonts w:ascii="Arial" w:hAnsi="Arial"/>
        <w:b/>
        <w:bCs/>
        <w:lang w:val="fr"/>
      </w:rPr>
      <w:t>juin 2024</w:t>
    </w:r>
  </w:p>
  <w:p w14:paraId="03DAB48F" w14:textId="7B489E7F" w:rsidR="00AE0CCF" w:rsidRPr="00F60CFE" w:rsidRDefault="00AE0CCF" w:rsidP="009F265A">
    <w:pPr>
      <w:spacing w:after="0"/>
      <w:jc w:val="right"/>
      <w:rPr>
        <w:rFonts w:ascii="Arial" w:hAnsi="Arial" w:cs="Arial"/>
        <w:b/>
        <w:szCs w:val="22"/>
      </w:rPr>
    </w:pPr>
    <w:r>
      <w:rPr>
        <w:rFonts w:ascii="Arial" w:hAnsi="Arial"/>
        <w:b/>
        <w:bCs/>
        <w:lang w:val="fr"/>
      </w:rPr>
      <w:t>Original : anglais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25F4F"/>
    <w:multiLevelType w:val="hybridMultilevel"/>
    <w:tmpl w:val="3B3CC5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B910FA"/>
    <w:multiLevelType w:val="hybridMultilevel"/>
    <w:tmpl w:val="CC6CBFBC"/>
    <w:lvl w:ilvl="0" w:tplc="04090011">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3" w15:restartNumberingAfterBreak="0">
    <w:nsid w:val="14EE1EA1"/>
    <w:multiLevelType w:val="hybridMultilevel"/>
    <w:tmpl w:val="2716EAC4"/>
    <w:lvl w:ilvl="0" w:tplc="0409001B">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8C730BD"/>
    <w:multiLevelType w:val="hybridMultilevel"/>
    <w:tmpl w:val="44C6B6CE"/>
    <w:lvl w:ilvl="0" w:tplc="FFFFFFFF">
      <w:start w:val="1"/>
      <w:numFmt w:val="decimal"/>
      <w:lvlText w:val="%1."/>
      <w:lvlJc w:val="left"/>
      <w:pPr>
        <w:ind w:left="720" w:hanging="360"/>
      </w:pPr>
    </w:lvl>
    <w:lvl w:ilvl="1" w:tplc="04090011">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6" w15:restartNumberingAfterBreak="0">
    <w:nsid w:val="1E0E4426"/>
    <w:multiLevelType w:val="hybridMultilevel"/>
    <w:tmpl w:val="6748B200"/>
    <w:lvl w:ilvl="0" w:tplc="0C090011">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E874593"/>
    <w:multiLevelType w:val="hybridMultilevel"/>
    <w:tmpl w:val="3632A1C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75C4139"/>
    <w:multiLevelType w:val="hybridMultilevel"/>
    <w:tmpl w:val="BC6ACCF0"/>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CDC2B8B"/>
    <w:multiLevelType w:val="hybridMultilevel"/>
    <w:tmpl w:val="6748B20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41B216B"/>
    <w:multiLevelType w:val="multilevel"/>
    <w:tmpl w:val="5BBE1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F07BFE"/>
    <w:multiLevelType w:val="hybridMultilevel"/>
    <w:tmpl w:val="7932E5D8"/>
    <w:lvl w:ilvl="0" w:tplc="31E44598">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4" w15:restartNumberingAfterBreak="0">
    <w:nsid w:val="37B25F71"/>
    <w:multiLevelType w:val="hybridMultilevel"/>
    <w:tmpl w:val="86F28D6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F05B63"/>
    <w:multiLevelType w:val="hybridMultilevel"/>
    <w:tmpl w:val="4656C4AA"/>
    <w:lvl w:ilvl="0" w:tplc="04090011">
      <w:start w:val="1"/>
      <w:numFmt w:val="decimal"/>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6" w15:restartNumberingAfterBreak="0">
    <w:nsid w:val="3D9709AE"/>
    <w:multiLevelType w:val="hybridMultilevel"/>
    <w:tmpl w:val="B18CF3D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F350701"/>
    <w:multiLevelType w:val="hybridMultilevel"/>
    <w:tmpl w:val="CB66A6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F5D2705"/>
    <w:multiLevelType w:val="hybridMultilevel"/>
    <w:tmpl w:val="AB36B12E"/>
    <w:lvl w:ilvl="0" w:tplc="0409001B">
      <w:start w:val="1"/>
      <w:numFmt w:val="lowerRoman"/>
      <w:lvlText w:val="%1."/>
      <w:lvlJc w:val="righ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9841FA1"/>
    <w:multiLevelType w:val="hybridMultilevel"/>
    <w:tmpl w:val="1D5CC38E"/>
    <w:lvl w:ilvl="0" w:tplc="8CA8B25E">
      <w:start w:val="3"/>
      <w:numFmt w:val="decimal"/>
      <w:lvlText w:val="%1."/>
      <w:lvlJc w:val="left"/>
      <w:pPr>
        <w:ind w:left="720" w:hanging="360"/>
      </w:pPr>
      <w:rPr>
        <w:rFonts w:hint="default"/>
      </w:rPr>
    </w:lvl>
    <w:lvl w:ilvl="1" w:tplc="0C090019" w:tentative="1">
      <w:start w:val="1"/>
      <w:numFmt w:val="lowerLetter"/>
      <w:lvlText w:val="%2."/>
      <w:lvlJc w:val="left"/>
      <w:pPr>
        <w:ind w:left="0" w:hanging="360"/>
      </w:pPr>
    </w:lvl>
    <w:lvl w:ilvl="2" w:tplc="0C09001B" w:tentative="1">
      <w:start w:val="1"/>
      <w:numFmt w:val="lowerRoman"/>
      <w:lvlText w:val="%3."/>
      <w:lvlJc w:val="right"/>
      <w:pPr>
        <w:ind w:left="720" w:hanging="180"/>
      </w:pPr>
    </w:lvl>
    <w:lvl w:ilvl="3" w:tplc="0C09000F" w:tentative="1">
      <w:start w:val="1"/>
      <w:numFmt w:val="decimal"/>
      <w:lvlText w:val="%4."/>
      <w:lvlJc w:val="left"/>
      <w:pPr>
        <w:ind w:left="1440" w:hanging="360"/>
      </w:pPr>
    </w:lvl>
    <w:lvl w:ilvl="4" w:tplc="0C090019" w:tentative="1">
      <w:start w:val="1"/>
      <w:numFmt w:val="lowerLetter"/>
      <w:lvlText w:val="%5."/>
      <w:lvlJc w:val="left"/>
      <w:pPr>
        <w:ind w:left="2160" w:hanging="360"/>
      </w:pPr>
    </w:lvl>
    <w:lvl w:ilvl="5" w:tplc="0C09001B" w:tentative="1">
      <w:start w:val="1"/>
      <w:numFmt w:val="lowerRoman"/>
      <w:lvlText w:val="%6."/>
      <w:lvlJc w:val="right"/>
      <w:pPr>
        <w:ind w:left="2880" w:hanging="180"/>
      </w:pPr>
    </w:lvl>
    <w:lvl w:ilvl="6" w:tplc="0C09000F" w:tentative="1">
      <w:start w:val="1"/>
      <w:numFmt w:val="decimal"/>
      <w:lvlText w:val="%7."/>
      <w:lvlJc w:val="left"/>
      <w:pPr>
        <w:ind w:left="3600" w:hanging="360"/>
      </w:pPr>
    </w:lvl>
    <w:lvl w:ilvl="7" w:tplc="0C090019" w:tentative="1">
      <w:start w:val="1"/>
      <w:numFmt w:val="lowerLetter"/>
      <w:lvlText w:val="%8."/>
      <w:lvlJc w:val="left"/>
      <w:pPr>
        <w:ind w:left="4320" w:hanging="360"/>
      </w:pPr>
    </w:lvl>
    <w:lvl w:ilvl="8" w:tplc="0C09001B" w:tentative="1">
      <w:start w:val="1"/>
      <w:numFmt w:val="lowerRoman"/>
      <w:lvlText w:val="%9."/>
      <w:lvlJc w:val="right"/>
      <w:pPr>
        <w:ind w:left="5040" w:hanging="180"/>
      </w:pPr>
    </w:lvl>
  </w:abstractNum>
  <w:abstractNum w:abstractNumId="20" w15:restartNumberingAfterBreak="0">
    <w:nsid w:val="4FF35CC1"/>
    <w:multiLevelType w:val="hybridMultilevel"/>
    <w:tmpl w:val="B23C27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B875A4"/>
    <w:multiLevelType w:val="hybridMultilevel"/>
    <w:tmpl w:val="FB4E731E"/>
    <w:lvl w:ilvl="0" w:tplc="ED1AB72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3C07984"/>
    <w:multiLevelType w:val="hybridMultilevel"/>
    <w:tmpl w:val="EB388548"/>
    <w:lvl w:ilvl="0" w:tplc="04090011">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7B846EC"/>
    <w:multiLevelType w:val="hybridMultilevel"/>
    <w:tmpl w:val="0E669C94"/>
    <w:lvl w:ilvl="0" w:tplc="040C001B">
      <w:start w:val="1"/>
      <w:numFmt w:val="lowerRoman"/>
      <w:lvlText w:val="%1."/>
      <w:lvlJc w:val="righ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6" w15:restartNumberingAfterBreak="0">
    <w:nsid w:val="6A9B1360"/>
    <w:multiLevelType w:val="hybridMultilevel"/>
    <w:tmpl w:val="924CFA76"/>
    <w:lvl w:ilvl="0" w:tplc="AF164E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B12685F"/>
    <w:multiLevelType w:val="hybridMultilevel"/>
    <w:tmpl w:val="709C8E08"/>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DAE6997"/>
    <w:multiLevelType w:val="hybridMultilevel"/>
    <w:tmpl w:val="9C8E9086"/>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069037826">
    <w:abstractNumId w:val="22"/>
  </w:num>
  <w:num w:numId="2" w16cid:durableId="1781993912">
    <w:abstractNumId w:val="13"/>
  </w:num>
  <w:num w:numId="3" w16cid:durableId="38207843">
    <w:abstractNumId w:val="5"/>
  </w:num>
  <w:num w:numId="4" w16cid:durableId="323359568">
    <w:abstractNumId w:val="29"/>
  </w:num>
  <w:num w:numId="5" w16cid:durableId="748893152">
    <w:abstractNumId w:val="24"/>
  </w:num>
  <w:num w:numId="6" w16cid:durableId="810168608">
    <w:abstractNumId w:val="2"/>
  </w:num>
  <w:num w:numId="7" w16cid:durableId="1693913810">
    <w:abstractNumId w:val="8"/>
  </w:num>
  <w:num w:numId="8" w16cid:durableId="228617101">
    <w:abstractNumId w:val="12"/>
  </w:num>
  <w:num w:numId="9" w16cid:durableId="1883442986">
    <w:abstractNumId w:val="26"/>
  </w:num>
  <w:num w:numId="10" w16cid:durableId="629088898">
    <w:abstractNumId w:val="11"/>
  </w:num>
  <w:num w:numId="11" w16cid:durableId="531501165">
    <w:abstractNumId w:val="16"/>
  </w:num>
  <w:num w:numId="12" w16cid:durableId="868223260">
    <w:abstractNumId w:val="6"/>
  </w:num>
  <w:num w:numId="13" w16cid:durableId="924608458">
    <w:abstractNumId w:val="10"/>
  </w:num>
  <w:num w:numId="14" w16cid:durableId="1269775964">
    <w:abstractNumId w:val="7"/>
  </w:num>
  <w:num w:numId="15" w16cid:durableId="1828010910">
    <w:abstractNumId w:val="9"/>
  </w:num>
  <w:num w:numId="16" w16cid:durableId="1203323570">
    <w:abstractNumId w:val="27"/>
  </w:num>
  <w:num w:numId="17" w16cid:durableId="342781470">
    <w:abstractNumId w:val="28"/>
  </w:num>
  <w:num w:numId="18" w16cid:durableId="278536238">
    <w:abstractNumId w:val="17"/>
  </w:num>
  <w:num w:numId="19" w16cid:durableId="1841457543">
    <w:abstractNumId w:val="4"/>
  </w:num>
  <w:num w:numId="20" w16cid:durableId="106782135">
    <w:abstractNumId w:val="23"/>
  </w:num>
  <w:num w:numId="21" w16cid:durableId="1982075168">
    <w:abstractNumId w:val="14"/>
  </w:num>
  <w:num w:numId="22" w16cid:durableId="468520937">
    <w:abstractNumId w:val="15"/>
  </w:num>
  <w:num w:numId="23" w16cid:durableId="384139050">
    <w:abstractNumId w:val="25"/>
  </w:num>
  <w:num w:numId="24" w16cid:durableId="2017539806">
    <w:abstractNumId w:val="12"/>
  </w:num>
  <w:num w:numId="25" w16cid:durableId="935329896">
    <w:abstractNumId w:val="19"/>
  </w:num>
  <w:num w:numId="26" w16cid:durableId="547113767">
    <w:abstractNumId w:val="12"/>
    <w:lvlOverride w:ilvl="0">
      <w:startOverride w:val="1"/>
    </w:lvlOverride>
  </w:num>
  <w:num w:numId="27" w16cid:durableId="792868558">
    <w:abstractNumId w:val="12"/>
  </w:num>
  <w:num w:numId="28" w16cid:durableId="1846482857">
    <w:abstractNumId w:val="12"/>
  </w:num>
  <w:num w:numId="29" w16cid:durableId="822694722">
    <w:abstractNumId w:val="12"/>
  </w:num>
  <w:num w:numId="30" w16cid:durableId="446194437">
    <w:abstractNumId w:val="1"/>
  </w:num>
  <w:num w:numId="31" w16cid:durableId="706106729">
    <w:abstractNumId w:val="21"/>
  </w:num>
  <w:num w:numId="32" w16cid:durableId="1643466883">
    <w:abstractNumId w:val="0"/>
  </w:num>
  <w:num w:numId="33" w16cid:durableId="1278219947">
    <w:abstractNumId w:val="20"/>
  </w:num>
  <w:num w:numId="34" w16cid:durableId="925070202">
    <w:abstractNumId w:val="18"/>
  </w:num>
  <w:num w:numId="35" w16cid:durableId="12885082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4A1"/>
    <w:rsid w:val="000016A4"/>
    <w:rsid w:val="000019DB"/>
    <w:rsid w:val="000047CC"/>
    <w:rsid w:val="0001187C"/>
    <w:rsid w:val="000120FD"/>
    <w:rsid w:val="00021831"/>
    <w:rsid w:val="00021EA6"/>
    <w:rsid w:val="00026986"/>
    <w:rsid w:val="000324A2"/>
    <w:rsid w:val="000341CC"/>
    <w:rsid w:val="00037ECF"/>
    <w:rsid w:val="00041085"/>
    <w:rsid w:val="00041195"/>
    <w:rsid w:val="00047E58"/>
    <w:rsid w:val="00050FCC"/>
    <w:rsid w:val="00052F86"/>
    <w:rsid w:val="00057E13"/>
    <w:rsid w:val="00066EBA"/>
    <w:rsid w:val="00067FA4"/>
    <w:rsid w:val="00073D20"/>
    <w:rsid w:val="000755E1"/>
    <w:rsid w:val="00085541"/>
    <w:rsid w:val="00086172"/>
    <w:rsid w:val="00093063"/>
    <w:rsid w:val="000A34CE"/>
    <w:rsid w:val="000A7607"/>
    <w:rsid w:val="000B09F5"/>
    <w:rsid w:val="000B2521"/>
    <w:rsid w:val="000B59E2"/>
    <w:rsid w:val="000C3A96"/>
    <w:rsid w:val="000C65E4"/>
    <w:rsid w:val="000D6475"/>
    <w:rsid w:val="000E01E2"/>
    <w:rsid w:val="000F2688"/>
    <w:rsid w:val="000F59B2"/>
    <w:rsid w:val="000F6124"/>
    <w:rsid w:val="000F6B16"/>
    <w:rsid w:val="00101B98"/>
    <w:rsid w:val="00102842"/>
    <w:rsid w:val="00105BEB"/>
    <w:rsid w:val="00105F2A"/>
    <w:rsid w:val="001064D8"/>
    <w:rsid w:val="00106B72"/>
    <w:rsid w:val="0011750D"/>
    <w:rsid w:val="0012095C"/>
    <w:rsid w:val="00127EBA"/>
    <w:rsid w:val="00132EAD"/>
    <w:rsid w:val="001412DE"/>
    <w:rsid w:val="00144A4D"/>
    <w:rsid w:val="00150C9E"/>
    <w:rsid w:val="00151351"/>
    <w:rsid w:val="001535EA"/>
    <w:rsid w:val="00154073"/>
    <w:rsid w:val="001555A8"/>
    <w:rsid w:val="0015588B"/>
    <w:rsid w:val="00163F26"/>
    <w:rsid w:val="001656C7"/>
    <w:rsid w:val="00172D64"/>
    <w:rsid w:val="0017455E"/>
    <w:rsid w:val="00174B39"/>
    <w:rsid w:val="001764CB"/>
    <w:rsid w:val="00183B4A"/>
    <w:rsid w:val="001943EE"/>
    <w:rsid w:val="001A431C"/>
    <w:rsid w:val="001A5DBA"/>
    <w:rsid w:val="001B36AB"/>
    <w:rsid w:val="001C1B4D"/>
    <w:rsid w:val="001C4340"/>
    <w:rsid w:val="001C5BA7"/>
    <w:rsid w:val="001D00B5"/>
    <w:rsid w:val="001D3B29"/>
    <w:rsid w:val="001D60DE"/>
    <w:rsid w:val="001E08E4"/>
    <w:rsid w:val="001E182C"/>
    <w:rsid w:val="001E4EEB"/>
    <w:rsid w:val="001E6026"/>
    <w:rsid w:val="001F3696"/>
    <w:rsid w:val="001F37CA"/>
    <w:rsid w:val="001F46F6"/>
    <w:rsid w:val="00204B37"/>
    <w:rsid w:val="00204DF5"/>
    <w:rsid w:val="00207CCE"/>
    <w:rsid w:val="002105E4"/>
    <w:rsid w:val="002150F9"/>
    <w:rsid w:val="00216696"/>
    <w:rsid w:val="002236C8"/>
    <w:rsid w:val="00237E43"/>
    <w:rsid w:val="002438D4"/>
    <w:rsid w:val="002539FB"/>
    <w:rsid w:val="0026126F"/>
    <w:rsid w:val="0027198B"/>
    <w:rsid w:val="0027426A"/>
    <w:rsid w:val="00274B9B"/>
    <w:rsid w:val="00277839"/>
    <w:rsid w:val="00283783"/>
    <w:rsid w:val="002856CB"/>
    <w:rsid w:val="00285DB7"/>
    <w:rsid w:val="00286C0C"/>
    <w:rsid w:val="00290D5F"/>
    <w:rsid w:val="0029153E"/>
    <w:rsid w:val="002938F2"/>
    <w:rsid w:val="00296322"/>
    <w:rsid w:val="002A5CAC"/>
    <w:rsid w:val="002A7763"/>
    <w:rsid w:val="002B68A0"/>
    <w:rsid w:val="002C3A40"/>
    <w:rsid w:val="002C5280"/>
    <w:rsid w:val="002D396D"/>
    <w:rsid w:val="002E258E"/>
    <w:rsid w:val="0030118C"/>
    <w:rsid w:val="003037FF"/>
    <w:rsid w:val="00307B6A"/>
    <w:rsid w:val="003136F8"/>
    <w:rsid w:val="0031478C"/>
    <w:rsid w:val="003215A4"/>
    <w:rsid w:val="00325908"/>
    <w:rsid w:val="00325B01"/>
    <w:rsid w:val="00326DE7"/>
    <w:rsid w:val="003357E5"/>
    <w:rsid w:val="00343A85"/>
    <w:rsid w:val="00345E34"/>
    <w:rsid w:val="0035648A"/>
    <w:rsid w:val="0035787E"/>
    <w:rsid w:val="00360BBB"/>
    <w:rsid w:val="00363995"/>
    <w:rsid w:val="00365869"/>
    <w:rsid w:val="003744E8"/>
    <w:rsid w:val="00376CAD"/>
    <w:rsid w:val="00383D34"/>
    <w:rsid w:val="003841AE"/>
    <w:rsid w:val="00386A5F"/>
    <w:rsid w:val="00393412"/>
    <w:rsid w:val="0039446E"/>
    <w:rsid w:val="003949CE"/>
    <w:rsid w:val="003B1A62"/>
    <w:rsid w:val="003B2456"/>
    <w:rsid w:val="003C523E"/>
    <w:rsid w:val="003C5FB6"/>
    <w:rsid w:val="003C7065"/>
    <w:rsid w:val="003D47B8"/>
    <w:rsid w:val="003E0024"/>
    <w:rsid w:val="003E0E69"/>
    <w:rsid w:val="003F045A"/>
    <w:rsid w:val="003F39B4"/>
    <w:rsid w:val="00407783"/>
    <w:rsid w:val="004108B6"/>
    <w:rsid w:val="0041390A"/>
    <w:rsid w:val="00432EF7"/>
    <w:rsid w:val="00434773"/>
    <w:rsid w:val="004367C1"/>
    <w:rsid w:val="00447C66"/>
    <w:rsid w:val="00451E22"/>
    <w:rsid w:val="00454CD8"/>
    <w:rsid w:val="00455200"/>
    <w:rsid w:val="004558AF"/>
    <w:rsid w:val="00455DEA"/>
    <w:rsid w:val="0045699A"/>
    <w:rsid w:val="004634DD"/>
    <w:rsid w:val="00471B34"/>
    <w:rsid w:val="0047693C"/>
    <w:rsid w:val="00483688"/>
    <w:rsid w:val="00484206"/>
    <w:rsid w:val="0048640B"/>
    <w:rsid w:val="00490429"/>
    <w:rsid w:val="00496999"/>
    <w:rsid w:val="004A63DB"/>
    <w:rsid w:val="004B2A50"/>
    <w:rsid w:val="004C4D03"/>
    <w:rsid w:val="004D5B56"/>
    <w:rsid w:val="004E056C"/>
    <w:rsid w:val="004E2817"/>
    <w:rsid w:val="004E3EA7"/>
    <w:rsid w:val="004E62DC"/>
    <w:rsid w:val="004F2112"/>
    <w:rsid w:val="005016FB"/>
    <w:rsid w:val="00506F17"/>
    <w:rsid w:val="00511955"/>
    <w:rsid w:val="00511D17"/>
    <w:rsid w:val="00516150"/>
    <w:rsid w:val="0051699F"/>
    <w:rsid w:val="0052744F"/>
    <w:rsid w:val="005277E9"/>
    <w:rsid w:val="00532E7A"/>
    <w:rsid w:val="00540418"/>
    <w:rsid w:val="005414A1"/>
    <w:rsid w:val="005637A6"/>
    <w:rsid w:val="00570814"/>
    <w:rsid w:val="00574096"/>
    <w:rsid w:val="005804CC"/>
    <w:rsid w:val="00583611"/>
    <w:rsid w:val="0059515A"/>
    <w:rsid w:val="005A48D3"/>
    <w:rsid w:val="005C0660"/>
    <w:rsid w:val="005C2D77"/>
    <w:rsid w:val="005D3E69"/>
    <w:rsid w:val="005D5F76"/>
    <w:rsid w:val="005E0377"/>
    <w:rsid w:val="005E3553"/>
    <w:rsid w:val="00601DD6"/>
    <w:rsid w:val="00603F71"/>
    <w:rsid w:val="00627E2F"/>
    <w:rsid w:val="00636760"/>
    <w:rsid w:val="00644077"/>
    <w:rsid w:val="006515C9"/>
    <w:rsid w:val="00652318"/>
    <w:rsid w:val="00656729"/>
    <w:rsid w:val="00660BC5"/>
    <w:rsid w:val="0067005F"/>
    <w:rsid w:val="00677159"/>
    <w:rsid w:val="00677DF6"/>
    <w:rsid w:val="006818D7"/>
    <w:rsid w:val="00691B29"/>
    <w:rsid w:val="006943E8"/>
    <w:rsid w:val="00697F77"/>
    <w:rsid w:val="006A0D86"/>
    <w:rsid w:val="006A1249"/>
    <w:rsid w:val="006A778E"/>
    <w:rsid w:val="006B0EDC"/>
    <w:rsid w:val="006B29D3"/>
    <w:rsid w:val="006B37B5"/>
    <w:rsid w:val="006C0911"/>
    <w:rsid w:val="006C3BEA"/>
    <w:rsid w:val="006D3C96"/>
    <w:rsid w:val="006D46FB"/>
    <w:rsid w:val="006D5797"/>
    <w:rsid w:val="006D6FF2"/>
    <w:rsid w:val="006E31B2"/>
    <w:rsid w:val="006E7E1A"/>
    <w:rsid w:val="006F0449"/>
    <w:rsid w:val="006F3575"/>
    <w:rsid w:val="006F46C7"/>
    <w:rsid w:val="00701B11"/>
    <w:rsid w:val="00707540"/>
    <w:rsid w:val="007176DB"/>
    <w:rsid w:val="00723FD7"/>
    <w:rsid w:val="007420D3"/>
    <w:rsid w:val="00746204"/>
    <w:rsid w:val="00747715"/>
    <w:rsid w:val="0074791F"/>
    <w:rsid w:val="00750138"/>
    <w:rsid w:val="00751220"/>
    <w:rsid w:val="00753DA3"/>
    <w:rsid w:val="00761557"/>
    <w:rsid w:val="00764F50"/>
    <w:rsid w:val="00770A92"/>
    <w:rsid w:val="0077128C"/>
    <w:rsid w:val="00772402"/>
    <w:rsid w:val="00774A47"/>
    <w:rsid w:val="00790C65"/>
    <w:rsid w:val="00795991"/>
    <w:rsid w:val="007A7D45"/>
    <w:rsid w:val="007B0AE6"/>
    <w:rsid w:val="007B3BFC"/>
    <w:rsid w:val="007B47ED"/>
    <w:rsid w:val="007B5137"/>
    <w:rsid w:val="007C1B00"/>
    <w:rsid w:val="007D13D9"/>
    <w:rsid w:val="007D31CE"/>
    <w:rsid w:val="007D5BB7"/>
    <w:rsid w:val="007E0621"/>
    <w:rsid w:val="007E2DBC"/>
    <w:rsid w:val="007E4E37"/>
    <w:rsid w:val="007F3697"/>
    <w:rsid w:val="007F4B07"/>
    <w:rsid w:val="00800498"/>
    <w:rsid w:val="008148C5"/>
    <w:rsid w:val="0083488D"/>
    <w:rsid w:val="00841FDB"/>
    <w:rsid w:val="008466C3"/>
    <w:rsid w:val="00851458"/>
    <w:rsid w:val="00861A47"/>
    <w:rsid w:val="008645BB"/>
    <w:rsid w:val="008707FF"/>
    <w:rsid w:val="008724E5"/>
    <w:rsid w:val="00874EE6"/>
    <w:rsid w:val="00886BD8"/>
    <w:rsid w:val="00896278"/>
    <w:rsid w:val="008A2D69"/>
    <w:rsid w:val="008B086C"/>
    <w:rsid w:val="008B1039"/>
    <w:rsid w:val="008B1F33"/>
    <w:rsid w:val="008B2898"/>
    <w:rsid w:val="008B324B"/>
    <w:rsid w:val="008B5361"/>
    <w:rsid w:val="008B53B6"/>
    <w:rsid w:val="008B7874"/>
    <w:rsid w:val="008C0F9B"/>
    <w:rsid w:val="008D01F0"/>
    <w:rsid w:val="008D2296"/>
    <w:rsid w:val="008D3BF7"/>
    <w:rsid w:val="008E42B8"/>
    <w:rsid w:val="008F16C6"/>
    <w:rsid w:val="008F34A1"/>
    <w:rsid w:val="008F422F"/>
    <w:rsid w:val="008F7B13"/>
    <w:rsid w:val="009121CE"/>
    <w:rsid w:val="009127D8"/>
    <w:rsid w:val="00917177"/>
    <w:rsid w:val="009211BE"/>
    <w:rsid w:val="00921F65"/>
    <w:rsid w:val="009265DE"/>
    <w:rsid w:val="0093028B"/>
    <w:rsid w:val="00935424"/>
    <w:rsid w:val="00936A1B"/>
    <w:rsid w:val="00940EC7"/>
    <w:rsid w:val="009470E3"/>
    <w:rsid w:val="00951667"/>
    <w:rsid w:val="00951FFE"/>
    <w:rsid w:val="009618BE"/>
    <w:rsid w:val="0097349C"/>
    <w:rsid w:val="009814A5"/>
    <w:rsid w:val="00987645"/>
    <w:rsid w:val="00994A74"/>
    <w:rsid w:val="009A6A05"/>
    <w:rsid w:val="009B236F"/>
    <w:rsid w:val="009B55AC"/>
    <w:rsid w:val="009C5316"/>
    <w:rsid w:val="009D4547"/>
    <w:rsid w:val="009D5910"/>
    <w:rsid w:val="009D5E38"/>
    <w:rsid w:val="009D7913"/>
    <w:rsid w:val="009E73DA"/>
    <w:rsid w:val="009F1955"/>
    <w:rsid w:val="009F265A"/>
    <w:rsid w:val="009F2C29"/>
    <w:rsid w:val="009F34A4"/>
    <w:rsid w:val="009F3988"/>
    <w:rsid w:val="00A04204"/>
    <w:rsid w:val="00A101A7"/>
    <w:rsid w:val="00A150C7"/>
    <w:rsid w:val="00A16D7A"/>
    <w:rsid w:val="00A347E5"/>
    <w:rsid w:val="00A36E4C"/>
    <w:rsid w:val="00A41402"/>
    <w:rsid w:val="00A519A2"/>
    <w:rsid w:val="00A57F9A"/>
    <w:rsid w:val="00A628BE"/>
    <w:rsid w:val="00A6407E"/>
    <w:rsid w:val="00A70883"/>
    <w:rsid w:val="00A77AEB"/>
    <w:rsid w:val="00A84806"/>
    <w:rsid w:val="00A86042"/>
    <w:rsid w:val="00A92AE0"/>
    <w:rsid w:val="00AA0784"/>
    <w:rsid w:val="00AA444A"/>
    <w:rsid w:val="00AB1528"/>
    <w:rsid w:val="00AC00A2"/>
    <w:rsid w:val="00AD1414"/>
    <w:rsid w:val="00AD71A4"/>
    <w:rsid w:val="00AE0CCF"/>
    <w:rsid w:val="00AE1B18"/>
    <w:rsid w:val="00AF1C32"/>
    <w:rsid w:val="00AF3417"/>
    <w:rsid w:val="00B11AE3"/>
    <w:rsid w:val="00B21F51"/>
    <w:rsid w:val="00B222BE"/>
    <w:rsid w:val="00B42F57"/>
    <w:rsid w:val="00B4491A"/>
    <w:rsid w:val="00B46D2E"/>
    <w:rsid w:val="00B6167A"/>
    <w:rsid w:val="00B65E0F"/>
    <w:rsid w:val="00B7244E"/>
    <w:rsid w:val="00B766B1"/>
    <w:rsid w:val="00B8417D"/>
    <w:rsid w:val="00B86EBF"/>
    <w:rsid w:val="00B96814"/>
    <w:rsid w:val="00B96CCA"/>
    <w:rsid w:val="00B9703D"/>
    <w:rsid w:val="00B973B5"/>
    <w:rsid w:val="00BA1D83"/>
    <w:rsid w:val="00BB1EDC"/>
    <w:rsid w:val="00BC3EB9"/>
    <w:rsid w:val="00BD59BD"/>
    <w:rsid w:val="00BF587C"/>
    <w:rsid w:val="00BF5883"/>
    <w:rsid w:val="00C031C5"/>
    <w:rsid w:val="00C04162"/>
    <w:rsid w:val="00C1651E"/>
    <w:rsid w:val="00C20679"/>
    <w:rsid w:val="00C32B90"/>
    <w:rsid w:val="00C33F8D"/>
    <w:rsid w:val="00C4406C"/>
    <w:rsid w:val="00C47A3D"/>
    <w:rsid w:val="00C578EC"/>
    <w:rsid w:val="00C61E7F"/>
    <w:rsid w:val="00C6478B"/>
    <w:rsid w:val="00C65379"/>
    <w:rsid w:val="00C67603"/>
    <w:rsid w:val="00C70EFC"/>
    <w:rsid w:val="00C8546C"/>
    <w:rsid w:val="00C86104"/>
    <w:rsid w:val="00C86AB5"/>
    <w:rsid w:val="00C951EC"/>
    <w:rsid w:val="00C96033"/>
    <w:rsid w:val="00CA6E42"/>
    <w:rsid w:val="00CB0F37"/>
    <w:rsid w:val="00CB3C62"/>
    <w:rsid w:val="00CB5CC5"/>
    <w:rsid w:val="00CC2BC6"/>
    <w:rsid w:val="00CC4587"/>
    <w:rsid w:val="00CC5944"/>
    <w:rsid w:val="00CC6573"/>
    <w:rsid w:val="00CD1E38"/>
    <w:rsid w:val="00CD6638"/>
    <w:rsid w:val="00CE1D16"/>
    <w:rsid w:val="00CE2586"/>
    <w:rsid w:val="00D01751"/>
    <w:rsid w:val="00D04F53"/>
    <w:rsid w:val="00D14F01"/>
    <w:rsid w:val="00D31859"/>
    <w:rsid w:val="00D35ABA"/>
    <w:rsid w:val="00D367E7"/>
    <w:rsid w:val="00D404B7"/>
    <w:rsid w:val="00D45AD1"/>
    <w:rsid w:val="00D46EBD"/>
    <w:rsid w:val="00D65BC5"/>
    <w:rsid w:val="00D67A76"/>
    <w:rsid w:val="00D71903"/>
    <w:rsid w:val="00D71E1B"/>
    <w:rsid w:val="00D8091D"/>
    <w:rsid w:val="00D809E5"/>
    <w:rsid w:val="00D81948"/>
    <w:rsid w:val="00D86C91"/>
    <w:rsid w:val="00D8746F"/>
    <w:rsid w:val="00D91588"/>
    <w:rsid w:val="00D9501F"/>
    <w:rsid w:val="00DB00EE"/>
    <w:rsid w:val="00DB18B3"/>
    <w:rsid w:val="00DB50D5"/>
    <w:rsid w:val="00DC410B"/>
    <w:rsid w:val="00DC41ED"/>
    <w:rsid w:val="00DC5A72"/>
    <w:rsid w:val="00DC6DFF"/>
    <w:rsid w:val="00DE158B"/>
    <w:rsid w:val="00DE5793"/>
    <w:rsid w:val="00DE7275"/>
    <w:rsid w:val="00DF3DA3"/>
    <w:rsid w:val="00DF7715"/>
    <w:rsid w:val="00E047E6"/>
    <w:rsid w:val="00E06A00"/>
    <w:rsid w:val="00E152FF"/>
    <w:rsid w:val="00E213BE"/>
    <w:rsid w:val="00E22B99"/>
    <w:rsid w:val="00E232F4"/>
    <w:rsid w:val="00E258D9"/>
    <w:rsid w:val="00E3509F"/>
    <w:rsid w:val="00E35D55"/>
    <w:rsid w:val="00E40039"/>
    <w:rsid w:val="00E4352B"/>
    <w:rsid w:val="00E439CA"/>
    <w:rsid w:val="00E44160"/>
    <w:rsid w:val="00E46DD4"/>
    <w:rsid w:val="00E47D28"/>
    <w:rsid w:val="00E5219B"/>
    <w:rsid w:val="00E722A1"/>
    <w:rsid w:val="00E72B36"/>
    <w:rsid w:val="00E7558C"/>
    <w:rsid w:val="00E82319"/>
    <w:rsid w:val="00E93F6E"/>
    <w:rsid w:val="00EA198F"/>
    <w:rsid w:val="00EC438D"/>
    <w:rsid w:val="00ED0296"/>
    <w:rsid w:val="00ED339F"/>
    <w:rsid w:val="00EE1F10"/>
    <w:rsid w:val="00EE7F54"/>
    <w:rsid w:val="00EF0BCB"/>
    <w:rsid w:val="00EF0E74"/>
    <w:rsid w:val="00EF5734"/>
    <w:rsid w:val="00EF613D"/>
    <w:rsid w:val="00F00E8A"/>
    <w:rsid w:val="00F02FCF"/>
    <w:rsid w:val="00F030B3"/>
    <w:rsid w:val="00F143E0"/>
    <w:rsid w:val="00F216B1"/>
    <w:rsid w:val="00F228E9"/>
    <w:rsid w:val="00F25543"/>
    <w:rsid w:val="00F25FEB"/>
    <w:rsid w:val="00F33650"/>
    <w:rsid w:val="00F37362"/>
    <w:rsid w:val="00F37C53"/>
    <w:rsid w:val="00F40B2B"/>
    <w:rsid w:val="00F4508F"/>
    <w:rsid w:val="00F45D4E"/>
    <w:rsid w:val="00F473CB"/>
    <w:rsid w:val="00F47ACD"/>
    <w:rsid w:val="00F50245"/>
    <w:rsid w:val="00F60CFE"/>
    <w:rsid w:val="00F633A0"/>
    <w:rsid w:val="00F63DDA"/>
    <w:rsid w:val="00F64434"/>
    <w:rsid w:val="00F70858"/>
    <w:rsid w:val="00F718F1"/>
    <w:rsid w:val="00F728F3"/>
    <w:rsid w:val="00F7397F"/>
    <w:rsid w:val="00F75949"/>
    <w:rsid w:val="00F91ED8"/>
    <w:rsid w:val="00F941F0"/>
    <w:rsid w:val="00FC0DF0"/>
    <w:rsid w:val="00FC38B4"/>
    <w:rsid w:val="00FC4318"/>
    <w:rsid w:val="00FC6454"/>
    <w:rsid w:val="00FC6B09"/>
    <w:rsid w:val="00FD1941"/>
    <w:rsid w:val="00FD3235"/>
    <w:rsid w:val="00FD659D"/>
    <w:rsid w:val="00FD66D1"/>
    <w:rsid w:val="00FD6E38"/>
    <w:rsid w:val="00FE5797"/>
    <w:rsid w:val="00FF2B1D"/>
    <w:rsid w:val="00FF3E01"/>
    <w:rsid w:val="00FF62BF"/>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AE0D3"/>
  <w15:docId w15:val="{704578A4-8F5E-42F7-A5FC-0FC6CDB9B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2B99"/>
    <w:pPr>
      <w:spacing w:after="120"/>
    </w:pPr>
    <w:rPr>
      <w:rFonts w:ascii="Times New Roman" w:eastAsia="Times New Roman" w:hAnsi="Times New Roman"/>
      <w:sz w:val="22"/>
      <w:szCs w:val="24"/>
    </w:rPr>
  </w:style>
  <w:style w:type="paragraph" w:styleId="Heading1">
    <w:name w:val="heading 1"/>
    <w:basedOn w:val="Normal"/>
    <w:next w:val="Normal"/>
    <w:link w:val="Heading1Char"/>
    <w:uiPriority w:val="9"/>
    <w:qFormat/>
    <w:rsid w:val="0017455E"/>
    <w:pPr>
      <w:keepNext/>
      <w:keepLines/>
      <w:spacing w:before="240" w:after="0"/>
      <w:outlineLvl w:val="0"/>
    </w:pPr>
    <w:rPr>
      <w:rFonts w:ascii="Calibri Light" w:eastAsia="DengXian Light" w:hAnsi="Calibri Light"/>
      <w:color w:val="2F5496"/>
      <w:sz w:val="32"/>
      <w:szCs w:val="32"/>
      <w:lang w:val="en-GB" w:eastAsia="en-US"/>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D65BC5"/>
    <w:pPr>
      <w:keepNext/>
      <w:keepLines/>
      <w:spacing w:before="40" w:after="0"/>
      <w:outlineLvl w:val="2"/>
    </w:pPr>
    <w:rPr>
      <w:rFonts w:asciiTheme="majorHAnsi" w:eastAsiaTheme="majorEastAsia" w:hAnsiTheme="majorHAnsi" w:cstheme="majorBidi"/>
      <w:color w:val="243F60" w:themeColor="accent1" w:themeShade="7F"/>
      <w:sz w:val="24"/>
    </w:rPr>
  </w:style>
  <w:style w:type="paragraph" w:styleId="Heading4">
    <w:name w:val="heading 4"/>
    <w:aliases w:val="GA Heading"/>
    <w:basedOn w:val="Normal"/>
    <w:next w:val="Normal"/>
    <w:link w:val="Heading4Char"/>
    <w:qFormat/>
    <w:rsid w:val="00F66657"/>
    <w:pPr>
      <w:keepNext/>
      <w:keepLines/>
      <w:tabs>
        <w:tab w:val="left" w:pos="567"/>
      </w:tabs>
      <w:snapToGrid w:val="0"/>
      <w:spacing w:after="240"/>
      <w:outlineLvl w:val="3"/>
    </w:pPr>
    <w:rPr>
      <w:rFonts w:ascii="Arial" w:hAnsi="Arial"/>
      <w:b/>
      <w:bCs/>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spacing w:after="0"/>
    </w:pPr>
  </w:style>
  <w:style w:type="character" w:customStyle="1" w:styleId="HeaderChar">
    <w:name w:val="Header Char"/>
    <w:link w:val="Header"/>
    <w:rsid w:val="008724E5"/>
    <w:rPr>
      <w:lang w:val="fr-FR"/>
    </w:rPr>
  </w:style>
  <w:style w:type="paragraph" w:styleId="Footer">
    <w:name w:val="footer"/>
    <w:basedOn w:val="Normal"/>
    <w:link w:val="FooterChar"/>
    <w:uiPriority w:val="99"/>
    <w:unhideWhenUsed/>
    <w:rsid w:val="008724E5"/>
    <w:pPr>
      <w:tabs>
        <w:tab w:val="center" w:pos="4536"/>
        <w:tab w:val="right" w:pos="9072"/>
      </w:tabs>
      <w:spacing w:after="0"/>
    </w:pPr>
  </w:style>
  <w:style w:type="character" w:customStyle="1" w:styleId="FooterChar">
    <w:name w:val="Footer Char"/>
    <w:link w:val="Footer"/>
    <w:uiPriority w:val="99"/>
    <w:rsid w:val="008724E5"/>
    <w:rPr>
      <w:lang w:val="fr-FR"/>
    </w:rPr>
  </w:style>
  <w:style w:type="paragraph" w:styleId="BalloonText">
    <w:name w:val="Balloon Text"/>
    <w:basedOn w:val="Normal"/>
    <w:link w:val="BalloonTextChar"/>
    <w:uiPriority w:val="99"/>
    <w:semiHidden/>
    <w:unhideWhenUsed/>
    <w:rsid w:val="008724E5"/>
    <w:pPr>
      <w:spacing w:after="0"/>
    </w:pPr>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fr-FR"/>
    </w:rPr>
  </w:style>
  <w:style w:type="paragraph" w:customStyle="1" w:styleId="Sansinterligne1">
    <w:name w:val="Sans interligne1"/>
    <w:uiPriority w:val="1"/>
    <w:qFormat/>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F66657"/>
    <w:rPr>
      <w:rFonts w:ascii="Arial" w:eastAsia="Times New Roman" w:hAnsi="Arial"/>
      <w:b/>
      <w:bCs/>
      <w:snapToGrid w:val="0"/>
      <w:sz w:val="22"/>
      <w:szCs w:val="24"/>
      <w:lang w:val="fr-FR"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sid w:val="00B11AE3"/>
    <w:rPr>
      <w:rFonts w:ascii="Times New Roman" w:eastAsia="Times New Roman" w:hAnsi="Times New Roman"/>
      <w:lang w:val="fr-FR"/>
    </w:rPr>
  </w:style>
  <w:style w:type="paragraph" w:styleId="CommentSubject">
    <w:name w:val="annotation subject"/>
    <w:basedOn w:val="CommentText"/>
    <w:next w:val="CommentText"/>
    <w:link w:val="CommentSubjectChar"/>
    <w:uiPriority w:val="99"/>
    <w:rsid w:val="00B11AE3"/>
    <w:rPr>
      <w:b/>
      <w:bCs/>
    </w:rPr>
  </w:style>
  <w:style w:type="character" w:customStyle="1" w:styleId="CommentSubjectChar">
    <w:name w:val="Comment Subject Char"/>
    <w:link w:val="CommentSubject"/>
    <w:uiPriority w:val="99"/>
    <w:rsid w:val="00B11AE3"/>
    <w:rPr>
      <w:rFonts w:ascii="Times New Roman" w:eastAsia="Times New Roman" w:hAnsi="Times New Roman"/>
      <w:b/>
      <w:bCs/>
      <w:lang w:val="fr-FR"/>
    </w:rPr>
  </w:style>
  <w:style w:type="paragraph" w:customStyle="1" w:styleId="1GAPara">
    <w:name w:val="1. GA Para"/>
    <w:qFormat/>
    <w:rsid w:val="00A628BE"/>
    <w:pPr>
      <w:spacing w:after="120"/>
      <w:jc w:val="both"/>
    </w:pPr>
    <w:rPr>
      <w:rFonts w:ascii="Arial" w:eastAsia="Calibri" w:hAnsi="Arial" w:cs="Arial"/>
      <w:snapToGrid w:val="0"/>
      <w:sz w:val="22"/>
      <w:szCs w:val="22"/>
      <w:lang w:val="en-AU" w:eastAsia="en-US"/>
    </w:rPr>
  </w:style>
  <w:style w:type="table" w:customStyle="1" w:styleId="TableGrid1">
    <w:name w:val="Table Grid1"/>
    <w:basedOn w:val="TableNormal"/>
    <w:next w:val="TableGrid"/>
    <w:uiPriority w:val="59"/>
    <w:rsid w:val="00C70EFC"/>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basedOn w:val="DefaultParagraphFont"/>
    <w:link w:val="Heading3"/>
    <w:rsid w:val="00D65BC5"/>
    <w:rPr>
      <w:rFonts w:asciiTheme="majorHAnsi" w:eastAsiaTheme="majorEastAsia" w:hAnsiTheme="majorHAnsi" w:cstheme="majorBidi"/>
      <w:color w:val="243F60" w:themeColor="accent1" w:themeShade="7F"/>
      <w:sz w:val="24"/>
      <w:szCs w:val="24"/>
      <w:lang w:val="fr-FR"/>
    </w:rPr>
  </w:style>
  <w:style w:type="paragraph" w:customStyle="1" w:styleId="lmttranslationsastextitem">
    <w:name w:val="lmt__translations_as_text__item"/>
    <w:basedOn w:val="Normal"/>
    <w:rsid w:val="00D65BC5"/>
    <w:pPr>
      <w:spacing w:before="100" w:beforeAutospacing="1" w:after="100" w:afterAutospacing="1"/>
    </w:pPr>
    <w:rPr>
      <w:sz w:val="24"/>
      <w:lang w:eastAsia="zh-CN"/>
    </w:rPr>
  </w:style>
  <w:style w:type="paragraph" w:styleId="FootnoteText">
    <w:name w:val="footnote text"/>
    <w:basedOn w:val="Normal"/>
    <w:link w:val="FootnoteTextChar"/>
    <w:uiPriority w:val="99"/>
    <w:semiHidden/>
    <w:unhideWhenUsed/>
    <w:rsid w:val="00451E22"/>
    <w:pPr>
      <w:spacing w:after="0"/>
    </w:pPr>
    <w:rPr>
      <w:sz w:val="20"/>
      <w:szCs w:val="20"/>
      <w:lang w:eastAsia="en-GB"/>
    </w:rPr>
  </w:style>
  <w:style w:type="character" w:customStyle="1" w:styleId="FootnoteTextChar">
    <w:name w:val="Footnote Text Char"/>
    <w:basedOn w:val="DefaultParagraphFont"/>
    <w:link w:val="FootnoteText"/>
    <w:uiPriority w:val="99"/>
    <w:semiHidden/>
    <w:rsid w:val="00451E22"/>
    <w:rPr>
      <w:rFonts w:ascii="Times New Roman" w:eastAsia="Times New Roman" w:hAnsi="Times New Roman"/>
      <w:lang w:val="fr-FR" w:eastAsia="en-GB"/>
    </w:rPr>
  </w:style>
  <w:style w:type="character" w:styleId="FootnoteReference">
    <w:name w:val="footnote reference"/>
    <w:basedOn w:val="DefaultParagraphFont"/>
    <w:uiPriority w:val="99"/>
    <w:semiHidden/>
    <w:unhideWhenUsed/>
    <w:rsid w:val="00451E22"/>
    <w:rPr>
      <w:vertAlign w:val="superscript"/>
    </w:rPr>
  </w:style>
  <w:style w:type="paragraph" w:customStyle="1" w:styleId="gmail-p1">
    <w:name w:val="gmail-p1"/>
    <w:basedOn w:val="Normal"/>
    <w:rsid w:val="00451E22"/>
    <w:pPr>
      <w:spacing w:before="100" w:beforeAutospacing="1" w:after="100" w:afterAutospacing="1"/>
    </w:pPr>
    <w:rPr>
      <w:rFonts w:ascii="Calibri" w:eastAsiaTheme="minorEastAsia" w:hAnsi="Calibri" w:cs="Calibri"/>
      <w:szCs w:val="22"/>
      <w:lang w:eastAsia="zh-CN"/>
    </w:rPr>
  </w:style>
  <w:style w:type="paragraph" w:styleId="NormalWeb">
    <w:name w:val="Normal (Web)"/>
    <w:basedOn w:val="Normal"/>
    <w:uiPriority w:val="99"/>
    <w:unhideWhenUsed/>
    <w:rsid w:val="00DC6DFF"/>
    <w:pPr>
      <w:spacing w:before="100" w:beforeAutospacing="1" w:after="100" w:afterAutospacing="1"/>
    </w:pPr>
    <w:rPr>
      <w:rFonts w:ascii="Calibri" w:eastAsiaTheme="minorEastAsia" w:hAnsi="Calibri" w:cs="Calibri"/>
      <w:szCs w:val="22"/>
      <w:lang w:eastAsia="zh-CN"/>
    </w:rPr>
  </w:style>
  <w:style w:type="character" w:styleId="Hyperlink">
    <w:name w:val="Hyperlink"/>
    <w:basedOn w:val="DefaultParagraphFont"/>
    <w:uiPriority w:val="99"/>
    <w:unhideWhenUsed/>
    <w:rsid w:val="007B0AE6"/>
    <w:rPr>
      <w:color w:val="0000FF"/>
      <w:u w:val="single"/>
    </w:rPr>
  </w:style>
  <w:style w:type="paragraph" w:customStyle="1" w:styleId="Default">
    <w:name w:val="Default"/>
    <w:rsid w:val="001F46F6"/>
    <w:pPr>
      <w:autoSpaceDE w:val="0"/>
      <w:autoSpaceDN w:val="0"/>
      <w:adjustRightInd w:val="0"/>
    </w:pPr>
    <w:rPr>
      <w:rFonts w:eastAsiaTheme="minorHAnsi" w:cs="Calibri"/>
      <w:color w:val="000000"/>
      <w:sz w:val="24"/>
      <w:szCs w:val="24"/>
      <w:lang w:eastAsia="en-US"/>
    </w:rPr>
  </w:style>
  <w:style w:type="character" w:customStyle="1" w:styleId="contentpasted0">
    <w:name w:val="contentpasted0"/>
    <w:basedOn w:val="DefaultParagraphFont"/>
    <w:rsid w:val="001764CB"/>
  </w:style>
  <w:style w:type="character" w:customStyle="1" w:styleId="ui-provider">
    <w:name w:val="ui-provider"/>
    <w:basedOn w:val="DefaultParagraphFont"/>
    <w:rsid w:val="002438D4"/>
  </w:style>
  <w:style w:type="character" w:styleId="UnresolvedMention">
    <w:name w:val="Unresolved Mention"/>
    <w:basedOn w:val="DefaultParagraphFont"/>
    <w:uiPriority w:val="99"/>
    <w:semiHidden/>
    <w:unhideWhenUsed/>
    <w:rsid w:val="002438D4"/>
    <w:rPr>
      <w:color w:val="605E5C"/>
      <w:shd w:val="clear" w:color="auto" w:fill="E1DFDD"/>
    </w:rPr>
  </w:style>
  <w:style w:type="character" w:styleId="FollowedHyperlink">
    <w:name w:val="FollowedHyperlink"/>
    <w:basedOn w:val="DefaultParagraphFont"/>
    <w:semiHidden/>
    <w:unhideWhenUsed/>
    <w:rsid w:val="00B4491A"/>
    <w:rPr>
      <w:color w:val="800080" w:themeColor="followedHyperlink"/>
      <w:u w:val="single"/>
    </w:rPr>
  </w:style>
  <w:style w:type="paragraph" w:styleId="Revision">
    <w:name w:val="Revision"/>
    <w:hidden/>
    <w:semiHidden/>
    <w:rsid w:val="00896278"/>
    <w:rPr>
      <w:rFonts w:ascii="Times New Roman" w:eastAsia="Times New Roman" w:hAnsi="Times New Roman"/>
      <w:sz w:val="22"/>
      <w:szCs w:val="24"/>
    </w:rPr>
  </w:style>
  <w:style w:type="character" w:customStyle="1" w:styleId="cf01">
    <w:name w:val="cf01"/>
    <w:basedOn w:val="DefaultParagraphFont"/>
    <w:rsid w:val="00AC00A2"/>
    <w:rPr>
      <w:rFonts w:ascii="Segoe UI" w:hAnsi="Segoe UI" w:cs="Segoe UI" w:hint="default"/>
      <w:sz w:val="18"/>
      <w:szCs w:val="18"/>
    </w:rPr>
  </w:style>
  <w:style w:type="paragraph" w:customStyle="1" w:styleId="Heading11">
    <w:name w:val="Heading 11"/>
    <w:basedOn w:val="Normal"/>
    <w:next w:val="Normal"/>
    <w:uiPriority w:val="9"/>
    <w:qFormat/>
    <w:rsid w:val="0017455E"/>
    <w:pPr>
      <w:keepNext/>
      <w:keepLines/>
      <w:spacing w:before="240" w:after="0" w:line="256" w:lineRule="auto"/>
      <w:outlineLvl w:val="0"/>
    </w:pPr>
    <w:rPr>
      <w:rFonts w:ascii="Calibri Light" w:eastAsia="DengXian Light" w:hAnsi="Calibri Light"/>
      <w:color w:val="2F5496"/>
      <w:sz w:val="32"/>
      <w:szCs w:val="32"/>
      <w:lang w:val="en-GB" w:eastAsia="en-US"/>
    </w:rPr>
  </w:style>
  <w:style w:type="character" w:customStyle="1" w:styleId="Heading1Char">
    <w:name w:val="Heading 1 Char"/>
    <w:basedOn w:val="DefaultParagraphFont"/>
    <w:link w:val="Heading1"/>
    <w:uiPriority w:val="9"/>
    <w:rsid w:val="0017455E"/>
    <w:rPr>
      <w:rFonts w:ascii="Calibri Light" w:eastAsia="DengXian Light" w:hAnsi="Calibri Light"/>
      <w:color w:val="2F5496"/>
      <w:sz w:val="32"/>
      <w:szCs w:val="32"/>
      <w:lang w:val="en-GB" w:eastAsia="en-US"/>
    </w:rPr>
  </w:style>
  <w:style w:type="character" w:customStyle="1" w:styleId="Heading1Char1">
    <w:name w:val="Heading 1 Char1"/>
    <w:basedOn w:val="DefaultParagraphFont"/>
    <w:rsid w:val="0017455E"/>
    <w:rPr>
      <w:rFonts w:asciiTheme="majorHAnsi" w:eastAsiaTheme="majorEastAsia" w:hAnsiTheme="majorHAnsi" w:cstheme="majorBidi"/>
      <w:color w:val="365F91" w:themeColor="accent1" w:themeShade="BF"/>
      <w:sz w:val="32"/>
      <w:szCs w:val="32"/>
    </w:rPr>
  </w:style>
  <w:style w:type="paragraph" w:styleId="EndnoteText">
    <w:name w:val="endnote text"/>
    <w:basedOn w:val="Normal"/>
    <w:link w:val="EndnoteTextChar"/>
    <w:uiPriority w:val="99"/>
    <w:semiHidden/>
    <w:unhideWhenUsed/>
    <w:rsid w:val="00B86EBF"/>
    <w:pPr>
      <w:spacing w:after="0"/>
    </w:pPr>
    <w:rPr>
      <w:rFonts w:ascii="Arial" w:eastAsia="Calibri" w:hAnsi="Arial" w:cs="Arial"/>
      <w:sz w:val="20"/>
      <w:szCs w:val="20"/>
      <w:lang w:val="en-AU" w:eastAsia="en-US"/>
    </w:rPr>
  </w:style>
  <w:style w:type="character" w:customStyle="1" w:styleId="EndnoteTextChar">
    <w:name w:val="Endnote Text Char"/>
    <w:basedOn w:val="DefaultParagraphFont"/>
    <w:link w:val="EndnoteText"/>
    <w:uiPriority w:val="99"/>
    <w:semiHidden/>
    <w:rsid w:val="00B86EBF"/>
    <w:rPr>
      <w:rFonts w:ascii="Arial" w:eastAsia="Calibri" w:hAnsi="Arial" w:cs="Arial"/>
      <w:lang w:val="en-AU" w:eastAsia="en-US"/>
    </w:rPr>
  </w:style>
  <w:style w:type="character" w:styleId="EndnoteReference">
    <w:name w:val="endnote reference"/>
    <w:basedOn w:val="DefaultParagraphFont"/>
    <w:uiPriority w:val="99"/>
    <w:semiHidden/>
    <w:unhideWhenUsed/>
    <w:rsid w:val="00B86EBF"/>
    <w:rPr>
      <w:vertAlign w:val="superscript"/>
    </w:rPr>
  </w:style>
  <w:style w:type="paragraph" w:styleId="ListParagraph">
    <w:name w:val="List Paragraph"/>
    <w:basedOn w:val="Normal"/>
    <w:uiPriority w:val="34"/>
    <w:qFormat/>
    <w:rsid w:val="00216696"/>
    <w:pPr>
      <w:ind w:left="720"/>
      <w:contextualSpacing/>
    </w:pPr>
  </w:style>
  <w:style w:type="paragraph" w:customStyle="1" w:styleId="COMPara">
    <w:name w:val="COM Para"/>
    <w:qFormat/>
    <w:rsid w:val="007B47ED"/>
    <w:pPr>
      <w:spacing w:after="120"/>
      <w:ind w:left="360" w:hanging="360"/>
    </w:pPr>
    <w:rPr>
      <w:rFonts w:ascii="Arial" w:eastAsia="Times New Roman" w:hAnsi="Arial" w:cs="Arial"/>
      <w:snapToGrid w:val="0"/>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4463">
      <w:bodyDiv w:val="1"/>
      <w:marLeft w:val="0"/>
      <w:marRight w:val="0"/>
      <w:marTop w:val="0"/>
      <w:marBottom w:val="0"/>
      <w:divBdr>
        <w:top w:val="none" w:sz="0" w:space="0" w:color="auto"/>
        <w:left w:val="none" w:sz="0" w:space="0" w:color="auto"/>
        <w:bottom w:val="none" w:sz="0" w:space="0" w:color="auto"/>
        <w:right w:val="none" w:sz="0" w:space="0" w:color="auto"/>
      </w:divBdr>
    </w:div>
    <w:div w:id="21906485">
      <w:bodyDiv w:val="1"/>
      <w:marLeft w:val="0"/>
      <w:marRight w:val="0"/>
      <w:marTop w:val="0"/>
      <w:marBottom w:val="0"/>
      <w:divBdr>
        <w:top w:val="none" w:sz="0" w:space="0" w:color="auto"/>
        <w:left w:val="none" w:sz="0" w:space="0" w:color="auto"/>
        <w:bottom w:val="none" w:sz="0" w:space="0" w:color="auto"/>
        <w:right w:val="none" w:sz="0" w:space="0" w:color="auto"/>
      </w:divBdr>
    </w:div>
    <w:div w:id="49036140">
      <w:bodyDiv w:val="1"/>
      <w:marLeft w:val="0"/>
      <w:marRight w:val="0"/>
      <w:marTop w:val="0"/>
      <w:marBottom w:val="0"/>
      <w:divBdr>
        <w:top w:val="none" w:sz="0" w:space="0" w:color="auto"/>
        <w:left w:val="none" w:sz="0" w:space="0" w:color="auto"/>
        <w:bottom w:val="none" w:sz="0" w:space="0" w:color="auto"/>
        <w:right w:val="none" w:sz="0" w:space="0" w:color="auto"/>
      </w:divBdr>
    </w:div>
    <w:div w:id="66928643">
      <w:bodyDiv w:val="1"/>
      <w:marLeft w:val="0"/>
      <w:marRight w:val="0"/>
      <w:marTop w:val="0"/>
      <w:marBottom w:val="0"/>
      <w:divBdr>
        <w:top w:val="none" w:sz="0" w:space="0" w:color="auto"/>
        <w:left w:val="none" w:sz="0" w:space="0" w:color="auto"/>
        <w:bottom w:val="none" w:sz="0" w:space="0" w:color="auto"/>
        <w:right w:val="none" w:sz="0" w:space="0" w:color="auto"/>
      </w:divBdr>
    </w:div>
    <w:div w:id="89594376">
      <w:bodyDiv w:val="1"/>
      <w:marLeft w:val="0"/>
      <w:marRight w:val="0"/>
      <w:marTop w:val="0"/>
      <w:marBottom w:val="0"/>
      <w:divBdr>
        <w:top w:val="none" w:sz="0" w:space="0" w:color="auto"/>
        <w:left w:val="none" w:sz="0" w:space="0" w:color="auto"/>
        <w:bottom w:val="none" w:sz="0" w:space="0" w:color="auto"/>
        <w:right w:val="none" w:sz="0" w:space="0" w:color="auto"/>
      </w:divBdr>
    </w:div>
    <w:div w:id="385951934">
      <w:bodyDiv w:val="1"/>
      <w:marLeft w:val="0"/>
      <w:marRight w:val="0"/>
      <w:marTop w:val="0"/>
      <w:marBottom w:val="0"/>
      <w:divBdr>
        <w:top w:val="none" w:sz="0" w:space="0" w:color="auto"/>
        <w:left w:val="none" w:sz="0" w:space="0" w:color="auto"/>
        <w:bottom w:val="none" w:sz="0" w:space="0" w:color="auto"/>
        <w:right w:val="none" w:sz="0" w:space="0" w:color="auto"/>
      </w:divBdr>
    </w:div>
    <w:div w:id="429158315">
      <w:bodyDiv w:val="1"/>
      <w:marLeft w:val="0"/>
      <w:marRight w:val="0"/>
      <w:marTop w:val="0"/>
      <w:marBottom w:val="0"/>
      <w:divBdr>
        <w:top w:val="none" w:sz="0" w:space="0" w:color="auto"/>
        <w:left w:val="none" w:sz="0" w:space="0" w:color="auto"/>
        <w:bottom w:val="none" w:sz="0" w:space="0" w:color="auto"/>
        <w:right w:val="none" w:sz="0" w:space="0" w:color="auto"/>
      </w:divBdr>
    </w:div>
    <w:div w:id="516507108">
      <w:bodyDiv w:val="1"/>
      <w:marLeft w:val="0"/>
      <w:marRight w:val="0"/>
      <w:marTop w:val="0"/>
      <w:marBottom w:val="0"/>
      <w:divBdr>
        <w:top w:val="none" w:sz="0" w:space="0" w:color="auto"/>
        <w:left w:val="none" w:sz="0" w:space="0" w:color="auto"/>
        <w:bottom w:val="none" w:sz="0" w:space="0" w:color="auto"/>
        <w:right w:val="none" w:sz="0" w:space="0" w:color="auto"/>
      </w:divBdr>
    </w:div>
    <w:div w:id="522983359">
      <w:bodyDiv w:val="1"/>
      <w:marLeft w:val="0"/>
      <w:marRight w:val="0"/>
      <w:marTop w:val="0"/>
      <w:marBottom w:val="0"/>
      <w:divBdr>
        <w:top w:val="none" w:sz="0" w:space="0" w:color="auto"/>
        <w:left w:val="none" w:sz="0" w:space="0" w:color="auto"/>
        <w:bottom w:val="none" w:sz="0" w:space="0" w:color="auto"/>
        <w:right w:val="none" w:sz="0" w:space="0" w:color="auto"/>
      </w:divBdr>
    </w:div>
    <w:div w:id="526647770">
      <w:bodyDiv w:val="1"/>
      <w:marLeft w:val="0"/>
      <w:marRight w:val="0"/>
      <w:marTop w:val="0"/>
      <w:marBottom w:val="0"/>
      <w:divBdr>
        <w:top w:val="none" w:sz="0" w:space="0" w:color="auto"/>
        <w:left w:val="none" w:sz="0" w:space="0" w:color="auto"/>
        <w:bottom w:val="none" w:sz="0" w:space="0" w:color="auto"/>
        <w:right w:val="none" w:sz="0" w:space="0" w:color="auto"/>
      </w:divBdr>
    </w:div>
    <w:div w:id="534582252">
      <w:bodyDiv w:val="1"/>
      <w:marLeft w:val="0"/>
      <w:marRight w:val="0"/>
      <w:marTop w:val="0"/>
      <w:marBottom w:val="0"/>
      <w:divBdr>
        <w:top w:val="none" w:sz="0" w:space="0" w:color="auto"/>
        <w:left w:val="none" w:sz="0" w:space="0" w:color="auto"/>
        <w:bottom w:val="none" w:sz="0" w:space="0" w:color="auto"/>
        <w:right w:val="none" w:sz="0" w:space="0" w:color="auto"/>
      </w:divBdr>
    </w:div>
    <w:div w:id="534924649">
      <w:bodyDiv w:val="1"/>
      <w:marLeft w:val="0"/>
      <w:marRight w:val="0"/>
      <w:marTop w:val="0"/>
      <w:marBottom w:val="0"/>
      <w:divBdr>
        <w:top w:val="none" w:sz="0" w:space="0" w:color="auto"/>
        <w:left w:val="none" w:sz="0" w:space="0" w:color="auto"/>
        <w:bottom w:val="none" w:sz="0" w:space="0" w:color="auto"/>
        <w:right w:val="none" w:sz="0" w:space="0" w:color="auto"/>
      </w:divBdr>
    </w:div>
    <w:div w:id="578027529">
      <w:bodyDiv w:val="1"/>
      <w:marLeft w:val="0"/>
      <w:marRight w:val="0"/>
      <w:marTop w:val="0"/>
      <w:marBottom w:val="0"/>
      <w:divBdr>
        <w:top w:val="none" w:sz="0" w:space="0" w:color="auto"/>
        <w:left w:val="none" w:sz="0" w:space="0" w:color="auto"/>
        <w:bottom w:val="none" w:sz="0" w:space="0" w:color="auto"/>
        <w:right w:val="none" w:sz="0" w:space="0" w:color="auto"/>
      </w:divBdr>
    </w:div>
    <w:div w:id="603616637">
      <w:bodyDiv w:val="1"/>
      <w:marLeft w:val="0"/>
      <w:marRight w:val="0"/>
      <w:marTop w:val="0"/>
      <w:marBottom w:val="0"/>
      <w:divBdr>
        <w:top w:val="none" w:sz="0" w:space="0" w:color="auto"/>
        <w:left w:val="none" w:sz="0" w:space="0" w:color="auto"/>
        <w:bottom w:val="none" w:sz="0" w:space="0" w:color="auto"/>
        <w:right w:val="none" w:sz="0" w:space="0" w:color="auto"/>
      </w:divBdr>
    </w:div>
    <w:div w:id="606085379">
      <w:bodyDiv w:val="1"/>
      <w:marLeft w:val="0"/>
      <w:marRight w:val="0"/>
      <w:marTop w:val="0"/>
      <w:marBottom w:val="0"/>
      <w:divBdr>
        <w:top w:val="none" w:sz="0" w:space="0" w:color="auto"/>
        <w:left w:val="none" w:sz="0" w:space="0" w:color="auto"/>
        <w:bottom w:val="none" w:sz="0" w:space="0" w:color="auto"/>
        <w:right w:val="none" w:sz="0" w:space="0" w:color="auto"/>
      </w:divBdr>
    </w:div>
    <w:div w:id="668295001">
      <w:bodyDiv w:val="1"/>
      <w:marLeft w:val="0"/>
      <w:marRight w:val="0"/>
      <w:marTop w:val="0"/>
      <w:marBottom w:val="0"/>
      <w:divBdr>
        <w:top w:val="none" w:sz="0" w:space="0" w:color="auto"/>
        <w:left w:val="none" w:sz="0" w:space="0" w:color="auto"/>
        <w:bottom w:val="none" w:sz="0" w:space="0" w:color="auto"/>
        <w:right w:val="none" w:sz="0" w:space="0" w:color="auto"/>
      </w:divBdr>
    </w:div>
    <w:div w:id="700130172">
      <w:bodyDiv w:val="1"/>
      <w:marLeft w:val="0"/>
      <w:marRight w:val="0"/>
      <w:marTop w:val="0"/>
      <w:marBottom w:val="0"/>
      <w:divBdr>
        <w:top w:val="none" w:sz="0" w:space="0" w:color="auto"/>
        <w:left w:val="none" w:sz="0" w:space="0" w:color="auto"/>
        <w:bottom w:val="none" w:sz="0" w:space="0" w:color="auto"/>
        <w:right w:val="none" w:sz="0" w:space="0" w:color="auto"/>
      </w:divBdr>
    </w:div>
    <w:div w:id="739327671">
      <w:bodyDiv w:val="1"/>
      <w:marLeft w:val="0"/>
      <w:marRight w:val="0"/>
      <w:marTop w:val="0"/>
      <w:marBottom w:val="0"/>
      <w:divBdr>
        <w:top w:val="none" w:sz="0" w:space="0" w:color="auto"/>
        <w:left w:val="none" w:sz="0" w:space="0" w:color="auto"/>
        <w:bottom w:val="none" w:sz="0" w:space="0" w:color="auto"/>
        <w:right w:val="none" w:sz="0" w:space="0" w:color="auto"/>
      </w:divBdr>
    </w:div>
    <w:div w:id="772557487">
      <w:bodyDiv w:val="1"/>
      <w:marLeft w:val="0"/>
      <w:marRight w:val="0"/>
      <w:marTop w:val="0"/>
      <w:marBottom w:val="0"/>
      <w:divBdr>
        <w:top w:val="none" w:sz="0" w:space="0" w:color="auto"/>
        <w:left w:val="none" w:sz="0" w:space="0" w:color="auto"/>
        <w:bottom w:val="none" w:sz="0" w:space="0" w:color="auto"/>
        <w:right w:val="none" w:sz="0" w:space="0" w:color="auto"/>
      </w:divBdr>
    </w:div>
    <w:div w:id="814638673">
      <w:bodyDiv w:val="1"/>
      <w:marLeft w:val="0"/>
      <w:marRight w:val="0"/>
      <w:marTop w:val="0"/>
      <w:marBottom w:val="0"/>
      <w:divBdr>
        <w:top w:val="none" w:sz="0" w:space="0" w:color="auto"/>
        <w:left w:val="none" w:sz="0" w:space="0" w:color="auto"/>
        <w:bottom w:val="none" w:sz="0" w:space="0" w:color="auto"/>
        <w:right w:val="none" w:sz="0" w:space="0" w:color="auto"/>
      </w:divBdr>
    </w:div>
    <w:div w:id="896815630">
      <w:bodyDiv w:val="1"/>
      <w:marLeft w:val="0"/>
      <w:marRight w:val="0"/>
      <w:marTop w:val="0"/>
      <w:marBottom w:val="0"/>
      <w:divBdr>
        <w:top w:val="none" w:sz="0" w:space="0" w:color="auto"/>
        <w:left w:val="none" w:sz="0" w:space="0" w:color="auto"/>
        <w:bottom w:val="none" w:sz="0" w:space="0" w:color="auto"/>
        <w:right w:val="none" w:sz="0" w:space="0" w:color="auto"/>
      </w:divBdr>
    </w:div>
    <w:div w:id="902914139">
      <w:bodyDiv w:val="1"/>
      <w:marLeft w:val="0"/>
      <w:marRight w:val="0"/>
      <w:marTop w:val="0"/>
      <w:marBottom w:val="0"/>
      <w:divBdr>
        <w:top w:val="none" w:sz="0" w:space="0" w:color="auto"/>
        <w:left w:val="none" w:sz="0" w:space="0" w:color="auto"/>
        <w:bottom w:val="none" w:sz="0" w:space="0" w:color="auto"/>
        <w:right w:val="none" w:sz="0" w:space="0" w:color="auto"/>
      </w:divBdr>
    </w:div>
    <w:div w:id="978147324">
      <w:bodyDiv w:val="1"/>
      <w:marLeft w:val="0"/>
      <w:marRight w:val="0"/>
      <w:marTop w:val="0"/>
      <w:marBottom w:val="0"/>
      <w:divBdr>
        <w:top w:val="none" w:sz="0" w:space="0" w:color="auto"/>
        <w:left w:val="none" w:sz="0" w:space="0" w:color="auto"/>
        <w:bottom w:val="none" w:sz="0" w:space="0" w:color="auto"/>
        <w:right w:val="none" w:sz="0" w:space="0" w:color="auto"/>
      </w:divBdr>
    </w:div>
    <w:div w:id="1024329560">
      <w:bodyDiv w:val="1"/>
      <w:marLeft w:val="0"/>
      <w:marRight w:val="0"/>
      <w:marTop w:val="0"/>
      <w:marBottom w:val="0"/>
      <w:divBdr>
        <w:top w:val="none" w:sz="0" w:space="0" w:color="auto"/>
        <w:left w:val="none" w:sz="0" w:space="0" w:color="auto"/>
        <w:bottom w:val="none" w:sz="0" w:space="0" w:color="auto"/>
        <w:right w:val="none" w:sz="0" w:space="0" w:color="auto"/>
      </w:divBdr>
    </w:div>
    <w:div w:id="1049187481">
      <w:bodyDiv w:val="1"/>
      <w:marLeft w:val="0"/>
      <w:marRight w:val="0"/>
      <w:marTop w:val="0"/>
      <w:marBottom w:val="0"/>
      <w:divBdr>
        <w:top w:val="none" w:sz="0" w:space="0" w:color="auto"/>
        <w:left w:val="none" w:sz="0" w:space="0" w:color="auto"/>
        <w:bottom w:val="none" w:sz="0" w:space="0" w:color="auto"/>
        <w:right w:val="none" w:sz="0" w:space="0" w:color="auto"/>
      </w:divBdr>
    </w:div>
    <w:div w:id="1087381861">
      <w:bodyDiv w:val="1"/>
      <w:marLeft w:val="0"/>
      <w:marRight w:val="0"/>
      <w:marTop w:val="0"/>
      <w:marBottom w:val="0"/>
      <w:divBdr>
        <w:top w:val="none" w:sz="0" w:space="0" w:color="auto"/>
        <w:left w:val="none" w:sz="0" w:space="0" w:color="auto"/>
        <w:bottom w:val="none" w:sz="0" w:space="0" w:color="auto"/>
        <w:right w:val="none" w:sz="0" w:space="0" w:color="auto"/>
      </w:divBdr>
    </w:div>
    <w:div w:id="1102578527">
      <w:bodyDiv w:val="1"/>
      <w:marLeft w:val="0"/>
      <w:marRight w:val="0"/>
      <w:marTop w:val="0"/>
      <w:marBottom w:val="0"/>
      <w:divBdr>
        <w:top w:val="none" w:sz="0" w:space="0" w:color="auto"/>
        <w:left w:val="none" w:sz="0" w:space="0" w:color="auto"/>
        <w:bottom w:val="none" w:sz="0" w:space="0" w:color="auto"/>
        <w:right w:val="none" w:sz="0" w:space="0" w:color="auto"/>
      </w:divBdr>
    </w:div>
    <w:div w:id="1170675451">
      <w:bodyDiv w:val="1"/>
      <w:marLeft w:val="0"/>
      <w:marRight w:val="0"/>
      <w:marTop w:val="0"/>
      <w:marBottom w:val="0"/>
      <w:divBdr>
        <w:top w:val="none" w:sz="0" w:space="0" w:color="auto"/>
        <w:left w:val="none" w:sz="0" w:space="0" w:color="auto"/>
        <w:bottom w:val="none" w:sz="0" w:space="0" w:color="auto"/>
        <w:right w:val="none" w:sz="0" w:space="0" w:color="auto"/>
      </w:divBdr>
    </w:div>
    <w:div w:id="1227759205">
      <w:bodyDiv w:val="1"/>
      <w:marLeft w:val="0"/>
      <w:marRight w:val="0"/>
      <w:marTop w:val="0"/>
      <w:marBottom w:val="0"/>
      <w:divBdr>
        <w:top w:val="none" w:sz="0" w:space="0" w:color="auto"/>
        <w:left w:val="none" w:sz="0" w:space="0" w:color="auto"/>
        <w:bottom w:val="none" w:sz="0" w:space="0" w:color="auto"/>
        <w:right w:val="none" w:sz="0" w:space="0" w:color="auto"/>
      </w:divBdr>
    </w:div>
    <w:div w:id="1257521782">
      <w:bodyDiv w:val="1"/>
      <w:marLeft w:val="0"/>
      <w:marRight w:val="0"/>
      <w:marTop w:val="0"/>
      <w:marBottom w:val="0"/>
      <w:divBdr>
        <w:top w:val="none" w:sz="0" w:space="0" w:color="auto"/>
        <w:left w:val="none" w:sz="0" w:space="0" w:color="auto"/>
        <w:bottom w:val="none" w:sz="0" w:space="0" w:color="auto"/>
        <w:right w:val="none" w:sz="0" w:space="0" w:color="auto"/>
      </w:divBdr>
    </w:div>
    <w:div w:id="1262760242">
      <w:bodyDiv w:val="1"/>
      <w:marLeft w:val="0"/>
      <w:marRight w:val="0"/>
      <w:marTop w:val="0"/>
      <w:marBottom w:val="0"/>
      <w:divBdr>
        <w:top w:val="none" w:sz="0" w:space="0" w:color="auto"/>
        <w:left w:val="none" w:sz="0" w:space="0" w:color="auto"/>
        <w:bottom w:val="none" w:sz="0" w:space="0" w:color="auto"/>
        <w:right w:val="none" w:sz="0" w:space="0" w:color="auto"/>
      </w:divBdr>
    </w:div>
    <w:div w:id="1336104623">
      <w:bodyDiv w:val="1"/>
      <w:marLeft w:val="0"/>
      <w:marRight w:val="0"/>
      <w:marTop w:val="0"/>
      <w:marBottom w:val="0"/>
      <w:divBdr>
        <w:top w:val="none" w:sz="0" w:space="0" w:color="auto"/>
        <w:left w:val="none" w:sz="0" w:space="0" w:color="auto"/>
        <w:bottom w:val="none" w:sz="0" w:space="0" w:color="auto"/>
        <w:right w:val="none" w:sz="0" w:space="0" w:color="auto"/>
      </w:divBdr>
    </w:div>
    <w:div w:id="1378509296">
      <w:bodyDiv w:val="1"/>
      <w:marLeft w:val="0"/>
      <w:marRight w:val="0"/>
      <w:marTop w:val="0"/>
      <w:marBottom w:val="0"/>
      <w:divBdr>
        <w:top w:val="none" w:sz="0" w:space="0" w:color="auto"/>
        <w:left w:val="none" w:sz="0" w:space="0" w:color="auto"/>
        <w:bottom w:val="none" w:sz="0" w:space="0" w:color="auto"/>
        <w:right w:val="none" w:sz="0" w:space="0" w:color="auto"/>
      </w:divBdr>
    </w:div>
    <w:div w:id="1381131523">
      <w:bodyDiv w:val="1"/>
      <w:marLeft w:val="0"/>
      <w:marRight w:val="0"/>
      <w:marTop w:val="0"/>
      <w:marBottom w:val="0"/>
      <w:divBdr>
        <w:top w:val="none" w:sz="0" w:space="0" w:color="auto"/>
        <w:left w:val="none" w:sz="0" w:space="0" w:color="auto"/>
        <w:bottom w:val="none" w:sz="0" w:space="0" w:color="auto"/>
        <w:right w:val="none" w:sz="0" w:space="0" w:color="auto"/>
      </w:divBdr>
    </w:div>
    <w:div w:id="1427923162">
      <w:bodyDiv w:val="1"/>
      <w:marLeft w:val="0"/>
      <w:marRight w:val="0"/>
      <w:marTop w:val="0"/>
      <w:marBottom w:val="0"/>
      <w:divBdr>
        <w:top w:val="none" w:sz="0" w:space="0" w:color="auto"/>
        <w:left w:val="none" w:sz="0" w:space="0" w:color="auto"/>
        <w:bottom w:val="none" w:sz="0" w:space="0" w:color="auto"/>
        <w:right w:val="none" w:sz="0" w:space="0" w:color="auto"/>
      </w:divBdr>
    </w:div>
    <w:div w:id="1481507021">
      <w:bodyDiv w:val="1"/>
      <w:marLeft w:val="0"/>
      <w:marRight w:val="0"/>
      <w:marTop w:val="0"/>
      <w:marBottom w:val="0"/>
      <w:divBdr>
        <w:top w:val="none" w:sz="0" w:space="0" w:color="auto"/>
        <w:left w:val="none" w:sz="0" w:space="0" w:color="auto"/>
        <w:bottom w:val="none" w:sz="0" w:space="0" w:color="auto"/>
        <w:right w:val="none" w:sz="0" w:space="0" w:color="auto"/>
      </w:divBdr>
    </w:div>
    <w:div w:id="1488473551">
      <w:bodyDiv w:val="1"/>
      <w:marLeft w:val="0"/>
      <w:marRight w:val="0"/>
      <w:marTop w:val="0"/>
      <w:marBottom w:val="0"/>
      <w:divBdr>
        <w:top w:val="none" w:sz="0" w:space="0" w:color="auto"/>
        <w:left w:val="none" w:sz="0" w:space="0" w:color="auto"/>
        <w:bottom w:val="none" w:sz="0" w:space="0" w:color="auto"/>
        <w:right w:val="none" w:sz="0" w:space="0" w:color="auto"/>
      </w:divBdr>
    </w:div>
    <w:div w:id="1511990974">
      <w:bodyDiv w:val="1"/>
      <w:marLeft w:val="0"/>
      <w:marRight w:val="0"/>
      <w:marTop w:val="0"/>
      <w:marBottom w:val="0"/>
      <w:divBdr>
        <w:top w:val="none" w:sz="0" w:space="0" w:color="auto"/>
        <w:left w:val="none" w:sz="0" w:space="0" w:color="auto"/>
        <w:bottom w:val="none" w:sz="0" w:space="0" w:color="auto"/>
        <w:right w:val="none" w:sz="0" w:space="0" w:color="auto"/>
      </w:divBdr>
    </w:div>
    <w:div w:id="1526745192">
      <w:bodyDiv w:val="1"/>
      <w:marLeft w:val="0"/>
      <w:marRight w:val="0"/>
      <w:marTop w:val="0"/>
      <w:marBottom w:val="0"/>
      <w:divBdr>
        <w:top w:val="none" w:sz="0" w:space="0" w:color="auto"/>
        <w:left w:val="none" w:sz="0" w:space="0" w:color="auto"/>
        <w:bottom w:val="none" w:sz="0" w:space="0" w:color="auto"/>
        <w:right w:val="none" w:sz="0" w:space="0" w:color="auto"/>
      </w:divBdr>
    </w:div>
    <w:div w:id="1553543591">
      <w:bodyDiv w:val="1"/>
      <w:marLeft w:val="0"/>
      <w:marRight w:val="0"/>
      <w:marTop w:val="0"/>
      <w:marBottom w:val="0"/>
      <w:divBdr>
        <w:top w:val="none" w:sz="0" w:space="0" w:color="auto"/>
        <w:left w:val="none" w:sz="0" w:space="0" w:color="auto"/>
        <w:bottom w:val="none" w:sz="0" w:space="0" w:color="auto"/>
        <w:right w:val="none" w:sz="0" w:space="0" w:color="auto"/>
      </w:divBdr>
    </w:div>
    <w:div w:id="1571499196">
      <w:bodyDiv w:val="1"/>
      <w:marLeft w:val="0"/>
      <w:marRight w:val="0"/>
      <w:marTop w:val="0"/>
      <w:marBottom w:val="0"/>
      <w:divBdr>
        <w:top w:val="none" w:sz="0" w:space="0" w:color="auto"/>
        <w:left w:val="none" w:sz="0" w:space="0" w:color="auto"/>
        <w:bottom w:val="none" w:sz="0" w:space="0" w:color="auto"/>
        <w:right w:val="none" w:sz="0" w:space="0" w:color="auto"/>
      </w:divBdr>
    </w:div>
    <w:div w:id="1679890701">
      <w:bodyDiv w:val="1"/>
      <w:marLeft w:val="0"/>
      <w:marRight w:val="0"/>
      <w:marTop w:val="0"/>
      <w:marBottom w:val="0"/>
      <w:divBdr>
        <w:top w:val="none" w:sz="0" w:space="0" w:color="auto"/>
        <w:left w:val="none" w:sz="0" w:space="0" w:color="auto"/>
        <w:bottom w:val="none" w:sz="0" w:space="0" w:color="auto"/>
        <w:right w:val="none" w:sz="0" w:space="0" w:color="auto"/>
      </w:divBdr>
    </w:div>
    <w:div w:id="1710834982">
      <w:bodyDiv w:val="1"/>
      <w:marLeft w:val="0"/>
      <w:marRight w:val="0"/>
      <w:marTop w:val="0"/>
      <w:marBottom w:val="0"/>
      <w:divBdr>
        <w:top w:val="none" w:sz="0" w:space="0" w:color="auto"/>
        <w:left w:val="none" w:sz="0" w:space="0" w:color="auto"/>
        <w:bottom w:val="none" w:sz="0" w:space="0" w:color="auto"/>
        <w:right w:val="none" w:sz="0" w:space="0" w:color="auto"/>
      </w:divBdr>
    </w:div>
    <w:div w:id="1796556684">
      <w:bodyDiv w:val="1"/>
      <w:marLeft w:val="0"/>
      <w:marRight w:val="0"/>
      <w:marTop w:val="0"/>
      <w:marBottom w:val="0"/>
      <w:divBdr>
        <w:top w:val="none" w:sz="0" w:space="0" w:color="auto"/>
        <w:left w:val="none" w:sz="0" w:space="0" w:color="auto"/>
        <w:bottom w:val="none" w:sz="0" w:space="0" w:color="auto"/>
        <w:right w:val="none" w:sz="0" w:space="0" w:color="auto"/>
      </w:divBdr>
    </w:div>
    <w:div w:id="1809543779">
      <w:bodyDiv w:val="1"/>
      <w:marLeft w:val="0"/>
      <w:marRight w:val="0"/>
      <w:marTop w:val="0"/>
      <w:marBottom w:val="0"/>
      <w:divBdr>
        <w:top w:val="none" w:sz="0" w:space="0" w:color="auto"/>
        <w:left w:val="none" w:sz="0" w:space="0" w:color="auto"/>
        <w:bottom w:val="none" w:sz="0" w:space="0" w:color="auto"/>
        <w:right w:val="none" w:sz="0" w:space="0" w:color="auto"/>
      </w:divBdr>
    </w:div>
    <w:div w:id="1813861543">
      <w:bodyDiv w:val="1"/>
      <w:marLeft w:val="0"/>
      <w:marRight w:val="0"/>
      <w:marTop w:val="0"/>
      <w:marBottom w:val="0"/>
      <w:divBdr>
        <w:top w:val="none" w:sz="0" w:space="0" w:color="auto"/>
        <w:left w:val="none" w:sz="0" w:space="0" w:color="auto"/>
        <w:bottom w:val="none" w:sz="0" w:space="0" w:color="auto"/>
        <w:right w:val="none" w:sz="0" w:space="0" w:color="auto"/>
      </w:divBdr>
    </w:div>
    <w:div w:id="1819415738">
      <w:bodyDiv w:val="1"/>
      <w:marLeft w:val="0"/>
      <w:marRight w:val="0"/>
      <w:marTop w:val="0"/>
      <w:marBottom w:val="0"/>
      <w:divBdr>
        <w:top w:val="none" w:sz="0" w:space="0" w:color="auto"/>
        <w:left w:val="none" w:sz="0" w:space="0" w:color="auto"/>
        <w:bottom w:val="none" w:sz="0" w:space="0" w:color="auto"/>
        <w:right w:val="none" w:sz="0" w:space="0" w:color="auto"/>
      </w:divBdr>
    </w:div>
    <w:div w:id="1824813613">
      <w:bodyDiv w:val="1"/>
      <w:marLeft w:val="0"/>
      <w:marRight w:val="0"/>
      <w:marTop w:val="0"/>
      <w:marBottom w:val="0"/>
      <w:divBdr>
        <w:top w:val="none" w:sz="0" w:space="0" w:color="auto"/>
        <w:left w:val="none" w:sz="0" w:space="0" w:color="auto"/>
        <w:bottom w:val="none" w:sz="0" w:space="0" w:color="auto"/>
        <w:right w:val="none" w:sz="0" w:space="0" w:color="auto"/>
      </w:divBdr>
    </w:div>
    <w:div w:id="1825706113">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0603068">
      <w:bodyDiv w:val="1"/>
      <w:marLeft w:val="0"/>
      <w:marRight w:val="0"/>
      <w:marTop w:val="0"/>
      <w:marBottom w:val="0"/>
      <w:divBdr>
        <w:top w:val="none" w:sz="0" w:space="0" w:color="auto"/>
        <w:left w:val="none" w:sz="0" w:space="0" w:color="auto"/>
        <w:bottom w:val="none" w:sz="0" w:space="0" w:color="auto"/>
        <w:right w:val="none" w:sz="0" w:space="0" w:color="auto"/>
      </w:divBdr>
    </w:div>
    <w:div w:id="1962614275">
      <w:bodyDiv w:val="1"/>
      <w:marLeft w:val="0"/>
      <w:marRight w:val="0"/>
      <w:marTop w:val="0"/>
      <w:marBottom w:val="0"/>
      <w:divBdr>
        <w:top w:val="none" w:sz="0" w:space="0" w:color="auto"/>
        <w:left w:val="none" w:sz="0" w:space="0" w:color="auto"/>
        <w:bottom w:val="none" w:sz="0" w:space="0" w:color="auto"/>
        <w:right w:val="none" w:sz="0" w:space="0" w:color="auto"/>
      </w:divBdr>
    </w:div>
    <w:div w:id="205862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doc/src/65029-EN.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D64B2-7D7B-40E9-8A47-F99FB6E96E3B}">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6</Pages>
  <Words>2696</Words>
  <Characters>15372</Characters>
  <Application>Microsoft Office Word</Application>
  <DocSecurity>0</DocSecurity>
  <Lines>128</Lines>
  <Paragraphs>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UNESCO</Company>
  <LinksUpToDate>false</LinksUpToDate>
  <CharactersWithSpaces>18032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 Eunkyung</dc:creator>
  <cp:lastModifiedBy>Juliette Hopkins</cp:lastModifiedBy>
  <cp:revision>10</cp:revision>
  <cp:lastPrinted>2011-08-09T15:26:00Z</cp:lastPrinted>
  <dcterms:created xsi:type="dcterms:W3CDTF">2024-06-07T14:13:00Z</dcterms:created>
  <dcterms:modified xsi:type="dcterms:W3CDTF">2024-06-07T17:24:00Z</dcterms:modified>
</cp:coreProperties>
</file>