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CA00" w14:textId="77777777" w:rsidR="00FB5F83" w:rsidRDefault="00FB5F83" w:rsidP="00FB5F83">
      <w:pPr>
        <w:rPr>
          <w:rFonts w:ascii="Arial" w:hAnsi="Arial" w:cs="Arial"/>
          <w:b/>
          <w:sz w:val="22"/>
          <w:szCs w:val="22"/>
        </w:rPr>
      </w:pPr>
    </w:p>
    <w:p w14:paraId="3609B8AF" w14:textId="77777777" w:rsidR="007F4E3D" w:rsidRDefault="007F4E3D" w:rsidP="00175021">
      <w:pPr>
        <w:tabs>
          <w:tab w:val="left" w:pos="2610"/>
        </w:tabs>
        <w:spacing w:before="840"/>
        <w:ind w:left="3510" w:hanging="3150"/>
        <w:rPr>
          <w:rFonts w:ascii="Arial" w:hAnsi="Arial" w:cs="Arial"/>
          <w:b/>
          <w:sz w:val="22"/>
          <w:szCs w:val="22"/>
        </w:rPr>
      </w:pPr>
    </w:p>
    <w:p w14:paraId="01793196" w14:textId="533BBE8B" w:rsidR="00FB5F83" w:rsidRDefault="00EC6F8D" w:rsidP="008E14B4">
      <w:pPr>
        <w:tabs>
          <w:tab w:val="left" w:pos="2610"/>
        </w:tabs>
        <w:spacing w:before="840"/>
        <w:jc w:val="center"/>
        <w:rPr>
          <w:rFonts w:ascii="Arial" w:hAnsi="Arial" w:cs="Arial"/>
          <w:b/>
          <w:sz w:val="22"/>
          <w:szCs w:val="22"/>
        </w:rPr>
      </w:pPr>
      <w:bookmarkStart w:id="0" w:name="_Hlk133228997"/>
      <w:bookmarkStart w:id="1" w:name="_Hlk133229411"/>
      <w:r>
        <w:rPr>
          <w:rFonts w:ascii="Arial" w:hAnsi="Arial" w:cs="Arial"/>
          <w:b/>
          <w:bCs/>
          <w:sz w:val="22"/>
          <w:szCs w:val="22"/>
          <w:lang w:val="fr"/>
        </w:rPr>
        <w:t>CONVENTION POUR LA SAUVEGARDE DU</w:t>
      </w:r>
      <w:r>
        <w:rPr>
          <w:rFonts w:ascii="Arial" w:hAnsi="Arial" w:cs="Arial"/>
          <w:sz w:val="22"/>
          <w:szCs w:val="22"/>
          <w:lang w:val="fr"/>
        </w:rPr>
        <w:br/>
      </w:r>
      <w:r>
        <w:rPr>
          <w:rFonts w:ascii="Arial" w:hAnsi="Arial" w:cs="Arial"/>
          <w:b/>
          <w:bCs/>
          <w:sz w:val="22"/>
          <w:szCs w:val="22"/>
          <w:lang w:val="fr"/>
        </w:rPr>
        <w:t>PATRIMOINE CULTUREL IMMATÉRIEL</w:t>
      </w:r>
      <w:bookmarkStart w:id="2" w:name="_Hlk70514086"/>
    </w:p>
    <w:p w14:paraId="4844D7A7" w14:textId="339EB63E" w:rsidR="008E14B4" w:rsidRDefault="00FB5F83" w:rsidP="008E14B4">
      <w:pPr>
        <w:spacing w:before="1200"/>
        <w:ind w:firstLine="180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val="fr"/>
        </w:rPr>
        <w:t>Réunion d</w:t>
      </w:r>
      <w:r w:rsidR="006F3570">
        <w:rPr>
          <w:rFonts w:ascii="Arial" w:eastAsia="Calibri" w:hAnsi="Arial" w:cs="Arial"/>
          <w:b/>
          <w:bCs/>
          <w:sz w:val="22"/>
          <w:szCs w:val="22"/>
          <w:lang w:val="fr"/>
        </w:rPr>
        <w:t>’</w:t>
      </w:r>
      <w:r>
        <w:rPr>
          <w:rFonts w:ascii="Arial" w:eastAsia="Calibri" w:hAnsi="Arial" w:cs="Arial"/>
          <w:b/>
          <w:bCs/>
          <w:sz w:val="22"/>
          <w:szCs w:val="22"/>
          <w:lang w:val="fr"/>
        </w:rPr>
        <w:t>experts dans le cadre de la réflexion sur une</w:t>
      </w:r>
    </w:p>
    <w:p w14:paraId="6278B626" w14:textId="6AC239AB" w:rsidR="008E14B4" w:rsidRDefault="00FB5F83" w:rsidP="008E14B4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mise en œuvre plus large de l</w:t>
      </w:r>
      <w:r w:rsidR="006F3570">
        <w:rPr>
          <w:rFonts w:ascii="Arial" w:eastAsia="Calibri" w:hAnsi="Arial" w:cs="Arial"/>
          <w:b/>
          <w:bCs/>
          <w:sz w:val="22"/>
          <w:szCs w:val="22"/>
          <w:lang w:val="fr"/>
        </w:rPr>
        <w:t>’</w:t>
      </w:r>
      <w:r>
        <w:rPr>
          <w:rFonts w:ascii="Arial" w:eastAsia="Calibri" w:hAnsi="Arial" w:cs="Arial"/>
          <w:b/>
          <w:bCs/>
          <w:sz w:val="22"/>
          <w:szCs w:val="22"/>
          <w:lang w:val="fr"/>
        </w:rPr>
        <w:t>article 18 de la Convention de 2003</w:t>
      </w:r>
    </w:p>
    <w:p w14:paraId="086B4130" w14:textId="3181FAA1" w:rsidR="00FB5F83" w:rsidRPr="00091385" w:rsidRDefault="00FB5F83" w:rsidP="008E14B4">
      <w:pPr>
        <w:ind w:firstLine="181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pour la sauvegarde du patrimoine culturel immatériel</w:t>
      </w:r>
    </w:p>
    <w:p w14:paraId="10B66778" w14:textId="6FD45593" w:rsidR="0089490D" w:rsidRDefault="0089490D" w:rsidP="008E14B4">
      <w:pPr>
        <w:spacing w:before="840"/>
        <w:ind w:left="1531" w:hanging="1531"/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RAPPORT </w:t>
      </w:r>
      <w:r w:rsidR="006F3570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DU </w:t>
      </w:r>
      <w:r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GROUPE DE </w:t>
      </w:r>
      <w:r w:rsidR="006F3570">
        <w:rPr>
          <w:rFonts w:ascii="Arial" w:eastAsia="Calibri" w:hAnsi="Arial" w:cs="Arial"/>
          <w:b/>
          <w:bCs/>
          <w:sz w:val="22"/>
          <w:szCs w:val="22"/>
          <w:lang w:val="fr"/>
        </w:rPr>
        <w:t>TRAVAIL</w:t>
      </w:r>
    </w:p>
    <w:p w14:paraId="6DC6D4EB" w14:textId="3FE3D7E5" w:rsidR="00550338" w:rsidRDefault="00550338" w:rsidP="00550338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(Version 4 </w:t>
      </w:r>
      <w:r w:rsidR="006F3570">
        <w:rPr>
          <w:rFonts w:ascii="Arial" w:eastAsia="Calibri" w:hAnsi="Arial" w:cs="Arial"/>
          <w:b/>
          <w:bCs/>
          <w:sz w:val="22"/>
          <w:szCs w:val="22"/>
          <w:lang w:val="fr"/>
        </w:rPr>
        <w:t>m</w:t>
      </w:r>
      <w:r>
        <w:rPr>
          <w:rFonts w:ascii="Arial" w:eastAsia="Calibri" w:hAnsi="Arial" w:cs="Arial"/>
          <w:b/>
          <w:bCs/>
          <w:sz w:val="22"/>
          <w:szCs w:val="22"/>
          <w:lang w:val="fr"/>
        </w:rPr>
        <w:t>ai 2023)</w:t>
      </w:r>
    </w:p>
    <w:p w14:paraId="46DB0FBB" w14:textId="2A427545" w:rsidR="0089490D" w:rsidRPr="00091385" w:rsidRDefault="006F3570" w:rsidP="008E14B4">
      <w:pPr>
        <w:spacing w:before="480"/>
        <w:ind w:left="1530" w:right="-1" w:hanging="1530"/>
        <w:jc w:val="center"/>
        <w:rPr>
          <w:rFonts w:ascii="Arial" w:eastAsia="Calibri" w:hAnsi="Arial" w:cs="Arial"/>
          <w:b/>
          <w:bCs/>
          <w:sz w:val="22"/>
          <w:szCs w:val="22"/>
        </w:rPr>
      </w:pPr>
      <w:bookmarkStart w:id="3" w:name="_Hlk133229453"/>
      <w:bookmarkEnd w:id="0"/>
      <w:r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Sujet </w:t>
      </w:r>
      <w:r w:rsidR="007B705A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1 </w:t>
      </w:r>
      <w:r w:rsidRPr="00200485">
        <w:rPr>
          <w:rFonts w:ascii="Arial" w:eastAsia="Calibri" w:hAnsi="Arial" w:cs="Arial"/>
          <w:b/>
          <w:bCs/>
          <w:sz w:val="22"/>
          <w:szCs w:val="22"/>
        </w:rPr>
        <w:t>–</w:t>
      </w:r>
      <w:r w:rsidR="007B705A">
        <w:rPr>
          <w:rFonts w:ascii="Arial" w:eastAsia="Calibri" w:hAnsi="Arial" w:cs="Arial"/>
          <w:b/>
          <w:bCs/>
          <w:sz w:val="22"/>
          <w:szCs w:val="22"/>
          <w:lang w:val="fr"/>
        </w:rPr>
        <w:t xml:space="preserve"> Groupe A </w:t>
      </w:r>
    </w:p>
    <w:bookmarkEnd w:id="2"/>
    <w:bookmarkEnd w:id="3"/>
    <w:p w14:paraId="1FD89575" w14:textId="7209C81A" w:rsidR="00B2172B" w:rsidRPr="00B2172B" w:rsidRDefault="00B9146E" w:rsidP="00FB5F83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Stockholm, Suède</w:t>
      </w:r>
    </w:p>
    <w:p w14:paraId="45E52760" w14:textId="4DECC3F8" w:rsidR="001F4E62" w:rsidRPr="0031456C" w:rsidRDefault="00B9146E" w:rsidP="0031456C">
      <w:pPr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19 au 21 avril 2023</w:t>
      </w:r>
    </w:p>
    <w:p w14:paraId="028253B0" w14:textId="77777777" w:rsidR="00673D2E" w:rsidRPr="00F85A71" w:rsidRDefault="00673D2E" w:rsidP="00FB5F83">
      <w:pPr>
        <w:tabs>
          <w:tab w:val="left" w:pos="1320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_Hlk133229433"/>
      <w:bookmarkEnd w:id="1"/>
      <w:r>
        <w:rPr>
          <w:rFonts w:ascii="Arial" w:hAnsi="Arial" w:cs="Arial"/>
          <w:b/>
          <w:bCs/>
          <w:sz w:val="22"/>
          <w:szCs w:val="22"/>
          <w:lang w:val="fr"/>
        </w:rPr>
        <w:t>Membres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189"/>
        <w:gridCol w:w="4814"/>
      </w:tblGrid>
      <w:tr w:rsidR="00673D2E" w:rsidRPr="00200485" w14:paraId="04EFCEDD" w14:textId="77777777" w:rsidTr="00F02CB9">
        <w:trPr>
          <w:trHeight w:val="361"/>
        </w:trPr>
        <w:tc>
          <w:tcPr>
            <w:tcW w:w="4189" w:type="dxa"/>
          </w:tcPr>
          <w:p w14:paraId="7E799B83" w14:textId="4A99B00B" w:rsidR="00673D2E" w:rsidRPr="00673D2E" w:rsidRDefault="00673D2E" w:rsidP="00673D2E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Mme ALKHAMIS, Norah</w:t>
            </w:r>
          </w:p>
        </w:tc>
        <w:tc>
          <w:tcPr>
            <w:tcW w:w="4814" w:type="dxa"/>
          </w:tcPr>
          <w:p w14:paraId="1A4FDD77" w14:textId="528386D3" w:rsidR="00673D2E" w:rsidRPr="00832163" w:rsidRDefault="00475A25" w:rsidP="00673D2E">
            <w:pPr>
              <w:tabs>
                <w:tab w:val="left" w:pos="1320"/>
              </w:tabs>
              <w:rPr>
                <w:sz w:val="22"/>
                <w:szCs w:val="22"/>
                <w:lang w:val="es-ES"/>
              </w:rPr>
            </w:pPr>
            <w:proofErr w:type="spellStart"/>
            <w:r w:rsidRPr="00832163">
              <w:rPr>
                <w:rFonts w:ascii="Arial" w:hAnsi="Arial" w:cs="Arial"/>
                <w:sz w:val="22"/>
                <w:szCs w:val="22"/>
                <w:lang w:val="es-ES"/>
              </w:rPr>
              <w:t>Mme</w:t>
            </w:r>
            <w:proofErr w:type="spellEnd"/>
            <w:r w:rsidRPr="00832163">
              <w:rPr>
                <w:rFonts w:ascii="Arial" w:hAnsi="Arial" w:cs="Arial"/>
                <w:sz w:val="22"/>
                <w:szCs w:val="22"/>
                <w:lang w:val="es-ES"/>
              </w:rPr>
              <w:t xml:space="preserve"> GONÇALVES DE CARVALHO, Luciana</w:t>
            </w:r>
          </w:p>
        </w:tc>
      </w:tr>
      <w:tr w:rsidR="00475A25" w:rsidRPr="00481405" w14:paraId="218CD482" w14:textId="77777777" w:rsidTr="00F02CB9">
        <w:trPr>
          <w:trHeight w:val="361"/>
        </w:trPr>
        <w:tc>
          <w:tcPr>
            <w:tcW w:w="4189" w:type="dxa"/>
          </w:tcPr>
          <w:p w14:paraId="7EDFA356" w14:textId="050383EB" w:rsidR="00475A25" w:rsidRPr="00673D2E" w:rsidRDefault="00475A25" w:rsidP="00475A2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Mme BASKERVILLE, Ioana Otilia</w:t>
            </w:r>
          </w:p>
        </w:tc>
        <w:tc>
          <w:tcPr>
            <w:tcW w:w="4814" w:type="dxa"/>
          </w:tcPr>
          <w:p w14:paraId="648A1D24" w14:textId="00F6D355" w:rsidR="00475A25" w:rsidRPr="00673D2E" w:rsidRDefault="00475A25" w:rsidP="00475A2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Monsieur JLOK, Mustapha</w:t>
            </w:r>
          </w:p>
        </w:tc>
      </w:tr>
      <w:tr w:rsidR="00475A25" w14:paraId="6EE25D41" w14:textId="77777777" w:rsidTr="00F02CB9">
        <w:trPr>
          <w:trHeight w:val="361"/>
        </w:trPr>
        <w:tc>
          <w:tcPr>
            <w:tcW w:w="4189" w:type="dxa"/>
          </w:tcPr>
          <w:p w14:paraId="32C13E51" w14:textId="72E893C0" w:rsidR="00475A25" w:rsidRPr="00673D2E" w:rsidRDefault="00475A25" w:rsidP="00475A2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M. BEN SOULA, Imed</w:t>
            </w:r>
          </w:p>
        </w:tc>
        <w:tc>
          <w:tcPr>
            <w:tcW w:w="4814" w:type="dxa"/>
          </w:tcPr>
          <w:p w14:paraId="3A808105" w14:textId="210C80EF" w:rsidR="00475A25" w:rsidRPr="00673D2E" w:rsidRDefault="00475A25" w:rsidP="00475A2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M. KI, Léonce</w:t>
            </w:r>
          </w:p>
        </w:tc>
      </w:tr>
      <w:tr w:rsidR="00475A25" w14:paraId="3BB97817" w14:textId="77777777" w:rsidTr="00F02CB9">
        <w:trPr>
          <w:trHeight w:val="361"/>
        </w:trPr>
        <w:tc>
          <w:tcPr>
            <w:tcW w:w="4189" w:type="dxa"/>
          </w:tcPr>
          <w:p w14:paraId="7D20688B" w14:textId="5F793498" w:rsidR="00475A25" w:rsidRPr="00673D2E" w:rsidRDefault="00475A25" w:rsidP="00475A2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Mme CUMMINS, Alissandra</w:t>
            </w:r>
          </w:p>
        </w:tc>
        <w:tc>
          <w:tcPr>
            <w:tcW w:w="4814" w:type="dxa"/>
          </w:tcPr>
          <w:p w14:paraId="5F5785EB" w14:textId="5FEF598E" w:rsidR="00475A25" w:rsidRPr="00673D2E" w:rsidRDefault="00475A25" w:rsidP="00475A2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Mme NOJIMA, Yoko</w:t>
            </w:r>
          </w:p>
        </w:tc>
      </w:tr>
      <w:tr w:rsidR="00475A25" w14:paraId="1313D1DE" w14:textId="77777777" w:rsidTr="00F02CB9">
        <w:trPr>
          <w:trHeight w:val="361"/>
        </w:trPr>
        <w:tc>
          <w:tcPr>
            <w:tcW w:w="4189" w:type="dxa"/>
          </w:tcPr>
          <w:p w14:paraId="5540DD86" w14:textId="47E39132" w:rsidR="00475A25" w:rsidRPr="00673D2E" w:rsidRDefault="00475A25" w:rsidP="00475A2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 xml:space="preserve">Mme DETSCHMANN, Gabriele </w:t>
            </w:r>
          </w:p>
        </w:tc>
        <w:tc>
          <w:tcPr>
            <w:tcW w:w="4814" w:type="dxa"/>
          </w:tcPr>
          <w:p w14:paraId="347F4F59" w14:textId="7AF60C9F" w:rsidR="00475A25" w:rsidRPr="00673D2E" w:rsidRDefault="00475A25" w:rsidP="00475A2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M. SEKOU, Berte</w:t>
            </w:r>
          </w:p>
        </w:tc>
      </w:tr>
      <w:tr w:rsidR="00475A25" w14:paraId="1272ACC6" w14:textId="77777777" w:rsidTr="00F02CB9">
        <w:trPr>
          <w:trHeight w:val="361"/>
        </w:trPr>
        <w:tc>
          <w:tcPr>
            <w:tcW w:w="4189" w:type="dxa"/>
          </w:tcPr>
          <w:p w14:paraId="7A66DE87" w14:textId="2A364B0B" w:rsidR="00475A25" w:rsidRPr="00673D2E" w:rsidRDefault="00475A25" w:rsidP="00475A25">
            <w:pPr>
              <w:tabs>
                <w:tab w:val="left" w:pos="1320"/>
                <w:tab w:val="left" w:pos="3105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M. FORERO, Andres (</w:t>
            </w:r>
            <w:r w:rsidR="006F3570">
              <w:rPr>
                <w:rFonts w:ascii="Arial" w:hAnsi="Arial" w:cs="Arial"/>
                <w:sz w:val="22"/>
                <w:szCs w:val="22"/>
                <w:lang w:val="fr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>apporteur)</w:t>
            </w:r>
          </w:p>
        </w:tc>
        <w:tc>
          <w:tcPr>
            <w:tcW w:w="4814" w:type="dxa"/>
          </w:tcPr>
          <w:p w14:paraId="5773D9AD" w14:textId="7FE9AD26" w:rsidR="00475A25" w:rsidRPr="00673D2E" w:rsidRDefault="00475A25" w:rsidP="00475A25">
            <w:pPr>
              <w:tabs>
                <w:tab w:val="left" w:pos="1320"/>
              </w:tabs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fr"/>
              </w:rPr>
              <w:t>Mme VOĽANSKÁ, Ľubica (Facilitat</w:t>
            </w:r>
            <w:r w:rsidR="006F3570">
              <w:rPr>
                <w:rFonts w:ascii="Arial" w:hAnsi="Arial" w:cs="Arial"/>
                <w:sz w:val="22"/>
                <w:szCs w:val="22"/>
                <w:lang w:val="fr"/>
              </w:rPr>
              <w:t>rice</w:t>
            </w:r>
            <w:r>
              <w:rPr>
                <w:rFonts w:ascii="Arial" w:hAnsi="Arial" w:cs="Arial"/>
                <w:sz w:val="22"/>
                <w:szCs w:val="22"/>
                <w:lang w:val="fr"/>
              </w:rPr>
              <w:t>)</w:t>
            </w:r>
          </w:p>
        </w:tc>
      </w:tr>
    </w:tbl>
    <w:p w14:paraId="11A8D4D6" w14:textId="6C6D2334" w:rsidR="00F85A71" w:rsidRPr="00E11FBC" w:rsidRDefault="00F85A71" w:rsidP="00673D2E">
      <w:pPr>
        <w:tabs>
          <w:tab w:val="left" w:pos="1320"/>
        </w:tabs>
        <w:jc w:val="center"/>
      </w:pPr>
    </w:p>
    <w:p w14:paraId="31EC859E" w14:textId="77777777" w:rsidR="00F85A71" w:rsidRPr="00E11FBC" w:rsidRDefault="00F85A71">
      <w:r>
        <w:rPr>
          <w:lang w:val="fr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85A71" w:rsidRPr="005E5E18" w14:paraId="1E1B9FDF" w14:textId="77777777" w:rsidTr="000D1A0C">
        <w:trPr>
          <w:trHeight w:hRule="exact" w:val="905"/>
        </w:trPr>
        <w:tc>
          <w:tcPr>
            <w:tcW w:w="9633" w:type="dxa"/>
            <w:shd w:val="clear" w:color="auto" w:fill="F2F2F2" w:themeFill="background1" w:themeFillShade="F2"/>
            <w:vAlign w:val="center"/>
          </w:tcPr>
          <w:bookmarkEnd w:id="4"/>
          <w:p w14:paraId="3E27F62B" w14:textId="2FF77E1C" w:rsidR="00F85A71" w:rsidRPr="00F93F7F" w:rsidRDefault="00175021" w:rsidP="00605EA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fr"/>
              </w:rPr>
              <w:lastRenderedPageBreak/>
              <w:t>Sujet 1 : Améliorer l</w:t>
            </w:r>
            <w:r w:rsidR="006F3570">
              <w:rPr>
                <w:rFonts w:asciiTheme="minorBidi" w:hAnsiTheme="minorBidi" w:cstheme="minorBidi"/>
                <w:b/>
                <w:bCs/>
                <w:sz w:val="32"/>
                <w:szCs w:val="32"/>
                <w:lang w:val="fr"/>
              </w:rPr>
              <w:t>’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fr"/>
              </w:rPr>
              <w:t>accès et la visibilité du Registre de bonnes pratiques de sauvegarde</w:t>
            </w:r>
          </w:p>
        </w:tc>
      </w:tr>
      <w:tr w:rsidR="00F85A71" w:rsidRPr="005E5E18" w14:paraId="7193E99C" w14:textId="77777777" w:rsidTr="008E14B4">
        <w:trPr>
          <w:trHeight w:val="1402"/>
        </w:trPr>
        <w:tc>
          <w:tcPr>
            <w:tcW w:w="9633" w:type="dxa"/>
          </w:tcPr>
          <w:p w14:paraId="01BECBCB" w14:textId="5803156E" w:rsidR="00F85A71" w:rsidRPr="00CC292C" w:rsidRDefault="00CC292C" w:rsidP="00F85A7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>Premier point de discussion : Quel est l</w:t>
            </w:r>
            <w:r w:rsidR="006F357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 xml:space="preserve">objectif du Registre de bonnes pratiques de sauvegarde ? </w:t>
            </w:r>
          </w:p>
          <w:p w14:paraId="0EF1A923" w14:textId="5BFC0108" w:rsidR="00B22069" w:rsidRDefault="00B22069" w:rsidP="00CC292C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Le Registre illustre parfaitement les objectifs de la Convention de 2003, notamment en ce qui concerne la sauvegarde du PCI, comme indiqué à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article 1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 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(a). </w:t>
            </w:r>
          </w:p>
          <w:p w14:paraId="2DAC01AB" w14:textId="225F64A7" w:rsidR="00B22069" w:rsidRPr="00CC292C" w:rsidRDefault="00B22069" w:rsidP="00CC292C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Le Registre donne des exemples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expériences concrètes de protection 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avec la participation des communautés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. Les expériences de sauvegarde 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avec la participation des communautés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, telles qu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illustrées par le Registre, sont des modèles pour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autres. </w:t>
            </w:r>
          </w:p>
          <w:p w14:paraId="57A5E580" w14:textId="77777777" w:rsidR="00CC292C" w:rsidRDefault="00CC292C" w:rsidP="00CC292C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Le Registre motive les échanges entre les communautés, qui sont au cœur de la Convention de 2003 et des efforts de sauvegarde. </w:t>
            </w:r>
          </w:p>
          <w:p w14:paraId="43DF30BD" w14:textId="1ABA0979" w:rsidR="00B22069" w:rsidRDefault="00E56755" w:rsidP="00CC292C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Le Registre peut inciter les États parties et les communautés à s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engager dans des pratiques de sauvegarde. Les gouvernements sont intéressés par la visibilité de ces mécanismes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inscription sur les listes. </w:t>
            </w:r>
          </w:p>
          <w:p w14:paraId="27523569" w14:textId="6E0A29B7" w:rsidR="00B22069" w:rsidRDefault="00B22069" w:rsidP="00CC292C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Le Registre est un bon outil de sensibilisation et doit être considéré comme un élément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inspiration. </w:t>
            </w:r>
          </w:p>
          <w:p w14:paraId="482B9D64" w14:textId="194EFF87" w:rsidR="00B22069" w:rsidRDefault="00F60DA0" w:rsidP="00CC292C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Parmi les trois mécanismes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inscription sur les listes de la Convention de 2003, le Registre est celui qui est le plus axé sur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action, et sert donc de principe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activation. Bien que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objet de la Convention de 2003 soit les éléments du PCI, son but est de promouvoir des actions visant à sauvegarder la diversité du PCI. </w:t>
            </w:r>
          </w:p>
          <w:p w14:paraId="1CA9C563" w14:textId="3879C80F" w:rsidR="00B22069" w:rsidRDefault="00054F30" w:rsidP="00054F3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Le Registre est un outil essentiel de renforcement des capacités dans le cadre de la Convention de 2003 et peut contribuer à la préparation des politiques du PCI à tous les niveaux de la mise en œuvre de la Convention de 2003. </w:t>
            </w:r>
          </w:p>
          <w:p w14:paraId="1E9A5236" w14:textId="77777777" w:rsidR="005B355F" w:rsidRPr="00054F30" w:rsidRDefault="005B355F" w:rsidP="005B355F">
            <w:pPr>
              <w:pStyle w:val="ListParagraph"/>
              <w:ind w:left="144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46EE05D" w14:textId="06ADA2E8" w:rsidR="00B22069" w:rsidRPr="00CE11EC" w:rsidRDefault="00054F30" w:rsidP="00054F3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 xml:space="preserve">Réflexion sur le formulaire ICH-03 et les critères du Registre de bonnes pratiques de sauvegarde.  </w:t>
            </w:r>
          </w:p>
          <w:p w14:paraId="4B33B431" w14:textId="79E97211" w:rsidR="004D2B6E" w:rsidRDefault="00054F30" w:rsidP="00DA58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La section 8 du formulaire ICH-03, qui repose sur le critère P.8, concernant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évaluation des résultats, est considérée comme une section difficile à traiter.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analyse de cette section soulève les questions suivantes : Quel est le cadre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indicateurs que nous utilisons pour évaluer ces résultats ? Les tâches de 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suivi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qui permettent une telle évaluation sont également difficiles à mettre en place. Le groupe a convenu qu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il existait une tendance à privilégier les indicateurs quantitatifs, mais que ceux-ci ne suffisaient pas pour raconter les changements qui se produisent dans les contextes 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des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communaut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és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 au cours de la mise en œuvre des activités de sauvegarde. </w:t>
            </w:r>
          </w:p>
          <w:p w14:paraId="764A8302" w14:textId="4B6C1A4E" w:rsidR="004D2B6E" w:rsidRDefault="00DA5881" w:rsidP="00DA58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En outre, la section 4 et la section 8 (concernant respectivement les critères P.4 et P.8) sont difficiles à différencier et peuvent se chevaucher. </w:t>
            </w:r>
          </w:p>
          <w:p w14:paraId="2F5AAF11" w14:textId="0BC9DE7B" w:rsidR="004D2B6E" w:rsidRDefault="00DA5881" w:rsidP="00DA58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La section 2, qui traite du critère P.2, était superflue, étant donné que les efforts de coordination font partie de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efficacité du programme (section 4) et que ces efforts de coordination peuvent également être étendus grâce à la volonté de collaborer, qui est abordée à la section 7.  </w:t>
            </w:r>
          </w:p>
          <w:p w14:paraId="46E6A885" w14:textId="5A68C22A" w:rsidR="004D2B6E" w:rsidRPr="0089321E" w:rsidRDefault="006049C6" w:rsidP="0089321E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La section 5, qui se rapporte au critère P.5 relatif à la participation de la communauté, a été considérée comme la section la plus importante du formulaire ICH-03, en particulier dans le cadre de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article 15 de la Convention de 2003. </w:t>
            </w:r>
          </w:p>
          <w:p w14:paraId="3B61AABC" w14:textId="468AE056" w:rsidR="00D42DAA" w:rsidRDefault="0089321E" w:rsidP="00DA58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Le formulaire ICH-03 peut être simplifié en fusionnant les sections 4 et 8 (P.4 et P.8). En effet,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efficacité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un programme ou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un projet peut être décrite dans le cadre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indicateurs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évaluation.</w:t>
            </w:r>
          </w:p>
          <w:p w14:paraId="56EA5027" w14:textId="5E9F20C6" w:rsidR="004D2B6E" w:rsidRDefault="00D42DAA" w:rsidP="00DA588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En outre, les sections 2 et 6 (critères P.2 et P.6) peuvent également être fusionnées, étant donné que les efforts de coordination à des niveaux supérieurs au niveau national reflètent la capacité du programme ou du projet à fonctionner comme un modèle. </w:t>
            </w:r>
          </w:p>
          <w:p w14:paraId="03249B2F" w14:textId="518AED29" w:rsidR="005E0F41" w:rsidRDefault="005E0F41" w:rsidP="005E0F4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lastRenderedPageBreak/>
              <w:t>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importance du critère P.1 a été soulignée au cours de la discussion. Toutefois, cette description doit s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inscrire dans le cadre des objectifs et des principes de la Convention de 2003.</w:t>
            </w:r>
          </w:p>
          <w:p w14:paraId="60702B1E" w14:textId="5B9095EE" w:rsidR="005E0F41" w:rsidRPr="004743E0" w:rsidRDefault="005E0F41" w:rsidP="005E0F4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Il a donc été proposé de fusionner les sections 1 et 3, de sorte que la description porte directement sur la manière dont le programme ou le projet répond aux objectifs de la Convention de 2003. </w:t>
            </w:r>
          </w:p>
          <w:p w14:paraId="3C0CE5BE" w14:textId="77777777" w:rsidR="005B355F" w:rsidRDefault="005B355F" w:rsidP="005B355F">
            <w:pPr>
              <w:pStyle w:val="ListParagraph"/>
              <w:ind w:left="144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9BDA948" w14:textId="59B91B2E" w:rsidR="004D2B6E" w:rsidRPr="00CE11EC" w:rsidRDefault="004D2B6E" w:rsidP="00CE11E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>Comment pouvons-nous rendre le Registre plus visible pour les personnes qui cherchent à s</w:t>
            </w:r>
            <w:r w:rsidR="006F357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 xml:space="preserve">inspirer des expériences de sauvegarde ? </w:t>
            </w:r>
          </w:p>
          <w:p w14:paraId="3A2D55A4" w14:textId="28FFFB9A" w:rsidR="0045509D" w:rsidRDefault="00835697" w:rsidP="0045509D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La question de la visibilité du Registre, pour qu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il fonctionne comme une ressource pour les personnes qui s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engagent dans la sauvegarde du PCI, pourrait être résolue en améliorant la capacité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action des ONG et des communautés, en particulier dans le cadre des efforts de renforcement des capacités. </w:t>
            </w:r>
          </w:p>
          <w:p w14:paraId="513E92F2" w14:textId="1495A0B7" w:rsidR="0045509D" w:rsidRDefault="00835697" w:rsidP="0045509D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Les programmes de formation doivent être destinés aux ONG, aux communautés et aux réseaux de base, et doivent être 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menés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par des ONG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 accréditées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 et des communautés. Cet accent mis sur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agence des communautés et des ONG augmenterait la visibilité des pratiques de sauvegarde dans le Registre, car elles sont les principales parties prenantes des programmes et projets inscrits. </w:t>
            </w:r>
          </w:p>
          <w:p w14:paraId="0CD30A41" w14:textId="4B43364A" w:rsidR="00D85F28" w:rsidRDefault="0045509D" w:rsidP="0045509D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éducation formelle et non formelle sont également des canaux fondamentaux pour sensibiliser au Registre, notamment en utilisant des ressources numériques et en ligne. </w:t>
            </w:r>
          </w:p>
          <w:p w14:paraId="19D201E2" w14:textId="03294958" w:rsidR="00D85F28" w:rsidRDefault="00D85F28" w:rsidP="0045509D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observatoire en ligne, enrichi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outils tels que des podcasts et des projets transmédias, a été considéré comme une avancée positive en termes de sensibilisation au Registre et aux expériences de sauvegarde en général.   </w:t>
            </w:r>
          </w:p>
          <w:p w14:paraId="2BCD0E64" w14:textId="627F542B" w:rsidR="0040253F" w:rsidRDefault="00D85F28" w:rsidP="0045509D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Les efforts de communication et de sensibilisation déployés par le Secrétariat, les États parties et les autres parties prenantes à la Convention de 2003 doivent se concentrer davantage sur les activités de sauvegarde menées à différents niveaux de la mise en œuvre de la Convention de 2003, et sur les programmes et projets inscrits dans le Registre. </w:t>
            </w:r>
          </w:p>
          <w:p w14:paraId="5FD54338" w14:textId="77777777" w:rsidR="005E0F41" w:rsidRPr="005E0F41" w:rsidRDefault="005E0F41" w:rsidP="005E0F41">
            <w:pPr>
              <w:ind w:left="108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FE729DB" w14:textId="3B0A921F" w:rsidR="004D2B6E" w:rsidRPr="00D43771" w:rsidRDefault="0040253F" w:rsidP="00D4377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>Comment pouvons-nous promouvoir la présentation d</w:t>
            </w:r>
            <w:r w:rsidR="006F357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>un plus grand nombre de propositions d</w:t>
            </w:r>
            <w:r w:rsidR="006F357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 xml:space="preserve">inscription au Registre au nom des États parties ? </w:t>
            </w:r>
          </w:p>
          <w:p w14:paraId="140C9B05" w14:textId="3F2877CF" w:rsidR="00835697" w:rsidRDefault="000E04D6" w:rsidP="00D4377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Le Comité intergouvernemental pourrait lancer des appels à propositions thématiques spécifiques pour le Registre, comme indiqué à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article 18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.1,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 en s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inspirant des réflexions suscitées par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évaluation des résultats du processus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établissement des rapports périodiques. Les thèmes de sauvegarde peuvent être identifiés lors de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analyse des lacunes ou des opportunités mises en évidence par les rapports périodiques.</w:t>
            </w:r>
          </w:p>
          <w:p w14:paraId="4A245476" w14:textId="3E8D59B0" w:rsidR="00146F8F" w:rsidRDefault="006F3570" w:rsidP="00D4377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D</w:t>
            </w:r>
            <w:r w:rsidR="00835697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es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orientations</w:t>
            </w:r>
            <w:r w:rsidR="00835697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 pour la préparation des propositions pour le Registre devraient être plus visibles et plus faciles à utiliser pour les États parties et les parties prenantes. </w:t>
            </w:r>
          </w:p>
          <w:p w14:paraId="2363E651" w14:textId="4FB6991E" w:rsidR="00835697" w:rsidRPr="005B355F" w:rsidRDefault="00146F8F" w:rsidP="005B355F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En outre, le Registre doit être plus accessible, avec une meilleure présentation sur le site Web du PCI de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UNESCO. </w:t>
            </w:r>
          </w:p>
          <w:p w14:paraId="5F36EC38" w14:textId="2B1CE81F" w:rsidR="00835697" w:rsidRDefault="00835697" w:rsidP="00D4377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Le matériel de renforcement des capacités doit intégrer davantage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exemples tirés du Registre.</w:t>
            </w:r>
          </w:p>
          <w:p w14:paraId="10746A86" w14:textId="62BD8CDA" w:rsidR="00835697" w:rsidRPr="005B355F" w:rsidRDefault="00835697" w:rsidP="005B355F">
            <w:pPr>
              <w:ind w:left="108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3ECBC52" w14:textId="0F01A709" w:rsidR="0040253F" w:rsidRPr="00D12C51" w:rsidRDefault="0040253F" w:rsidP="005B355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 xml:space="preserve">Comment améliorer le suivi et </w:t>
            </w:r>
            <w:r w:rsidR="00251472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>le contrôle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fr"/>
              </w:rPr>
              <w:t xml:space="preserve"> du Registre ?</w:t>
            </w:r>
          </w:p>
          <w:p w14:paraId="132B63DD" w14:textId="4D71B978" w:rsidR="00835697" w:rsidRPr="009717DB" w:rsidRDefault="009717DB" w:rsidP="009717DB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Le suivi des inscriptions au Registre pourrait être intégré dans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exercice de rapport périodique, puisque le formulaire ne le mentionne pas explicitement. </w:t>
            </w:r>
          </w:p>
          <w:p w14:paraId="4572ECDB" w14:textId="539A5853" w:rsidR="00835697" w:rsidRPr="009717DB" w:rsidRDefault="00601514" w:rsidP="00D12C5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Toutefois, il a été indiqué que les rapports périodiques n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étaient pas encore très visibles et qu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ils reposaient sur un cycle très long. </w:t>
            </w:r>
          </w:p>
          <w:p w14:paraId="5903F27D" w14:textId="72EC841E" w:rsidR="009717DB" w:rsidRDefault="009717DB" w:rsidP="00D12C5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Une forme de reconnaissance publique pour les États parties qui s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engagent et promeuvent les bonnes pratiques de sauvegarde pourrait être un moyen de promouvoir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intérêt pour le contrôle ou le suivi des résultats des bonnes pratiques de sauvegarde.</w:t>
            </w:r>
          </w:p>
          <w:p w14:paraId="37695E57" w14:textId="00E39A41" w:rsidR="00F243D4" w:rsidRPr="007D78E9" w:rsidRDefault="00F243D4" w:rsidP="007D78E9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Toutefois, un point a été soulevé, à savoir que le fait de parrainer une compétition dans le cadre de la Convention de 2003 n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était pas conforme à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esprit de cette dernière, qui repose sur la coopération et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échange. Néanmoins, la compétitivité pourrait être canalisée vers quelque chose de positif.   </w:t>
            </w:r>
          </w:p>
          <w:p w14:paraId="2CBCB9FB" w14:textId="69858DF7" w:rsidR="00F243D4" w:rsidRDefault="00F243D4" w:rsidP="00D12C5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Le formulaire ICH-03 doit comporter une section relative à ce qu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il se passera à l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avenir avec le programme ou le projet, qui pourrait être liée à la manière dont le programme ou le projet promeut les ODD.  </w:t>
            </w:r>
          </w:p>
          <w:p w14:paraId="603F6DA1" w14:textId="2F1FE9DF" w:rsidR="00AE506B" w:rsidRDefault="00F243D4" w:rsidP="00D12C5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Au lieu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un suivi écrit, une présentation orale dans le cadre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un forum ou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une conférence mondiale pourrait susciter un intérêt pour la préparation de rapports d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évaluation des programmes et projets inscrits dans le Registre. </w:t>
            </w:r>
          </w:p>
          <w:p w14:paraId="500C2806" w14:textId="77777777" w:rsidR="00E4308B" w:rsidRDefault="00AE506B" w:rsidP="00E4308B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La présentation dans le cadre de ce forum ou de cette conférence devrait être menée par des représentants des communautés. </w:t>
            </w:r>
          </w:p>
          <w:p w14:paraId="4857CBC7" w14:textId="5D31FF40" w:rsidR="00F243D4" w:rsidRDefault="00E4308B" w:rsidP="00D12C5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Le concept de suivi est considéré comme plus approprié que </w:t>
            </w:r>
            <w:r w:rsidR="00251472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le contrôle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 lorsqu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il s</w:t>
            </w:r>
            <w:r w:rsidR="006F3570"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agit du Registre. </w:t>
            </w:r>
          </w:p>
          <w:p w14:paraId="135DF352" w14:textId="448F262E" w:rsidR="00F243D4" w:rsidRDefault="00F243D4" w:rsidP="00D12C5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fr"/>
              </w:rPr>
              <w:t xml:space="preserve">Le terme « contrôle » peut avoir une connotation négative pour les communautés. </w:t>
            </w:r>
          </w:p>
          <w:p w14:paraId="6128B425" w14:textId="34D2F4E9" w:rsidR="00F243D4" w:rsidRPr="000C73F3" w:rsidRDefault="00F243D4" w:rsidP="000C73F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263382B4" w14:textId="48B34BF2" w:rsidR="00175021" w:rsidRDefault="00175021"/>
    <w:sectPr w:rsidR="00175021" w:rsidSect="00655736">
      <w:headerReference w:type="default" r:id="rId8"/>
      <w:headerReference w:type="first" r:id="rId9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80C1" w14:textId="77777777" w:rsidR="006F72A6" w:rsidRDefault="006F72A6" w:rsidP="00655736">
      <w:r>
        <w:separator/>
      </w:r>
    </w:p>
  </w:endnote>
  <w:endnote w:type="continuationSeparator" w:id="0">
    <w:p w14:paraId="169584E7" w14:textId="77777777" w:rsidR="006F72A6" w:rsidRDefault="006F72A6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D3F4" w14:textId="77777777" w:rsidR="006F72A6" w:rsidRDefault="006F72A6" w:rsidP="00655736">
      <w:r>
        <w:separator/>
      </w:r>
    </w:p>
  </w:footnote>
  <w:footnote w:type="continuationSeparator" w:id="0">
    <w:p w14:paraId="34B33120" w14:textId="77777777" w:rsidR="006F72A6" w:rsidRDefault="006F72A6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7D36CC71" w:rsidR="00D95C4C" w:rsidRPr="0063300C" w:rsidRDefault="00D95C4C" w:rsidP="00C5776D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3D88A345" w:rsidR="00D95C4C" w:rsidRPr="00E95AE2" w:rsidRDefault="00D95C4C">
    <w:pPr>
      <w:pStyle w:val="Header"/>
      <w:rPr>
        <w:sz w:val="22"/>
        <w:szCs w:val="22"/>
      </w:rPr>
    </w:pPr>
  </w:p>
  <w:p w14:paraId="5F355250" w14:textId="52C1C2DA" w:rsidR="004E1760" w:rsidRPr="00D7105A" w:rsidRDefault="00832163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61312" behindDoc="0" locked="0" layoutInCell="1" allowOverlap="1" wp14:anchorId="070B33F8" wp14:editId="6F69B953">
          <wp:simplePos x="0" y="0"/>
          <wp:positionH relativeFrom="column">
            <wp:posOffset>0</wp:posOffset>
          </wp:positionH>
          <wp:positionV relativeFrom="paragraph">
            <wp:posOffset>58420</wp:posOffset>
          </wp:positionV>
          <wp:extent cx="1657350" cy="139192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F11">
      <w:rPr>
        <w:rFonts w:ascii="Arial" w:hAnsi="Arial" w:cs="Arial"/>
        <w:b/>
        <w:bCs/>
        <w:sz w:val="44"/>
        <w:szCs w:val="44"/>
        <w:lang w:val="fr"/>
      </w:rPr>
      <w:t>EXP ART18</w:t>
    </w:r>
  </w:p>
  <w:p w14:paraId="3C4B8B1B" w14:textId="77777777" w:rsidR="00D95C4C" w:rsidRPr="00151E44" w:rsidRDefault="00D95C4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8123CA"/>
    <w:multiLevelType w:val="hybridMultilevel"/>
    <w:tmpl w:val="536601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36438"/>
    <w:multiLevelType w:val="hybridMultilevel"/>
    <w:tmpl w:val="E780D164"/>
    <w:lvl w:ilvl="0" w:tplc="61F8E5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5980658">
    <w:abstractNumId w:val="11"/>
  </w:num>
  <w:num w:numId="2" w16cid:durableId="106117979">
    <w:abstractNumId w:val="5"/>
  </w:num>
  <w:num w:numId="3" w16cid:durableId="1708022341">
    <w:abstractNumId w:val="1"/>
  </w:num>
  <w:num w:numId="4" w16cid:durableId="1640528508">
    <w:abstractNumId w:val="13"/>
  </w:num>
  <w:num w:numId="5" w16cid:durableId="468011579">
    <w:abstractNumId w:val="12"/>
  </w:num>
  <w:num w:numId="6" w16cid:durableId="577862344">
    <w:abstractNumId w:val="0"/>
  </w:num>
  <w:num w:numId="7" w16cid:durableId="309292972">
    <w:abstractNumId w:val="2"/>
  </w:num>
  <w:num w:numId="8" w16cid:durableId="415399052">
    <w:abstractNumId w:val="10"/>
  </w:num>
  <w:num w:numId="9" w16cid:durableId="217087148">
    <w:abstractNumId w:val="4"/>
  </w:num>
  <w:num w:numId="10" w16cid:durableId="347945616">
    <w:abstractNumId w:val="6"/>
  </w:num>
  <w:num w:numId="11" w16cid:durableId="1867675660">
    <w:abstractNumId w:val="9"/>
  </w:num>
  <w:num w:numId="12" w16cid:durableId="1119109097">
    <w:abstractNumId w:val="7"/>
  </w:num>
  <w:num w:numId="13" w16cid:durableId="1445689247">
    <w:abstractNumId w:val="14"/>
  </w:num>
  <w:num w:numId="14" w16cid:durableId="8603694">
    <w:abstractNumId w:val="3"/>
  </w:num>
  <w:num w:numId="15" w16cid:durableId="1117682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48ED"/>
    <w:rsid w:val="00014915"/>
    <w:rsid w:val="00041A66"/>
    <w:rsid w:val="00042D88"/>
    <w:rsid w:val="0005176E"/>
    <w:rsid w:val="00054F30"/>
    <w:rsid w:val="000765F7"/>
    <w:rsid w:val="00077AB7"/>
    <w:rsid w:val="00081CD8"/>
    <w:rsid w:val="00091385"/>
    <w:rsid w:val="000A7F0E"/>
    <w:rsid w:val="000B1C8F"/>
    <w:rsid w:val="000C0D61"/>
    <w:rsid w:val="000C73F3"/>
    <w:rsid w:val="000D1A0C"/>
    <w:rsid w:val="000E04D6"/>
    <w:rsid w:val="000F3A3F"/>
    <w:rsid w:val="00102557"/>
    <w:rsid w:val="00146F8F"/>
    <w:rsid w:val="00151E44"/>
    <w:rsid w:val="001649F2"/>
    <w:rsid w:val="00164D56"/>
    <w:rsid w:val="00167B10"/>
    <w:rsid w:val="0017402F"/>
    <w:rsid w:val="00175021"/>
    <w:rsid w:val="00190205"/>
    <w:rsid w:val="00196C1B"/>
    <w:rsid w:val="001B0F73"/>
    <w:rsid w:val="001C2DB7"/>
    <w:rsid w:val="001D14FE"/>
    <w:rsid w:val="001D5C04"/>
    <w:rsid w:val="001F26CF"/>
    <w:rsid w:val="001F4E62"/>
    <w:rsid w:val="00200485"/>
    <w:rsid w:val="00202887"/>
    <w:rsid w:val="00222A2D"/>
    <w:rsid w:val="00223029"/>
    <w:rsid w:val="00234745"/>
    <w:rsid w:val="002351A6"/>
    <w:rsid w:val="002407AF"/>
    <w:rsid w:val="00251472"/>
    <w:rsid w:val="0026221A"/>
    <w:rsid w:val="0027466B"/>
    <w:rsid w:val="002838A5"/>
    <w:rsid w:val="00285BB4"/>
    <w:rsid w:val="002926E4"/>
    <w:rsid w:val="002C09E3"/>
    <w:rsid w:val="002C1236"/>
    <w:rsid w:val="002D1244"/>
    <w:rsid w:val="0031456C"/>
    <w:rsid w:val="00337AAB"/>
    <w:rsid w:val="00337CEB"/>
    <w:rsid w:val="00344B58"/>
    <w:rsid w:val="0034539A"/>
    <w:rsid w:val="00345CB4"/>
    <w:rsid w:val="00350B60"/>
    <w:rsid w:val="00357D3D"/>
    <w:rsid w:val="00360422"/>
    <w:rsid w:val="00375D42"/>
    <w:rsid w:val="003A29A5"/>
    <w:rsid w:val="003B7522"/>
    <w:rsid w:val="003C3534"/>
    <w:rsid w:val="003C7125"/>
    <w:rsid w:val="003D069C"/>
    <w:rsid w:val="003D7646"/>
    <w:rsid w:val="003F113A"/>
    <w:rsid w:val="003F3E63"/>
    <w:rsid w:val="0040253F"/>
    <w:rsid w:val="00407480"/>
    <w:rsid w:val="00414643"/>
    <w:rsid w:val="00420CEF"/>
    <w:rsid w:val="004421E5"/>
    <w:rsid w:val="00452284"/>
    <w:rsid w:val="0045509D"/>
    <w:rsid w:val="00457C8E"/>
    <w:rsid w:val="004666CE"/>
    <w:rsid w:val="004743E0"/>
    <w:rsid w:val="00475A25"/>
    <w:rsid w:val="00481405"/>
    <w:rsid w:val="004856CA"/>
    <w:rsid w:val="00487E67"/>
    <w:rsid w:val="0049705E"/>
    <w:rsid w:val="004A2875"/>
    <w:rsid w:val="004A34A0"/>
    <w:rsid w:val="004C7C82"/>
    <w:rsid w:val="004D2B6E"/>
    <w:rsid w:val="004E1760"/>
    <w:rsid w:val="005008A8"/>
    <w:rsid w:val="00517FD8"/>
    <w:rsid w:val="00526B7B"/>
    <w:rsid w:val="005308CE"/>
    <w:rsid w:val="0053318C"/>
    <w:rsid w:val="00550338"/>
    <w:rsid w:val="0057439C"/>
    <w:rsid w:val="005B0127"/>
    <w:rsid w:val="005B355F"/>
    <w:rsid w:val="005B7A35"/>
    <w:rsid w:val="005C4B73"/>
    <w:rsid w:val="005D3AD9"/>
    <w:rsid w:val="005E0F41"/>
    <w:rsid w:val="005E1D2B"/>
    <w:rsid w:val="005E5E18"/>
    <w:rsid w:val="005E7074"/>
    <w:rsid w:val="005F2BAF"/>
    <w:rsid w:val="00600D93"/>
    <w:rsid w:val="00601514"/>
    <w:rsid w:val="006049C6"/>
    <w:rsid w:val="00626BEA"/>
    <w:rsid w:val="0063300C"/>
    <w:rsid w:val="00637250"/>
    <w:rsid w:val="00651A5B"/>
    <w:rsid w:val="00655736"/>
    <w:rsid w:val="00656A6B"/>
    <w:rsid w:val="00662C61"/>
    <w:rsid w:val="00663B8D"/>
    <w:rsid w:val="00673D2E"/>
    <w:rsid w:val="00696C8D"/>
    <w:rsid w:val="006A2AC2"/>
    <w:rsid w:val="006A3617"/>
    <w:rsid w:val="006B4452"/>
    <w:rsid w:val="006E46E4"/>
    <w:rsid w:val="006E75EB"/>
    <w:rsid w:val="006F3570"/>
    <w:rsid w:val="006F72A6"/>
    <w:rsid w:val="00717DA5"/>
    <w:rsid w:val="00744484"/>
    <w:rsid w:val="00747566"/>
    <w:rsid w:val="00773188"/>
    <w:rsid w:val="00783782"/>
    <w:rsid w:val="00784B8C"/>
    <w:rsid w:val="007879E1"/>
    <w:rsid w:val="007B705A"/>
    <w:rsid w:val="007D78E9"/>
    <w:rsid w:val="007E31FD"/>
    <w:rsid w:val="007F4E3D"/>
    <w:rsid w:val="0080312B"/>
    <w:rsid w:val="00823A11"/>
    <w:rsid w:val="00832163"/>
    <w:rsid w:val="00835697"/>
    <w:rsid w:val="0085188D"/>
    <w:rsid w:val="0085405E"/>
    <w:rsid w:val="0085414A"/>
    <w:rsid w:val="00857EB9"/>
    <w:rsid w:val="0086269D"/>
    <w:rsid w:val="0086543A"/>
    <w:rsid w:val="008724E5"/>
    <w:rsid w:val="00884A9D"/>
    <w:rsid w:val="0088512B"/>
    <w:rsid w:val="00892F7D"/>
    <w:rsid w:val="0089321E"/>
    <w:rsid w:val="0089490D"/>
    <w:rsid w:val="008A2B2D"/>
    <w:rsid w:val="008A4E1E"/>
    <w:rsid w:val="008C296C"/>
    <w:rsid w:val="008D4305"/>
    <w:rsid w:val="008E14B4"/>
    <w:rsid w:val="008E1A85"/>
    <w:rsid w:val="009163A7"/>
    <w:rsid w:val="00946D0B"/>
    <w:rsid w:val="00955877"/>
    <w:rsid w:val="00956457"/>
    <w:rsid w:val="00962034"/>
    <w:rsid w:val="009717DB"/>
    <w:rsid w:val="009A18CD"/>
    <w:rsid w:val="009D5428"/>
    <w:rsid w:val="00A11B0D"/>
    <w:rsid w:val="00A12558"/>
    <w:rsid w:val="00A13903"/>
    <w:rsid w:val="00A26AF7"/>
    <w:rsid w:val="00A34ED5"/>
    <w:rsid w:val="00A45DBF"/>
    <w:rsid w:val="00A50FFA"/>
    <w:rsid w:val="00A53F11"/>
    <w:rsid w:val="00A725CF"/>
    <w:rsid w:val="00A755A2"/>
    <w:rsid w:val="00A82359"/>
    <w:rsid w:val="00AA6660"/>
    <w:rsid w:val="00AB2C36"/>
    <w:rsid w:val="00AB6DDE"/>
    <w:rsid w:val="00AB70B6"/>
    <w:rsid w:val="00AD1A86"/>
    <w:rsid w:val="00AE103E"/>
    <w:rsid w:val="00AE506B"/>
    <w:rsid w:val="00AE7619"/>
    <w:rsid w:val="00AF0A07"/>
    <w:rsid w:val="00AF4AEC"/>
    <w:rsid w:val="00AF625E"/>
    <w:rsid w:val="00AF70EC"/>
    <w:rsid w:val="00B139BE"/>
    <w:rsid w:val="00B2172B"/>
    <w:rsid w:val="00B22069"/>
    <w:rsid w:val="00B64462"/>
    <w:rsid w:val="00B722B8"/>
    <w:rsid w:val="00B90EA4"/>
    <w:rsid w:val="00B9146E"/>
    <w:rsid w:val="00B917D2"/>
    <w:rsid w:val="00BA241A"/>
    <w:rsid w:val="00BB04AF"/>
    <w:rsid w:val="00BD52C9"/>
    <w:rsid w:val="00BE6354"/>
    <w:rsid w:val="00C138D1"/>
    <w:rsid w:val="00C22B32"/>
    <w:rsid w:val="00C23A97"/>
    <w:rsid w:val="00C25B18"/>
    <w:rsid w:val="00C51390"/>
    <w:rsid w:val="00C52EBE"/>
    <w:rsid w:val="00C5776D"/>
    <w:rsid w:val="00C64855"/>
    <w:rsid w:val="00C70EA7"/>
    <w:rsid w:val="00C7433F"/>
    <w:rsid w:val="00C7516E"/>
    <w:rsid w:val="00C75374"/>
    <w:rsid w:val="00C75770"/>
    <w:rsid w:val="00CA56BB"/>
    <w:rsid w:val="00CB0542"/>
    <w:rsid w:val="00CC292C"/>
    <w:rsid w:val="00CE11EC"/>
    <w:rsid w:val="00D00B2B"/>
    <w:rsid w:val="00D12C51"/>
    <w:rsid w:val="00D24877"/>
    <w:rsid w:val="00D276DC"/>
    <w:rsid w:val="00D30018"/>
    <w:rsid w:val="00D42DAA"/>
    <w:rsid w:val="00D43771"/>
    <w:rsid w:val="00D45B81"/>
    <w:rsid w:val="00D53E1F"/>
    <w:rsid w:val="00D7105A"/>
    <w:rsid w:val="00D8250F"/>
    <w:rsid w:val="00D85F28"/>
    <w:rsid w:val="00D86BB3"/>
    <w:rsid w:val="00D95C4C"/>
    <w:rsid w:val="00DA36ED"/>
    <w:rsid w:val="00DA5881"/>
    <w:rsid w:val="00DB48FE"/>
    <w:rsid w:val="00DD4BFB"/>
    <w:rsid w:val="00DE34F1"/>
    <w:rsid w:val="00DE6160"/>
    <w:rsid w:val="00DF4942"/>
    <w:rsid w:val="00E019FC"/>
    <w:rsid w:val="00E11FBC"/>
    <w:rsid w:val="00E16EFD"/>
    <w:rsid w:val="00E2125F"/>
    <w:rsid w:val="00E244E1"/>
    <w:rsid w:val="00E4150C"/>
    <w:rsid w:val="00E4308B"/>
    <w:rsid w:val="00E56755"/>
    <w:rsid w:val="00E627B1"/>
    <w:rsid w:val="00E668F7"/>
    <w:rsid w:val="00E70169"/>
    <w:rsid w:val="00E84674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F02CB9"/>
    <w:rsid w:val="00F101B8"/>
    <w:rsid w:val="00F243D4"/>
    <w:rsid w:val="00F30DC6"/>
    <w:rsid w:val="00F32C23"/>
    <w:rsid w:val="00F53DE9"/>
    <w:rsid w:val="00F56FA1"/>
    <w:rsid w:val="00F576CB"/>
    <w:rsid w:val="00F60DA0"/>
    <w:rsid w:val="00F7035D"/>
    <w:rsid w:val="00F71A02"/>
    <w:rsid w:val="00F85A71"/>
    <w:rsid w:val="00F92792"/>
    <w:rsid w:val="00FA0D63"/>
    <w:rsid w:val="00FB1F8D"/>
    <w:rsid w:val="00FB5F83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2875"/>
    <w:pPr>
      <w:ind w:left="720"/>
      <w:contextualSpacing/>
    </w:pPr>
  </w:style>
  <w:style w:type="paragraph" w:styleId="Revision">
    <w:name w:val="Revision"/>
    <w:hidden/>
    <w:uiPriority w:val="99"/>
    <w:semiHidden/>
    <w:rsid w:val="008321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55</TotalTime>
  <Pages>4</Pages>
  <Words>1340</Words>
  <Characters>7370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30</cp:revision>
  <cp:lastPrinted>2011-08-06T10:22:00Z</cp:lastPrinted>
  <dcterms:created xsi:type="dcterms:W3CDTF">2023-04-20T08:40:00Z</dcterms:created>
  <dcterms:modified xsi:type="dcterms:W3CDTF">2023-06-06T13:50:00Z</dcterms:modified>
</cp:coreProperties>
</file>