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CA00" w14:textId="77777777" w:rsidR="00FB5F83" w:rsidRDefault="00FB5F83" w:rsidP="00FB5F83">
      <w:pPr>
        <w:rPr>
          <w:rFonts w:ascii="Arial" w:hAnsi="Arial" w:cs="Arial"/>
          <w:b/>
          <w:sz w:val="22"/>
          <w:szCs w:val="22"/>
          <w:lang w:val="en-GB"/>
        </w:rPr>
      </w:pPr>
    </w:p>
    <w:p w14:paraId="3609B8AF" w14:textId="77777777" w:rsidR="007F4E3D" w:rsidRDefault="007F4E3D" w:rsidP="00175021">
      <w:pPr>
        <w:tabs>
          <w:tab w:val="left" w:pos="2610"/>
        </w:tabs>
        <w:spacing w:before="840"/>
        <w:ind w:left="3510" w:hanging="3150"/>
        <w:rPr>
          <w:rFonts w:ascii="Arial" w:hAnsi="Arial" w:cs="Arial"/>
          <w:b/>
          <w:sz w:val="22"/>
          <w:szCs w:val="22"/>
          <w:lang w:val="en-GB"/>
        </w:rPr>
      </w:pPr>
    </w:p>
    <w:p w14:paraId="37F7F120" w14:textId="77777777" w:rsidR="00B225F4" w:rsidRDefault="00B225F4" w:rsidP="00B225F4">
      <w:pPr>
        <w:tabs>
          <w:tab w:val="left" w:pos="2610"/>
        </w:tabs>
        <w:spacing w:before="840"/>
        <w:jc w:val="center"/>
        <w:rPr>
          <w:rFonts w:ascii="Arial" w:hAnsi="Arial" w:cs="Arial"/>
          <w:b/>
          <w:sz w:val="22"/>
          <w:szCs w:val="22"/>
          <w:lang w:val="en-GB"/>
        </w:rPr>
      </w:pPr>
      <w:bookmarkStart w:id="0" w:name="_Hlk70514086"/>
      <w:r w:rsidRPr="00293C60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293C60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3DEA341D" w14:textId="77777777" w:rsidR="00B225F4" w:rsidRDefault="00B225F4" w:rsidP="00B225F4">
      <w:pPr>
        <w:spacing w:before="1200"/>
        <w:ind w:firstLine="180"/>
        <w:jc w:val="center"/>
        <w:rPr>
          <w:rFonts w:ascii="Arial" w:eastAsia="Calibri" w:hAnsi="Arial" w:cs="Arial"/>
          <w:b/>
          <w:bCs/>
          <w:sz w:val="22"/>
          <w:szCs w:val="22"/>
          <w:lang w:val="en-US"/>
        </w:rPr>
      </w:pPr>
      <w:r w:rsidRPr="00091385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Expert meeting in the framework of the reflection </w:t>
      </w:r>
      <w:r>
        <w:rPr>
          <w:rFonts w:ascii="Arial" w:eastAsia="Calibri" w:hAnsi="Arial" w:cs="Arial"/>
          <w:b/>
          <w:bCs/>
          <w:sz w:val="22"/>
          <w:szCs w:val="22"/>
          <w:lang w:val="en-US"/>
        </w:rPr>
        <w:t>on</w:t>
      </w:r>
      <w:r w:rsidRPr="00091385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 </w:t>
      </w:r>
      <w:r w:rsidRPr="00C414F3">
        <w:rPr>
          <w:rFonts w:ascii="Arial" w:eastAsia="Calibri" w:hAnsi="Arial" w:cs="Arial"/>
          <w:b/>
          <w:bCs/>
          <w:sz w:val="22"/>
          <w:szCs w:val="22"/>
          <w:lang w:val="en-US"/>
        </w:rPr>
        <w:t>a</w:t>
      </w:r>
    </w:p>
    <w:p w14:paraId="5CDE0E0E" w14:textId="77777777" w:rsidR="00B225F4" w:rsidRDefault="00B225F4" w:rsidP="00B225F4">
      <w:pPr>
        <w:jc w:val="center"/>
        <w:rPr>
          <w:rFonts w:ascii="Arial" w:eastAsia="Calibri" w:hAnsi="Arial" w:cs="Arial"/>
          <w:b/>
          <w:bCs/>
          <w:sz w:val="22"/>
          <w:szCs w:val="22"/>
          <w:lang w:val="en-US"/>
        </w:rPr>
      </w:pPr>
      <w:r w:rsidRPr="00091385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 broader implementation of Article 18 of the 2003 Convention</w:t>
      </w:r>
    </w:p>
    <w:p w14:paraId="4DCE20E7" w14:textId="77777777" w:rsidR="00B225F4" w:rsidRPr="00091385" w:rsidRDefault="00B225F4" w:rsidP="00B225F4">
      <w:pPr>
        <w:ind w:firstLine="181"/>
        <w:jc w:val="center"/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091385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 for the Safeguarding of the Intangible Cultural Heritage</w:t>
      </w:r>
    </w:p>
    <w:p w14:paraId="77D11462" w14:textId="7FCD63C7" w:rsidR="00B225F4" w:rsidRDefault="00B225F4" w:rsidP="00B225F4">
      <w:pPr>
        <w:spacing w:before="840"/>
        <w:ind w:left="1531" w:hanging="1531"/>
        <w:jc w:val="center"/>
        <w:rPr>
          <w:rFonts w:ascii="Arial" w:eastAsia="Calibri" w:hAnsi="Arial" w:cs="Arial"/>
          <w:b/>
          <w:bCs/>
          <w:sz w:val="22"/>
          <w:szCs w:val="22"/>
          <w:lang w:val="en-US"/>
        </w:rPr>
      </w:pPr>
      <w:r>
        <w:rPr>
          <w:rFonts w:ascii="Arial" w:eastAsia="Calibri" w:hAnsi="Arial" w:cs="Arial"/>
          <w:b/>
          <w:bCs/>
          <w:sz w:val="22"/>
          <w:szCs w:val="22"/>
          <w:lang w:val="en-US"/>
        </w:rPr>
        <w:t>BREAKOUT GROUP REPORT</w:t>
      </w:r>
    </w:p>
    <w:p w14:paraId="2E41E74B" w14:textId="77777777" w:rsidR="00D222C8" w:rsidRDefault="00D222C8" w:rsidP="00D222C8">
      <w:pPr>
        <w:jc w:val="center"/>
        <w:rPr>
          <w:rFonts w:ascii="Arial" w:eastAsia="Calibri" w:hAnsi="Arial" w:cs="Arial"/>
          <w:b/>
          <w:bCs/>
          <w:sz w:val="22"/>
          <w:szCs w:val="22"/>
          <w:lang w:val="en-US"/>
        </w:rPr>
      </w:pPr>
      <w:r>
        <w:rPr>
          <w:rFonts w:ascii="Arial" w:eastAsia="Calibri" w:hAnsi="Arial" w:cs="Arial"/>
          <w:b/>
          <w:bCs/>
          <w:sz w:val="22"/>
          <w:szCs w:val="22"/>
          <w:lang w:val="en-US"/>
        </w:rPr>
        <w:t>(Version 4 May 2023)</w:t>
      </w:r>
    </w:p>
    <w:p w14:paraId="46DB0FBB" w14:textId="54929564" w:rsidR="0089490D" w:rsidRPr="00091385" w:rsidRDefault="006774B6" w:rsidP="00FB5F83">
      <w:pPr>
        <w:spacing w:before="480"/>
        <w:ind w:left="1530" w:right="1448" w:firstLine="180"/>
        <w:jc w:val="center"/>
        <w:rPr>
          <w:rFonts w:ascii="Arial" w:eastAsia="Calibri" w:hAnsi="Arial" w:cs="Arial"/>
          <w:b/>
          <w:bCs/>
          <w:sz w:val="22"/>
          <w:szCs w:val="22"/>
          <w:lang w:val="en-US"/>
        </w:rPr>
      </w:pPr>
      <w:r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Topic 2 – </w:t>
      </w:r>
      <w:r w:rsidR="0089490D">
        <w:rPr>
          <w:rFonts w:ascii="Arial" w:eastAsia="Calibri" w:hAnsi="Arial" w:cs="Arial"/>
          <w:b/>
          <w:bCs/>
          <w:sz w:val="22"/>
          <w:szCs w:val="22"/>
          <w:lang w:val="en-US"/>
        </w:rPr>
        <w:t>Group</w:t>
      </w:r>
      <w:r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 </w:t>
      </w:r>
      <w:r w:rsidR="00673D2E">
        <w:rPr>
          <w:rFonts w:ascii="Arial" w:eastAsia="Calibri" w:hAnsi="Arial" w:cs="Arial"/>
          <w:b/>
          <w:bCs/>
          <w:sz w:val="22"/>
          <w:szCs w:val="22"/>
          <w:lang w:val="en-US"/>
        </w:rPr>
        <w:t>A</w:t>
      </w:r>
      <w:r w:rsidR="0089490D">
        <w:rPr>
          <w:rFonts w:ascii="Arial" w:eastAsia="Calibri" w:hAnsi="Arial" w:cs="Arial"/>
          <w:b/>
          <w:bCs/>
          <w:sz w:val="22"/>
          <w:szCs w:val="22"/>
          <w:lang w:val="en-US"/>
        </w:rPr>
        <w:t xml:space="preserve"> </w:t>
      </w:r>
    </w:p>
    <w:bookmarkEnd w:id="0"/>
    <w:p w14:paraId="1FD89575" w14:textId="7209C81A" w:rsidR="00B2172B" w:rsidRPr="00B2172B" w:rsidRDefault="00B9146E" w:rsidP="00FB5F83">
      <w:pPr>
        <w:spacing w:before="48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DD4BFB">
        <w:rPr>
          <w:rFonts w:ascii="Arial" w:hAnsi="Arial" w:cs="Arial"/>
          <w:b/>
          <w:sz w:val="22"/>
          <w:szCs w:val="22"/>
          <w:lang w:val="en-GB"/>
        </w:rPr>
        <w:t>Stockholm</w:t>
      </w:r>
      <w:r w:rsidR="00962034" w:rsidRPr="00DD4BFB">
        <w:rPr>
          <w:rFonts w:ascii="Arial" w:hAnsi="Arial" w:cs="Arial"/>
          <w:b/>
          <w:sz w:val="22"/>
          <w:szCs w:val="22"/>
          <w:lang w:val="en-GB"/>
        </w:rPr>
        <w:t xml:space="preserve">, </w:t>
      </w:r>
      <w:r w:rsidRPr="00DD4BFB">
        <w:rPr>
          <w:rFonts w:ascii="Arial" w:hAnsi="Arial" w:cs="Arial"/>
          <w:b/>
          <w:sz w:val="22"/>
          <w:szCs w:val="22"/>
          <w:lang w:val="en-GB"/>
        </w:rPr>
        <w:t>Sweden</w:t>
      </w:r>
    </w:p>
    <w:p w14:paraId="45E52760" w14:textId="1447B2DF" w:rsidR="001F4E62" w:rsidRPr="0031456C" w:rsidRDefault="00B9146E" w:rsidP="0031456C">
      <w:pPr>
        <w:spacing w:after="1200"/>
        <w:jc w:val="center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1</w:t>
      </w:r>
      <w:r w:rsidR="003C3534">
        <w:rPr>
          <w:rFonts w:ascii="Arial" w:hAnsi="Arial" w:cs="Arial"/>
          <w:b/>
          <w:sz w:val="22"/>
          <w:szCs w:val="22"/>
          <w:lang w:val="en-GB"/>
        </w:rPr>
        <w:t>9</w:t>
      </w:r>
      <w:r w:rsidR="00FF44E2">
        <w:rPr>
          <w:rFonts w:ascii="Arial" w:hAnsi="Arial" w:cs="Arial"/>
          <w:b/>
          <w:sz w:val="22"/>
          <w:szCs w:val="22"/>
          <w:lang w:val="en-GB"/>
        </w:rPr>
        <w:t xml:space="preserve"> to </w:t>
      </w:r>
      <w:r>
        <w:rPr>
          <w:rFonts w:ascii="Arial" w:hAnsi="Arial" w:cs="Arial"/>
          <w:b/>
          <w:sz w:val="22"/>
          <w:szCs w:val="22"/>
          <w:lang w:val="en-GB"/>
        </w:rPr>
        <w:t>21 April</w:t>
      </w:r>
      <w:r w:rsidR="004E1760" w:rsidRPr="00A54AF9">
        <w:rPr>
          <w:rFonts w:ascii="Arial" w:hAnsi="Arial" w:cs="Arial"/>
          <w:b/>
          <w:sz w:val="22"/>
          <w:szCs w:val="22"/>
          <w:lang w:val="en-GB"/>
        </w:rPr>
        <w:t xml:space="preserve"> 202</w:t>
      </w:r>
      <w:r w:rsidR="00F56FA1">
        <w:rPr>
          <w:rFonts w:ascii="Arial" w:hAnsi="Arial" w:cs="Arial"/>
          <w:b/>
          <w:sz w:val="22"/>
          <w:szCs w:val="22"/>
          <w:lang w:val="en-GB"/>
        </w:rPr>
        <w:t>3</w:t>
      </w:r>
    </w:p>
    <w:p w14:paraId="028253B0" w14:textId="77777777" w:rsidR="00673D2E" w:rsidRPr="00F85A71" w:rsidRDefault="00673D2E" w:rsidP="00FB5F83">
      <w:pPr>
        <w:tabs>
          <w:tab w:val="left" w:pos="1320"/>
        </w:tabs>
        <w:spacing w:before="120" w:after="120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  <w:r w:rsidRPr="00F85A71">
        <w:rPr>
          <w:rFonts w:ascii="Arial" w:hAnsi="Arial" w:cs="Arial"/>
          <w:b/>
          <w:bCs/>
          <w:sz w:val="22"/>
          <w:szCs w:val="22"/>
          <w:lang w:val="en-US"/>
        </w:rPr>
        <w:t>Members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4189"/>
        <w:gridCol w:w="4814"/>
      </w:tblGrid>
      <w:tr w:rsidR="00BF0A3C" w:rsidRPr="00673D2E" w14:paraId="0321D71D" w14:textId="77777777" w:rsidTr="003364D9">
        <w:trPr>
          <w:trHeight w:val="361"/>
        </w:trPr>
        <w:tc>
          <w:tcPr>
            <w:tcW w:w="4189" w:type="dxa"/>
          </w:tcPr>
          <w:p w14:paraId="368E4019" w14:textId="77777777" w:rsidR="00BF0A3C" w:rsidRPr="00673D2E" w:rsidRDefault="00BF0A3C" w:rsidP="003364D9">
            <w:pPr>
              <w:tabs>
                <w:tab w:val="left" w:pos="1320"/>
              </w:tabs>
              <w:rPr>
                <w:sz w:val="22"/>
                <w:szCs w:val="22"/>
                <w:lang w:val="en-GB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</w:rPr>
              <w:t>Ms ALKHAMIS, Norah</w:t>
            </w:r>
          </w:p>
        </w:tc>
        <w:tc>
          <w:tcPr>
            <w:tcW w:w="4814" w:type="dxa"/>
          </w:tcPr>
          <w:p w14:paraId="0A3DE25E" w14:textId="77777777" w:rsidR="00BF0A3C" w:rsidRPr="00673D2E" w:rsidRDefault="00BF0A3C" w:rsidP="003364D9">
            <w:pPr>
              <w:tabs>
                <w:tab w:val="left" w:pos="1320"/>
              </w:tabs>
              <w:rPr>
                <w:sz w:val="22"/>
                <w:szCs w:val="22"/>
                <w:lang w:val="en-GB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</w:rPr>
              <w:t>Mr JLOK, Mustapha</w:t>
            </w:r>
          </w:p>
        </w:tc>
      </w:tr>
      <w:tr w:rsidR="00BF0A3C" w:rsidRPr="00673D2E" w14:paraId="55C372DD" w14:textId="77777777" w:rsidTr="003364D9">
        <w:trPr>
          <w:trHeight w:val="361"/>
        </w:trPr>
        <w:tc>
          <w:tcPr>
            <w:tcW w:w="4189" w:type="dxa"/>
          </w:tcPr>
          <w:p w14:paraId="44463865" w14:textId="4CF702F5" w:rsidR="00BF0A3C" w:rsidRPr="00BF0A3C" w:rsidRDefault="00BF0A3C" w:rsidP="003364D9">
            <w:pPr>
              <w:tabs>
                <w:tab w:val="left" w:pos="1320"/>
              </w:tabs>
              <w:rPr>
                <w:sz w:val="22"/>
                <w:szCs w:val="22"/>
                <w:lang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</w:rPr>
              <w:t>Ms BASKERVILLE, Ioana Otilia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0A3C">
              <w:rPr>
                <w:rFonts w:ascii="Arial" w:hAnsi="Arial" w:cs="Arial"/>
                <w:sz w:val="22"/>
                <w:szCs w:val="22"/>
              </w:rPr>
              <w:t>(Rapporteur)</w:t>
            </w:r>
          </w:p>
        </w:tc>
        <w:tc>
          <w:tcPr>
            <w:tcW w:w="4814" w:type="dxa"/>
          </w:tcPr>
          <w:p w14:paraId="54EE51C2" w14:textId="77777777" w:rsidR="00BF0A3C" w:rsidRPr="00673D2E" w:rsidRDefault="00BF0A3C" w:rsidP="003364D9">
            <w:pPr>
              <w:tabs>
                <w:tab w:val="left" w:pos="1320"/>
              </w:tabs>
              <w:rPr>
                <w:sz w:val="22"/>
                <w:szCs w:val="22"/>
                <w:lang w:val="es-ES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</w:rPr>
              <w:t>Mr KI, Léonce</w:t>
            </w:r>
          </w:p>
        </w:tc>
      </w:tr>
      <w:tr w:rsidR="00BF0A3C" w:rsidRPr="00673D2E" w14:paraId="6F2F1753" w14:textId="77777777" w:rsidTr="003364D9">
        <w:trPr>
          <w:trHeight w:val="361"/>
        </w:trPr>
        <w:tc>
          <w:tcPr>
            <w:tcW w:w="4189" w:type="dxa"/>
          </w:tcPr>
          <w:p w14:paraId="461A7DFF" w14:textId="77777777" w:rsidR="00BF0A3C" w:rsidRPr="00673D2E" w:rsidRDefault="00BF0A3C" w:rsidP="003364D9">
            <w:pPr>
              <w:tabs>
                <w:tab w:val="left" w:pos="1320"/>
              </w:tabs>
              <w:rPr>
                <w:sz w:val="22"/>
                <w:szCs w:val="22"/>
                <w:lang w:val="en-GB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</w:rPr>
              <w:t>Mr BEN SOULA, Imed</w:t>
            </w:r>
          </w:p>
        </w:tc>
        <w:tc>
          <w:tcPr>
            <w:tcW w:w="4814" w:type="dxa"/>
          </w:tcPr>
          <w:p w14:paraId="01608731" w14:textId="77777777" w:rsidR="00BF0A3C" w:rsidRPr="00673D2E" w:rsidRDefault="00BF0A3C" w:rsidP="003364D9">
            <w:pPr>
              <w:tabs>
                <w:tab w:val="left" w:pos="1320"/>
              </w:tabs>
              <w:rPr>
                <w:sz w:val="22"/>
                <w:szCs w:val="22"/>
                <w:lang w:val="en-GB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  <w:lang w:val="es-ES"/>
              </w:rPr>
              <w:t>Ms NOJIMA, Yoko</w:t>
            </w:r>
          </w:p>
        </w:tc>
      </w:tr>
      <w:tr w:rsidR="00BF0A3C" w:rsidRPr="00673D2E" w14:paraId="2BEC31FC" w14:textId="77777777" w:rsidTr="003364D9">
        <w:trPr>
          <w:trHeight w:val="361"/>
        </w:trPr>
        <w:tc>
          <w:tcPr>
            <w:tcW w:w="4189" w:type="dxa"/>
          </w:tcPr>
          <w:p w14:paraId="7C9EB1A7" w14:textId="029DF780" w:rsidR="00BF0A3C" w:rsidRPr="00673D2E" w:rsidRDefault="00BF0A3C" w:rsidP="003364D9">
            <w:pPr>
              <w:tabs>
                <w:tab w:val="left" w:pos="1320"/>
              </w:tabs>
              <w:rPr>
                <w:sz w:val="22"/>
                <w:szCs w:val="22"/>
                <w:lang w:val="en-GB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</w:rPr>
              <w:t>Ms CUMMINS, Alissandra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(Facilitator)</w:t>
            </w:r>
          </w:p>
        </w:tc>
        <w:tc>
          <w:tcPr>
            <w:tcW w:w="4814" w:type="dxa"/>
          </w:tcPr>
          <w:p w14:paraId="6F124BA0" w14:textId="1FC77EE1" w:rsidR="00BF0A3C" w:rsidRPr="00673D2E" w:rsidRDefault="0032372F" w:rsidP="003364D9">
            <w:pPr>
              <w:tabs>
                <w:tab w:val="left" w:pos="1320"/>
              </w:tabs>
              <w:rPr>
                <w:sz w:val="22"/>
                <w:szCs w:val="22"/>
                <w:lang w:val="en-GB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  <w:lang w:val="es-ES"/>
              </w:rPr>
              <w:t>Mr SEKOU, Berte</w:t>
            </w:r>
          </w:p>
        </w:tc>
      </w:tr>
      <w:tr w:rsidR="00BF0A3C" w:rsidRPr="00673D2E" w14:paraId="19DFB043" w14:textId="77777777" w:rsidTr="003364D9">
        <w:trPr>
          <w:trHeight w:val="361"/>
        </w:trPr>
        <w:tc>
          <w:tcPr>
            <w:tcW w:w="4189" w:type="dxa"/>
          </w:tcPr>
          <w:p w14:paraId="1F4669F0" w14:textId="77777777" w:rsidR="00BF0A3C" w:rsidRPr="00673D2E" w:rsidRDefault="00BF0A3C" w:rsidP="003364D9">
            <w:pPr>
              <w:tabs>
                <w:tab w:val="left" w:pos="1320"/>
              </w:tabs>
              <w:rPr>
                <w:sz w:val="22"/>
                <w:szCs w:val="22"/>
                <w:lang w:val="en-GB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  <w:lang w:val="en-US"/>
              </w:rPr>
              <w:t xml:space="preserve">Ms DETSCHMANN, Gabriele </w:t>
            </w:r>
          </w:p>
        </w:tc>
        <w:tc>
          <w:tcPr>
            <w:tcW w:w="4814" w:type="dxa"/>
          </w:tcPr>
          <w:p w14:paraId="6B5AEA69" w14:textId="5712ACF9" w:rsidR="00BF0A3C" w:rsidRPr="00673D2E" w:rsidRDefault="0032372F" w:rsidP="003364D9">
            <w:pPr>
              <w:tabs>
                <w:tab w:val="left" w:pos="1320"/>
              </w:tabs>
              <w:rPr>
                <w:sz w:val="22"/>
                <w:szCs w:val="22"/>
                <w:lang w:val="en-GB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  <w:lang w:val="es-ES"/>
              </w:rPr>
              <w:t>Ms</w:t>
            </w:r>
            <w:r w:rsidRPr="00673D2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73D2E">
              <w:rPr>
                <w:rFonts w:ascii="Arial" w:hAnsi="Arial" w:cs="Arial"/>
                <w:sz w:val="22"/>
                <w:szCs w:val="22"/>
                <w:lang w:val="es-ES"/>
              </w:rPr>
              <w:t>VOĽANSKÁ, Ľubica</w:t>
            </w:r>
          </w:p>
        </w:tc>
      </w:tr>
      <w:tr w:rsidR="00BF0A3C" w:rsidRPr="00015991" w14:paraId="35D7FF1C" w14:textId="77777777" w:rsidTr="003364D9">
        <w:trPr>
          <w:trHeight w:val="361"/>
        </w:trPr>
        <w:tc>
          <w:tcPr>
            <w:tcW w:w="4189" w:type="dxa"/>
          </w:tcPr>
          <w:p w14:paraId="3579C665" w14:textId="22E5E06A" w:rsidR="00BF0A3C" w:rsidRPr="00673D2E" w:rsidRDefault="00BF0A3C" w:rsidP="003364D9">
            <w:pPr>
              <w:tabs>
                <w:tab w:val="left" w:pos="1320"/>
                <w:tab w:val="left" w:pos="3105"/>
              </w:tabs>
              <w:rPr>
                <w:sz w:val="22"/>
                <w:szCs w:val="22"/>
                <w:lang w:val="en-GB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  <w:lang w:val="en-US"/>
              </w:rPr>
              <w:t>Mr FORERO, Andres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814" w:type="dxa"/>
          </w:tcPr>
          <w:p w14:paraId="1BBCD22E" w14:textId="3D4ED5C3" w:rsidR="00BF0A3C" w:rsidRPr="00FF0FE3" w:rsidRDefault="00FF0FE3" w:rsidP="003364D9">
            <w:pPr>
              <w:tabs>
                <w:tab w:val="left" w:pos="1320"/>
              </w:tabs>
              <w:rPr>
                <w:sz w:val="22"/>
                <w:szCs w:val="22"/>
                <w:lang w:val="es-ES" w:eastAsia="en-US"/>
              </w:rPr>
            </w:pPr>
            <w:r w:rsidRPr="00673D2E">
              <w:rPr>
                <w:rFonts w:ascii="Arial" w:hAnsi="Arial" w:cs="Arial"/>
                <w:sz w:val="22"/>
                <w:szCs w:val="22"/>
                <w:lang w:val="pt-BR"/>
              </w:rPr>
              <w:t>Ms GONÇALVES DE CARVALHO, Luciana</w:t>
            </w:r>
          </w:p>
        </w:tc>
      </w:tr>
    </w:tbl>
    <w:p w14:paraId="11A8D4D6" w14:textId="6C6D2334" w:rsidR="00F85A71" w:rsidRPr="00BF0A3C" w:rsidRDefault="00F85A71" w:rsidP="00673D2E">
      <w:pPr>
        <w:tabs>
          <w:tab w:val="left" w:pos="1320"/>
        </w:tabs>
        <w:jc w:val="center"/>
        <w:rPr>
          <w:lang w:val="es-ES" w:eastAsia="en-US"/>
        </w:rPr>
      </w:pPr>
    </w:p>
    <w:p w14:paraId="31EC859E" w14:textId="77777777" w:rsidR="00F85A71" w:rsidRPr="00BF0A3C" w:rsidRDefault="00F85A71">
      <w:pPr>
        <w:rPr>
          <w:lang w:val="es-ES" w:eastAsia="en-US"/>
        </w:rPr>
      </w:pPr>
      <w:r w:rsidRPr="00BF0A3C">
        <w:rPr>
          <w:lang w:val="es-ES" w:eastAsia="en-US"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175021" w:rsidRPr="00015991" w14:paraId="2FA18339" w14:textId="77777777" w:rsidTr="00AE7619">
        <w:trPr>
          <w:trHeight w:hRule="exact" w:val="905"/>
        </w:trPr>
        <w:tc>
          <w:tcPr>
            <w:tcW w:w="9633" w:type="dxa"/>
            <w:shd w:val="clear" w:color="auto" w:fill="F2F2F2" w:themeFill="background1" w:themeFillShade="F2"/>
            <w:vAlign w:val="center"/>
          </w:tcPr>
          <w:p w14:paraId="18C0985A" w14:textId="6934C443" w:rsidR="00175021" w:rsidRPr="00F93F7F" w:rsidRDefault="00175021" w:rsidP="00605EA7">
            <w:pPr>
              <w:jc w:val="center"/>
              <w:rPr>
                <w:rFonts w:asciiTheme="minorBidi" w:eastAsiaTheme="minorHAnsi" w:hAnsiTheme="minorBidi" w:cstheme="minorBidi"/>
                <w:b/>
                <w:bCs/>
                <w:sz w:val="32"/>
                <w:szCs w:val="32"/>
                <w:lang w:val="en-US" w:eastAsia="en-US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eastAsia="zh-CN"/>
              </w:rPr>
              <w:lastRenderedPageBreak/>
              <w:t xml:space="preserve">Topic 2: </w:t>
            </w:r>
            <w:r w:rsidRPr="00175021"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eastAsia="zh-CN"/>
              </w:rPr>
              <w:t>Towards the creation of an ‘observatory’ for sharing good safeguarding practices</w:t>
            </w:r>
          </w:p>
        </w:tc>
      </w:tr>
      <w:tr w:rsidR="00175021" w:rsidRPr="00015991" w14:paraId="7B9725F2" w14:textId="77777777" w:rsidTr="00662C61">
        <w:trPr>
          <w:trHeight w:val="12315"/>
        </w:trPr>
        <w:tc>
          <w:tcPr>
            <w:tcW w:w="9633" w:type="dxa"/>
          </w:tcPr>
          <w:p w14:paraId="7AC3E887" w14:textId="77777777" w:rsidR="00175021" w:rsidRDefault="00175021" w:rsidP="00D276DC">
            <w:pP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</w:p>
          <w:p w14:paraId="30C5019D" w14:textId="52772D96" w:rsidR="00C471B0" w:rsidRDefault="00EB71F0" w:rsidP="00D276DC">
            <w:pP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The structure of the discussion in Group A:</w:t>
            </w:r>
            <w:r w:rsidR="00B41855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a general invitation to all participants in the group to express their opinions on the proposed questions and issues having in mind the 6 questions in the </w:t>
            </w:r>
            <w:r w:rsidR="0001599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document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LHE/23/EXP ART 18/3 under </w:t>
            </w:r>
            <w:r w:rsidR="005A3228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topic, but also other new issues that came out already in the expert meeting or that were addressed partially by the participants</w:t>
            </w:r>
            <w:r w:rsidR="00FA2AF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in the plenary sessions</w:t>
            </w:r>
          </w:p>
          <w:p w14:paraId="57F93897" w14:textId="77777777" w:rsidR="00C471B0" w:rsidRDefault="00C471B0" w:rsidP="00D276DC">
            <w:pP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</w:p>
          <w:p w14:paraId="600C59B6" w14:textId="568B9BAD" w:rsidR="00EB71F0" w:rsidRDefault="00C471B0" w:rsidP="00D276DC">
            <w:pP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The following issues, concerns and 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recommendations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were discussed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:</w:t>
            </w:r>
            <w:r w:rsidR="00FA2AF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</w:p>
          <w:p w14:paraId="3CD74432" w14:textId="7627408C" w:rsidR="00EB71F0" w:rsidRDefault="00EB71F0" w:rsidP="00D276DC">
            <w:pP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</w:p>
          <w:p w14:paraId="5392CE61" w14:textId="5D50F642" w:rsidR="00F13621" w:rsidRDefault="00F13621" w:rsidP="00531118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Evaluation of the impact of the online modality as opposed to the in-person communication, and the need to carefully consider the needs and expectations of bearers and practitioners in the digital environment:</w:t>
            </w:r>
          </w:p>
          <w:p w14:paraId="37FC54E0" w14:textId="571051FC" w:rsidR="00531118" w:rsidRDefault="00531118" w:rsidP="00531118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the awareness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of the various target-groups of the platform and the limitations of a relevant or 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full engagement with stakeholders and recipients in an online format vs. the advantages and the need of a real-person connection on sharing information and good practices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;</w:t>
            </w:r>
          </w:p>
          <w:p w14:paraId="6650EC11" w14:textId="549C5479" w:rsidR="00531118" w:rsidRDefault="00531118" w:rsidP="00531118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a concrete case 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showing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the lack of interest of community representatives for engaging in sharing materials on an online platform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; they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preferred to use alternative individual social media platforms that did not 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involve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“moderators” and “selection”, or the participation of “external” observers/outsiders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;</w:t>
            </w:r>
          </w:p>
          <w:p w14:paraId="497D2815" w14:textId="17CAED66" w:rsidR="00531118" w:rsidRDefault="00531118" w:rsidP="00531118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the need to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build the platform as an engaging participatory forum in order to create 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as much as possible the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environment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of in-person and direct communication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;</w:t>
            </w:r>
          </w:p>
          <w:p w14:paraId="61779AA6" w14:textId="5F0215C1" w:rsidR="00531118" w:rsidRDefault="00531118" w:rsidP="00531118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the existing </w:t>
            </w:r>
            <w:r w:rsidRPr="00452B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asymmetry in geographical terms of the capacity of using digital tools by communities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across the world</w:t>
            </w:r>
            <w:r w:rsidRPr="00452B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; 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the reality that some 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communities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are </w:t>
            </w:r>
            <w:r w:rsidRPr="00452B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less comfortable with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using </w:t>
            </w:r>
            <w:r w:rsidRPr="00452B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digital tools</w:t>
            </w:r>
            <w:r w:rsidR="00F1362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or have no available technical capacity in this respect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.</w:t>
            </w:r>
          </w:p>
          <w:p w14:paraId="2041DCC3" w14:textId="77777777" w:rsidR="00531118" w:rsidRPr="00531118" w:rsidRDefault="00531118" w:rsidP="00531118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</w:p>
          <w:p w14:paraId="0CAE3D92" w14:textId="195982A2" w:rsidR="00326807" w:rsidRPr="00326807" w:rsidRDefault="00F13621" w:rsidP="0032680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Recommendation of starting to build the online platform based on </w:t>
            </w:r>
            <w:r w:rsidR="00326807" w:rsidRPr="00452B5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the existing 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resources around the Convention</w:t>
            </w:r>
            <w:r w:rsidR="00326807" w:rsidRPr="00326807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(the gradual growing platfor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m approach</w:t>
            </w:r>
            <w:r w:rsidR="00326807" w:rsidRPr="00326807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):</w:t>
            </w:r>
          </w:p>
          <w:p w14:paraId="6A7AB332" w14:textId="6162DF46" w:rsidR="00EB71F0" w:rsidRDefault="00326807" w:rsidP="00326807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using</w:t>
            </w:r>
            <w:r w:rsidR="00EB71F0" w:rsidRPr="00326807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existing data and resources available for broader dissemination on the Convention website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(nomination files, I</w:t>
            </w:r>
            <w:r w:rsidR="0001599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nternational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A</w:t>
            </w:r>
            <w:r w:rsidR="00015991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ssistance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projects, periodic reporting, </w:t>
            </w:r>
            <w:r w:rsidR="00235DDE" w:rsidRP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calls for information at the national level in the preparation of periodic reports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capacity building materials, </w:t>
            </w:r>
            <w:r w:rsidR="00235DDE" w:rsidRP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safeguarding living heritage during the pandemics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or </w:t>
            </w:r>
            <w:r w:rsidR="00235DDE" w:rsidRP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in emergencies, Dive into ICH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,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etc.), 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accredited NGOs materials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, different countries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’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projects on inventorying and awareness-raising 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data;</w:t>
            </w:r>
          </w:p>
          <w:p w14:paraId="44B9EDA1" w14:textId="7233AB83" w:rsidR="00326807" w:rsidRDefault="00326807" w:rsidP="00326807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building further and developing </w:t>
            </w:r>
            <w:r w:rsidR="009D674B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these databases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, linking them further with new examples of safeguarding practices</w:t>
            </w:r>
            <w:r w:rsidR="0044191A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, 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that should enrich the existing information in </w:t>
            </w:r>
            <w:r w:rsidR="0044191A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the Registe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r of Good Safeguarding Practices;</w:t>
            </w:r>
          </w:p>
          <w:p w14:paraId="278A5B36" w14:textId="509420E9" w:rsidR="00326807" w:rsidRDefault="00326807" w:rsidP="00326807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- the problem of ethical sharing of materials and information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, being aware of a swift protocol for sharing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already existing resources o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n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the Convention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’s website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, 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and the needed protocol for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ensuring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the rights to use, share, distribute, reproduce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new information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.</w:t>
            </w:r>
          </w:p>
          <w:p w14:paraId="3261E3B8" w14:textId="77777777" w:rsidR="00C4717D" w:rsidRDefault="00C4717D" w:rsidP="00326807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</w:p>
          <w:p w14:paraId="289B6A65" w14:textId="1C7342E2" w:rsidR="00C4717D" w:rsidRPr="00452B56" w:rsidRDefault="00C4717D" w:rsidP="00C4717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</w:pPr>
            <w:r w:rsidRPr="00452B5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The </w:t>
            </w:r>
            <w:r w:rsidR="00235DDE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careful consideration of the </w:t>
            </w:r>
            <w:r w:rsidRPr="00452B5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target-groups </w:t>
            </w:r>
            <w:r w:rsidR="00235DDE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of</w:t>
            </w:r>
            <w:r w:rsidRPr="00452B5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 the </w:t>
            </w:r>
            <w:r w:rsidR="00235DDE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online </w:t>
            </w:r>
            <w:r w:rsidRPr="00452B5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platform:</w:t>
            </w:r>
          </w:p>
          <w:p w14:paraId="25646A9F" w14:textId="4E8896BF" w:rsidR="00326807" w:rsidRDefault="00326807" w:rsidP="00326807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the need to implement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lighter ways of sharing 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information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and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to consider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the categories of </w:t>
            </w:r>
            <w:r w:rsidR="00C4717D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recipients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of these already existing materials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, taking into account that some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capacity building materials or nomination files are </w:t>
            </w:r>
            <w:r w:rsidR="00235D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not</w:t>
            </w:r>
            <w:r w:rsidR="00C4717D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inclusive or available</w:t>
            </w:r>
            <w:r w:rsidR="00C4717D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enough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(in terms of language, specialized jargon)</w:t>
            </w:r>
            <w:r w:rsidR="00C4717D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for broader audiences, and especially for members of the communities concerned;</w:t>
            </w:r>
          </w:p>
          <w:p w14:paraId="224D06DF" w14:textId="2F0F42BF" w:rsidR="00C4717D" w:rsidRDefault="00C4717D" w:rsidP="00326807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the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targeted category of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recipient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should be as broadest as possible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, from experts to the civil society as a whole, and especially approaching the needs and expectations of communities, groups and individuals as living heritage bearers;</w:t>
            </w:r>
          </w:p>
          <w:p w14:paraId="79ABA7BD" w14:textId="14D17541" w:rsidR="00C4717D" w:rsidRDefault="00C4717D" w:rsidP="00326807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lastRenderedPageBreak/>
              <w:t xml:space="preserve">-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the need to consider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a wide concept of “community” – not just communities of practitioners, but also the public or audience of living heritage practices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, engaging and enjoying living heritage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.</w:t>
            </w:r>
          </w:p>
          <w:p w14:paraId="311B2842" w14:textId="77777777" w:rsidR="00326807" w:rsidRPr="00B41855" w:rsidRDefault="00326807" w:rsidP="00B41855">
            <w:pP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</w:p>
          <w:p w14:paraId="24AE0A07" w14:textId="6A620D9E" w:rsidR="009D674B" w:rsidRDefault="001871D4" w:rsidP="009D674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Proposals for t</w:t>
            </w:r>
            <w:r w:rsidR="009D674B" w:rsidRPr="00452B5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he content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, </w:t>
            </w:r>
            <w:r w:rsidR="004129DE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technical </w:t>
            </w:r>
            <w:r w:rsidR="00D168FE" w:rsidRPr="00452B5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features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 and general </w:t>
            </w:r>
            <w:r w:rsidR="004129DE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design</w:t>
            </w:r>
            <w:r w:rsidR="009D674B" w:rsidRPr="00452B5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 of 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the online</w:t>
            </w:r>
            <w:r w:rsidR="009D674B" w:rsidRPr="00452B5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 platform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:</w:t>
            </w:r>
          </w:p>
          <w:p w14:paraId="10EF45E1" w14:textId="77777777" w:rsidR="00477F8C" w:rsidRDefault="00477F8C" w:rsidP="00477F8C">
            <w:pPr>
              <w:pStyle w:val="ListParagrap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</w:pPr>
          </w:p>
          <w:p w14:paraId="12494BB6" w14:textId="7A5C856C" w:rsidR="00A41304" w:rsidRPr="001871D4" w:rsidRDefault="001871D4" w:rsidP="001871D4">
            <w:pPr>
              <w:pStyle w:val="ListParagrap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- Implementing d</w:t>
            </w:r>
            <w:r w:rsidR="00477F8C" w:rsidRPr="001871D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esk research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 and surveying</w:t>
            </w:r>
            <w:r w:rsidR="00477F8C" w:rsidRPr="001871D4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 existing digital tools of similar platforms 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for sharing living heritage data:</w:t>
            </w:r>
          </w:p>
          <w:p w14:paraId="2A2374D9" w14:textId="4A777F50" w:rsidR="00477F8C" w:rsidRDefault="00477F8C" w:rsidP="00477F8C">
            <w:pPr>
              <w:ind w:left="720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recommend to the Secretariat to ask the focal points to survey the existing digital tools in their countries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;</w:t>
            </w:r>
          </w:p>
          <w:p w14:paraId="48556F92" w14:textId="6FF5AEC3" w:rsidR="00477F8C" w:rsidRDefault="00477F8C" w:rsidP="00477F8C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surveying the digital tools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, programs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of sharing safeguarding practices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in programmes and project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of Category 2 centres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;</w:t>
            </w:r>
          </w:p>
          <w:p w14:paraId="6B8B4546" w14:textId="08F93586" w:rsidR="00477F8C" w:rsidRDefault="00477F8C" w:rsidP="00477F8C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surveying the needs and expectations of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communities and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accredited 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NGOs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on the expected experience and content that should be made available on the platform;</w:t>
            </w:r>
          </w:p>
          <w:p w14:paraId="1E7023F2" w14:textId="629F885F" w:rsidR="00531118" w:rsidRPr="00477F8C" w:rsidRDefault="00531118" w:rsidP="00477F8C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consulting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UNESCO chairs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.</w:t>
            </w:r>
          </w:p>
          <w:p w14:paraId="7639FC1C" w14:textId="77777777" w:rsidR="001871D4" w:rsidRDefault="001871D4" w:rsidP="00477F8C">
            <w:pPr>
              <w:pStyle w:val="ListParagraph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477F8C" w:rsidRPr="00477F8C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Thematic structure:</w:t>
            </w:r>
            <w:r w:rsidR="00B41855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 </w:t>
            </w:r>
          </w:p>
          <w:p w14:paraId="3E6F67B7" w14:textId="6BD20B7C" w:rsidR="009D674B" w:rsidRPr="006F070C" w:rsidRDefault="009D674B" w:rsidP="006F070C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not necessarily following the structure of the 5 domains of the Convention, but rather 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categories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of safeguarding activities, </w:t>
            </w:r>
            <w:r w:rsidR="00217A5A"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or following 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the</w:t>
            </w:r>
            <w:r w:rsidR="00452B56"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indicators of the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217A5A"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ORF 8 the</w:t>
            </w:r>
            <w:r w:rsidR="00452B56"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matic areas</w:t>
            </w:r>
            <w:r w:rsidR="001871D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;</w:t>
            </w:r>
          </w:p>
          <w:p w14:paraId="1F746DE8" w14:textId="30D3E74E" w:rsidR="00477F8C" w:rsidRDefault="00477F8C" w:rsidP="009D674B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a data gathering interface for 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including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information for the periodic report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s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, 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especially using the experience of State Parties that used 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already digital tools for 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requesting </w:t>
            </w:r>
            <w:r w:rsidRP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periodic reporting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information at the national level;</w:t>
            </w:r>
          </w:p>
          <w:p w14:paraId="352FC4A2" w14:textId="4713F760" w:rsidR="00477F8C" w:rsidRDefault="00477F8C" w:rsidP="00477F8C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ensuring as much as possible the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geographical balance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of the presented information.</w:t>
            </w:r>
          </w:p>
          <w:p w14:paraId="0B35230B" w14:textId="77777777" w:rsidR="00850F70" w:rsidRDefault="009D674B" w:rsidP="009D674B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477F8C" w:rsidRPr="00477F8C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T</w:t>
            </w:r>
            <w:r w:rsidRPr="00477F8C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echnical structure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Pr="006F070C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of the platform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: </w:t>
            </w:r>
          </w:p>
          <w:p w14:paraId="3996FF3C" w14:textId="3F9EA763" w:rsidR="006F070C" w:rsidRDefault="006F070C" w:rsidP="006F070C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- designing technical modalities for filtering the information: tagging the content of the platform in more than one way – not just thematic, but based on other relevant criteria that may be of interest for communities to use it as an inspirational tool; developing various keywords for improving and assisting searching</w:t>
            </w:r>
          </w:p>
          <w:p w14:paraId="481D8AAB" w14:textId="4D172244" w:rsidR="00B41855" w:rsidRDefault="006F070C" w:rsidP="009D674B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- practical data needed for building an effective platform:</w:t>
            </w:r>
            <w:r w:rsidR="00850F70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9D674B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who are the users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,</w:t>
            </w:r>
            <w:r w:rsidR="00850F70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h</w:t>
            </w:r>
            <w:r w:rsidR="009D674B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ow is </w:t>
            </w:r>
            <w:r w:rsidR="0000594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content </w:t>
            </w:r>
            <w:r w:rsidR="009D674B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mapping being achieved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, building </w:t>
            </w:r>
            <w:r w:rsidR="009D674B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user-friendly interfaces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, ensuring an</w:t>
            </w:r>
            <w:r w:rsid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interactive aspect of the platform</w:t>
            </w:r>
            <w:r w:rsidR="005F1DB2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as to shape it as welcoming </w:t>
            </w:r>
            <w:r w:rsidR="005F1DB2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space for dialogu</w:t>
            </w:r>
            <w:r w:rsidR="00B41855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, with the possibility </w:t>
            </w:r>
          </w:p>
          <w:p w14:paraId="39E73AA8" w14:textId="6D5DD3A1" w:rsidR="0037731A" w:rsidRDefault="0037731A" w:rsidP="009D674B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to use local languages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.</w:t>
            </w:r>
          </w:p>
          <w:p w14:paraId="75DC7BDB" w14:textId="7CAB55E0" w:rsidR="009D674B" w:rsidRDefault="009D674B" w:rsidP="009D674B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850F70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A safe space</w:t>
            </w:r>
            <w:r w:rsidR="00477F8C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 format</w:t>
            </w:r>
            <w:r w:rsidR="00477F8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: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the importance of ensuring the platform </w:t>
            </w:r>
            <w:r w:rsidR="00850F70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functions as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an inclusive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,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“safe”, non-judgmental space for the communities, eliminate the concern of a “big brother” system, the feeling that the information shared is to be </w:t>
            </w:r>
            <w:r w:rsidR="00217A5A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assessed, filtered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by experts before being posted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.</w:t>
            </w:r>
          </w:p>
          <w:p w14:paraId="561CA05D" w14:textId="77777777" w:rsidR="00B41855" w:rsidRDefault="00B41855" w:rsidP="009D674B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</w:p>
          <w:p w14:paraId="0A6BC7D7" w14:textId="171BB4AF" w:rsidR="00B41855" w:rsidRPr="00B75119" w:rsidRDefault="00B41855" w:rsidP="00B4185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</w:pPr>
            <w:r w:rsidRPr="00B75119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Active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 and trained</w:t>
            </w:r>
            <w:r w:rsidRPr="00B75119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 users of the platform – </w:t>
            </w:r>
            <w:r w:rsidR="005F2656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 xml:space="preserve">building </w:t>
            </w:r>
            <w:r w:rsidRPr="00B75119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the participatory feature</w:t>
            </w:r>
          </w:p>
          <w:p w14:paraId="63DE4437" w14:textId="0FF84167" w:rsidR="00B41855" w:rsidRDefault="00B41855" w:rsidP="00B41855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 w:rsidRPr="000B250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creating </w:t>
            </w:r>
            <w:r w:rsidRPr="000B250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connection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s</w:t>
            </w:r>
            <w:r w:rsidRPr="000B250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with 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the global </w:t>
            </w:r>
            <w:r w:rsidRPr="000B250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capacity building framework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of the Convention: the capacity building programme to be utilized not</w:t>
            </w:r>
            <w:r w:rsidRPr="000B250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just as resource 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for information</w:t>
            </w:r>
            <w:r w:rsidRPr="000B250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, 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but also </w:t>
            </w:r>
            <w:r w:rsidRPr="000B250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to build the online 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platform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through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provid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ing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training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,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aw</w:t>
            </w:r>
            <w:r w:rsidR="00A363D2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areness-</w:t>
            </w:r>
            <w:r w:rsidR="00A41304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raising 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campaigns </w:t>
            </w:r>
            <w:r w:rsidR="006F070C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and prepare efficient dissemination 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and encourage future users</w:t>
            </w:r>
          </w:p>
          <w:p w14:paraId="60EBEC43" w14:textId="0697DF12" w:rsidR="00B41855" w:rsidRDefault="00B41855" w:rsidP="00B41855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P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training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for using the online tools and acknowledging the 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technical and ethical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implications on participating on the platform</w:t>
            </w:r>
          </w:p>
          <w:p w14:paraId="1B11FAF7" w14:textId="09C7624B" w:rsidR="00A520B2" w:rsidRPr="005F2656" w:rsidRDefault="00A520B2" w:rsidP="005F2656">
            <w:pP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</w:p>
          <w:p w14:paraId="7B2ED8CC" w14:textId="77777777" w:rsidR="006C2192" w:rsidRDefault="006112B3" w:rsidP="006112B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 w:rsidRPr="00B75119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zh-CN"/>
              </w:rPr>
              <w:t>Risks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: </w:t>
            </w:r>
          </w:p>
          <w:p w14:paraId="3485EA0F" w14:textId="4C145C28" w:rsidR="004A7391" w:rsidRDefault="006C2192" w:rsidP="006C2192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third parties</w:t>
            </w:r>
            <w:r w:rsidR="006112B3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taking control 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of </w:t>
            </w:r>
            <w:r w:rsidR="006112B3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the platform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for ends beyond the living heritage safeguarding scope</w:t>
            </w:r>
            <w:r w:rsidR="006112B3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</w:p>
          <w:p w14:paraId="6233E2F8" w14:textId="6685C291" w:rsidR="002868BE" w:rsidRPr="0032372F" w:rsidRDefault="00B75119" w:rsidP="005F2656">
            <w:pPr>
              <w:pStyle w:val="ListParagraph"/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- the </w:t>
            </w:r>
            <w:r w:rsidR="004129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concern for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</w:t>
            </w:r>
            <w:r w:rsidR="004129DE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intellectual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property rights, collective rights, image rights, copyrights and the need to properly inform the communities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, groups and individuals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before 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they become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active </w:t>
            </w:r>
            <w:r w:rsidR="005F2656"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>users of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en-US" w:eastAsia="zh-CN"/>
              </w:rPr>
              <w:t xml:space="preserve"> the platform</w:t>
            </w:r>
          </w:p>
        </w:tc>
      </w:tr>
    </w:tbl>
    <w:p w14:paraId="135F4418" w14:textId="6150FF77" w:rsidR="00673D2E" w:rsidRPr="0032372F" w:rsidRDefault="00673D2E" w:rsidP="00662C61">
      <w:pPr>
        <w:rPr>
          <w:lang w:val="en-US" w:eastAsia="en-US"/>
        </w:rPr>
      </w:pPr>
    </w:p>
    <w:sectPr w:rsidR="00673D2E" w:rsidRPr="0032372F" w:rsidSect="00655736">
      <w:headerReference w:type="default" r:id="rId8"/>
      <w:headerReference w:type="first" r:id="rId9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BCDA5" w14:textId="77777777" w:rsidR="00AB2573" w:rsidRDefault="00AB2573" w:rsidP="00655736">
      <w:r>
        <w:separator/>
      </w:r>
    </w:p>
  </w:endnote>
  <w:endnote w:type="continuationSeparator" w:id="0">
    <w:p w14:paraId="53D217D8" w14:textId="77777777" w:rsidR="00AB2573" w:rsidRDefault="00AB2573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54799" w14:textId="77777777" w:rsidR="00AB2573" w:rsidRDefault="00AB2573" w:rsidP="00655736">
      <w:r>
        <w:separator/>
      </w:r>
    </w:p>
  </w:footnote>
  <w:footnote w:type="continuationSeparator" w:id="0">
    <w:p w14:paraId="0D32A882" w14:textId="77777777" w:rsidR="00AB2573" w:rsidRDefault="00AB2573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231B" w14:textId="7D36CC71" w:rsidR="00D95C4C" w:rsidRPr="0063300C" w:rsidRDefault="00D95C4C" w:rsidP="00C5776D">
    <w:pPr>
      <w:pStyle w:val="Header"/>
      <w:jc w:val="right"/>
      <w:rPr>
        <w:rFonts w:ascii="Arial" w:hAnsi="Arial" w:cs="Arial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B9E0" w14:textId="6024C938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3DFA611B" w:rsidR="004E1760" w:rsidRPr="00D7105A" w:rsidRDefault="00A53F11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PT"/>
      </w:rPr>
    </w:pPr>
    <w:r>
      <w:rPr>
        <w:rFonts w:ascii="Arial" w:hAnsi="Arial" w:cs="Arial"/>
        <w:b/>
        <w:sz w:val="44"/>
        <w:szCs w:val="44"/>
        <w:lang w:val="pt-PT"/>
      </w:rPr>
      <w:t>EXP</w:t>
    </w:r>
    <w:r w:rsidR="00091385">
      <w:rPr>
        <w:rFonts w:ascii="Arial" w:hAnsi="Arial" w:cs="Arial"/>
        <w:b/>
        <w:sz w:val="44"/>
        <w:szCs w:val="44"/>
        <w:lang w:val="pt-PT"/>
      </w:rPr>
      <w:t xml:space="preserve"> ART18</w:t>
    </w:r>
  </w:p>
  <w:p w14:paraId="3C4B8B1B" w14:textId="77777777" w:rsidR="00D95C4C" w:rsidRPr="00151E44" w:rsidRDefault="00D95C4C">
    <w:pPr>
      <w:pStyle w:val="Header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8123CA"/>
    <w:multiLevelType w:val="hybridMultilevel"/>
    <w:tmpl w:val="536601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36438"/>
    <w:multiLevelType w:val="hybridMultilevel"/>
    <w:tmpl w:val="E780D164"/>
    <w:lvl w:ilvl="0" w:tplc="61F8E5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0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41D0B"/>
    <w:multiLevelType w:val="hybridMultilevel"/>
    <w:tmpl w:val="A042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984E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45980658">
    <w:abstractNumId w:val="11"/>
  </w:num>
  <w:num w:numId="2" w16cid:durableId="106117979">
    <w:abstractNumId w:val="5"/>
  </w:num>
  <w:num w:numId="3" w16cid:durableId="1708022341">
    <w:abstractNumId w:val="1"/>
  </w:num>
  <w:num w:numId="4" w16cid:durableId="1640528508">
    <w:abstractNumId w:val="13"/>
  </w:num>
  <w:num w:numId="5" w16cid:durableId="468011579">
    <w:abstractNumId w:val="12"/>
  </w:num>
  <w:num w:numId="6" w16cid:durableId="577862344">
    <w:abstractNumId w:val="0"/>
  </w:num>
  <w:num w:numId="7" w16cid:durableId="309292972">
    <w:abstractNumId w:val="2"/>
  </w:num>
  <w:num w:numId="8" w16cid:durableId="415399052">
    <w:abstractNumId w:val="10"/>
  </w:num>
  <w:num w:numId="9" w16cid:durableId="217087148">
    <w:abstractNumId w:val="4"/>
  </w:num>
  <w:num w:numId="10" w16cid:durableId="347945616">
    <w:abstractNumId w:val="6"/>
  </w:num>
  <w:num w:numId="11" w16cid:durableId="1867675660">
    <w:abstractNumId w:val="9"/>
  </w:num>
  <w:num w:numId="12" w16cid:durableId="1119109097">
    <w:abstractNumId w:val="7"/>
  </w:num>
  <w:num w:numId="13" w16cid:durableId="1445689247">
    <w:abstractNumId w:val="15"/>
  </w:num>
  <w:num w:numId="14" w16cid:durableId="8603694">
    <w:abstractNumId w:val="3"/>
  </w:num>
  <w:num w:numId="15" w16cid:durableId="1117682088">
    <w:abstractNumId w:val="8"/>
  </w:num>
  <w:num w:numId="16" w16cid:durableId="12388290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3BE"/>
    <w:rsid w:val="000048ED"/>
    <w:rsid w:val="00005944"/>
    <w:rsid w:val="00014915"/>
    <w:rsid w:val="00015991"/>
    <w:rsid w:val="00041A66"/>
    <w:rsid w:val="00042D88"/>
    <w:rsid w:val="0005176E"/>
    <w:rsid w:val="00067253"/>
    <w:rsid w:val="000765F7"/>
    <w:rsid w:val="00077AB7"/>
    <w:rsid w:val="00081CD8"/>
    <w:rsid w:val="00091385"/>
    <w:rsid w:val="000A7F0E"/>
    <w:rsid w:val="000B1C8F"/>
    <w:rsid w:val="000B2506"/>
    <w:rsid w:val="000C0D61"/>
    <w:rsid w:val="000D1A0C"/>
    <w:rsid w:val="000F3A3F"/>
    <w:rsid w:val="00102557"/>
    <w:rsid w:val="00151E44"/>
    <w:rsid w:val="00164D56"/>
    <w:rsid w:val="00167B10"/>
    <w:rsid w:val="0017402F"/>
    <w:rsid w:val="00175021"/>
    <w:rsid w:val="001871D4"/>
    <w:rsid w:val="00190205"/>
    <w:rsid w:val="00196C1B"/>
    <w:rsid w:val="001B0F73"/>
    <w:rsid w:val="001B5680"/>
    <w:rsid w:val="001C2DB7"/>
    <w:rsid w:val="001D14FE"/>
    <w:rsid w:val="001D5C04"/>
    <w:rsid w:val="001D5D74"/>
    <w:rsid w:val="001F26CF"/>
    <w:rsid w:val="001F4E62"/>
    <w:rsid w:val="00217A5A"/>
    <w:rsid w:val="00222A2D"/>
    <w:rsid w:val="00223029"/>
    <w:rsid w:val="00234745"/>
    <w:rsid w:val="002351A6"/>
    <w:rsid w:val="00235DDE"/>
    <w:rsid w:val="002407AF"/>
    <w:rsid w:val="0026221A"/>
    <w:rsid w:val="0027466B"/>
    <w:rsid w:val="00282224"/>
    <w:rsid w:val="002838A5"/>
    <w:rsid w:val="00285BB4"/>
    <w:rsid w:val="002868BE"/>
    <w:rsid w:val="002B3E94"/>
    <w:rsid w:val="002C09E3"/>
    <w:rsid w:val="002D1244"/>
    <w:rsid w:val="003111BF"/>
    <w:rsid w:val="0031456C"/>
    <w:rsid w:val="0032372F"/>
    <w:rsid w:val="00326807"/>
    <w:rsid w:val="00337AAB"/>
    <w:rsid w:val="00337CEB"/>
    <w:rsid w:val="00344B58"/>
    <w:rsid w:val="0034539A"/>
    <w:rsid w:val="00345CB4"/>
    <w:rsid w:val="00360422"/>
    <w:rsid w:val="00375D42"/>
    <w:rsid w:val="0037731A"/>
    <w:rsid w:val="003B7522"/>
    <w:rsid w:val="003C3534"/>
    <w:rsid w:val="003D0253"/>
    <w:rsid w:val="003D069C"/>
    <w:rsid w:val="003D7646"/>
    <w:rsid w:val="003E098A"/>
    <w:rsid w:val="003F113A"/>
    <w:rsid w:val="003F3E63"/>
    <w:rsid w:val="00407480"/>
    <w:rsid w:val="00411694"/>
    <w:rsid w:val="004129DE"/>
    <w:rsid w:val="00414643"/>
    <w:rsid w:val="00420CEF"/>
    <w:rsid w:val="0044191A"/>
    <w:rsid w:val="004421E5"/>
    <w:rsid w:val="00452284"/>
    <w:rsid w:val="00452B56"/>
    <w:rsid w:val="00457C8E"/>
    <w:rsid w:val="00477F8C"/>
    <w:rsid w:val="004856CA"/>
    <w:rsid w:val="00487E67"/>
    <w:rsid w:val="0049705E"/>
    <w:rsid w:val="004A2875"/>
    <w:rsid w:val="004A34A0"/>
    <w:rsid w:val="004A7391"/>
    <w:rsid w:val="004C7C82"/>
    <w:rsid w:val="004E1760"/>
    <w:rsid w:val="005008A8"/>
    <w:rsid w:val="00517FD8"/>
    <w:rsid w:val="00526B7B"/>
    <w:rsid w:val="005308CE"/>
    <w:rsid w:val="00531118"/>
    <w:rsid w:val="0053318C"/>
    <w:rsid w:val="005357C7"/>
    <w:rsid w:val="0057439C"/>
    <w:rsid w:val="00583DD9"/>
    <w:rsid w:val="005A3228"/>
    <w:rsid w:val="005B0127"/>
    <w:rsid w:val="005B7A35"/>
    <w:rsid w:val="005C4B73"/>
    <w:rsid w:val="005E1D2B"/>
    <w:rsid w:val="005E7074"/>
    <w:rsid w:val="005F1DB2"/>
    <w:rsid w:val="005F2656"/>
    <w:rsid w:val="005F2BAF"/>
    <w:rsid w:val="00600D93"/>
    <w:rsid w:val="006112B3"/>
    <w:rsid w:val="00626BEA"/>
    <w:rsid w:val="0063300C"/>
    <w:rsid w:val="00651A5B"/>
    <w:rsid w:val="00655736"/>
    <w:rsid w:val="00656A6B"/>
    <w:rsid w:val="00662C61"/>
    <w:rsid w:val="00663B8D"/>
    <w:rsid w:val="00673D2E"/>
    <w:rsid w:val="006774B6"/>
    <w:rsid w:val="00696C8D"/>
    <w:rsid w:val="006A2AC2"/>
    <w:rsid w:val="006A3617"/>
    <w:rsid w:val="006B4452"/>
    <w:rsid w:val="006C2192"/>
    <w:rsid w:val="006E46E4"/>
    <w:rsid w:val="006E75EB"/>
    <w:rsid w:val="006F070C"/>
    <w:rsid w:val="00717DA5"/>
    <w:rsid w:val="00744484"/>
    <w:rsid w:val="00747566"/>
    <w:rsid w:val="00773188"/>
    <w:rsid w:val="00783782"/>
    <w:rsid w:val="00784B8C"/>
    <w:rsid w:val="007879E1"/>
    <w:rsid w:val="007F4E3D"/>
    <w:rsid w:val="00813963"/>
    <w:rsid w:val="00823A11"/>
    <w:rsid w:val="00850F70"/>
    <w:rsid w:val="0085188D"/>
    <w:rsid w:val="0085405E"/>
    <w:rsid w:val="0085414A"/>
    <w:rsid w:val="00857EB9"/>
    <w:rsid w:val="0086269D"/>
    <w:rsid w:val="0086543A"/>
    <w:rsid w:val="008724E5"/>
    <w:rsid w:val="00874C5A"/>
    <w:rsid w:val="00884A9D"/>
    <w:rsid w:val="0088512B"/>
    <w:rsid w:val="0089490D"/>
    <w:rsid w:val="008A2B2D"/>
    <w:rsid w:val="008A4E1E"/>
    <w:rsid w:val="008C296C"/>
    <w:rsid w:val="008D4305"/>
    <w:rsid w:val="008E1A85"/>
    <w:rsid w:val="009163A7"/>
    <w:rsid w:val="00916B24"/>
    <w:rsid w:val="00946D0B"/>
    <w:rsid w:val="00955877"/>
    <w:rsid w:val="00962034"/>
    <w:rsid w:val="009A18CD"/>
    <w:rsid w:val="009C4AE8"/>
    <w:rsid w:val="009D5428"/>
    <w:rsid w:val="009D674B"/>
    <w:rsid w:val="00A12558"/>
    <w:rsid w:val="00A13903"/>
    <w:rsid w:val="00A34ED5"/>
    <w:rsid w:val="00A363D2"/>
    <w:rsid w:val="00A41304"/>
    <w:rsid w:val="00A44247"/>
    <w:rsid w:val="00A45DBF"/>
    <w:rsid w:val="00A50FFA"/>
    <w:rsid w:val="00A520B2"/>
    <w:rsid w:val="00A53F11"/>
    <w:rsid w:val="00A55D0A"/>
    <w:rsid w:val="00A62695"/>
    <w:rsid w:val="00A725CF"/>
    <w:rsid w:val="00A755A2"/>
    <w:rsid w:val="00AA6660"/>
    <w:rsid w:val="00AB2573"/>
    <w:rsid w:val="00AB2C36"/>
    <w:rsid w:val="00AB6DDE"/>
    <w:rsid w:val="00AB70B6"/>
    <w:rsid w:val="00AD1A86"/>
    <w:rsid w:val="00AE103E"/>
    <w:rsid w:val="00AE7619"/>
    <w:rsid w:val="00AF0A07"/>
    <w:rsid w:val="00AF4AEC"/>
    <w:rsid w:val="00AF625E"/>
    <w:rsid w:val="00AF70EC"/>
    <w:rsid w:val="00B139BE"/>
    <w:rsid w:val="00B2172B"/>
    <w:rsid w:val="00B225F4"/>
    <w:rsid w:val="00B41855"/>
    <w:rsid w:val="00B722B8"/>
    <w:rsid w:val="00B7327A"/>
    <w:rsid w:val="00B75119"/>
    <w:rsid w:val="00B75ACF"/>
    <w:rsid w:val="00B844F1"/>
    <w:rsid w:val="00B9146E"/>
    <w:rsid w:val="00B917D2"/>
    <w:rsid w:val="00BA241A"/>
    <w:rsid w:val="00BB04AF"/>
    <w:rsid w:val="00BD52C9"/>
    <w:rsid w:val="00BE6354"/>
    <w:rsid w:val="00BF0A3C"/>
    <w:rsid w:val="00C138D1"/>
    <w:rsid w:val="00C1738B"/>
    <w:rsid w:val="00C22B32"/>
    <w:rsid w:val="00C23A97"/>
    <w:rsid w:val="00C25B18"/>
    <w:rsid w:val="00C4717D"/>
    <w:rsid w:val="00C471B0"/>
    <w:rsid w:val="00C52EBE"/>
    <w:rsid w:val="00C5776D"/>
    <w:rsid w:val="00C64855"/>
    <w:rsid w:val="00C70EA7"/>
    <w:rsid w:val="00C7433F"/>
    <w:rsid w:val="00C7516E"/>
    <w:rsid w:val="00C75374"/>
    <w:rsid w:val="00C75770"/>
    <w:rsid w:val="00CA56BB"/>
    <w:rsid w:val="00CB0542"/>
    <w:rsid w:val="00CF28F9"/>
    <w:rsid w:val="00D00B2B"/>
    <w:rsid w:val="00D168FE"/>
    <w:rsid w:val="00D222C8"/>
    <w:rsid w:val="00D24877"/>
    <w:rsid w:val="00D276DC"/>
    <w:rsid w:val="00D45B81"/>
    <w:rsid w:val="00D53E1F"/>
    <w:rsid w:val="00D7105A"/>
    <w:rsid w:val="00D8250F"/>
    <w:rsid w:val="00D86BB3"/>
    <w:rsid w:val="00D95C4C"/>
    <w:rsid w:val="00DA36ED"/>
    <w:rsid w:val="00DB48FE"/>
    <w:rsid w:val="00DD4BFB"/>
    <w:rsid w:val="00DE01E2"/>
    <w:rsid w:val="00DE34F1"/>
    <w:rsid w:val="00DE6160"/>
    <w:rsid w:val="00DF4942"/>
    <w:rsid w:val="00E019FC"/>
    <w:rsid w:val="00E16EFD"/>
    <w:rsid w:val="00E2125F"/>
    <w:rsid w:val="00E244E1"/>
    <w:rsid w:val="00E4150C"/>
    <w:rsid w:val="00E627B1"/>
    <w:rsid w:val="00E70169"/>
    <w:rsid w:val="00E9376C"/>
    <w:rsid w:val="00E95AE2"/>
    <w:rsid w:val="00EA335E"/>
    <w:rsid w:val="00EA528C"/>
    <w:rsid w:val="00EA580C"/>
    <w:rsid w:val="00EB71F0"/>
    <w:rsid w:val="00EC6F8D"/>
    <w:rsid w:val="00ED39B2"/>
    <w:rsid w:val="00ED616A"/>
    <w:rsid w:val="00EE49F4"/>
    <w:rsid w:val="00EF34E2"/>
    <w:rsid w:val="00F13621"/>
    <w:rsid w:val="00F2145E"/>
    <w:rsid w:val="00F30DC6"/>
    <w:rsid w:val="00F32C23"/>
    <w:rsid w:val="00F53DE9"/>
    <w:rsid w:val="00F56FA1"/>
    <w:rsid w:val="00F576CB"/>
    <w:rsid w:val="00F63F8C"/>
    <w:rsid w:val="00F7035D"/>
    <w:rsid w:val="00F71A02"/>
    <w:rsid w:val="00F85A71"/>
    <w:rsid w:val="00F92792"/>
    <w:rsid w:val="00FA0D63"/>
    <w:rsid w:val="00FA2AF1"/>
    <w:rsid w:val="00FB5F83"/>
    <w:rsid w:val="00FD1226"/>
    <w:rsid w:val="00FF0FE3"/>
    <w:rsid w:val="00FF44E2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A2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898</TotalTime>
  <Pages>3</Pages>
  <Words>1132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119</cp:revision>
  <cp:lastPrinted>2011-08-06T10:22:00Z</cp:lastPrinted>
  <dcterms:created xsi:type="dcterms:W3CDTF">2023-04-19T11:38:00Z</dcterms:created>
  <dcterms:modified xsi:type="dcterms:W3CDTF">2023-05-04T14:17:00Z</dcterms:modified>
</cp:coreProperties>
</file>