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C" w:rsidRPr="008322B5" w:rsidRDefault="0088688C" w:rsidP="009F4BE9">
      <w:pPr>
        <w:pStyle w:val="TitleConvention"/>
      </w:pPr>
      <w:r w:rsidRPr="008322B5">
        <w:t>CONVENTION POUR LA SAUVEGARDE</w:t>
      </w:r>
      <w:r w:rsidRPr="008322B5">
        <w:br/>
        <w:t>DU PATRIMOINE CULTUREL IMMATÉRIEL</w:t>
      </w:r>
    </w:p>
    <w:p w:rsidR="0088688C" w:rsidRPr="008322B5" w:rsidRDefault="0088688C" w:rsidP="009F4BE9">
      <w:pPr>
        <w:pStyle w:val="TitleConvention"/>
      </w:pPr>
      <w:r w:rsidRPr="008322B5">
        <w:t>COMITÉ INTERGOUVERNEMENTAL DE</w:t>
      </w:r>
      <w:r w:rsidRPr="008322B5">
        <w:br/>
        <w:t>SAUVEGARDE DU PATRIMOINE CULTUREL IMMATÉRIEL</w:t>
      </w:r>
    </w:p>
    <w:p w:rsidR="0088688C" w:rsidRPr="008322B5" w:rsidRDefault="0093570A" w:rsidP="009F4BE9">
      <w:pPr>
        <w:pStyle w:val="TitleConvention"/>
        <w:spacing w:after="480"/>
      </w:pPr>
      <w:r w:rsidRPr="008322B5">
        <w:t>Douzième session</w:t>
      </w:r>
      <w:r w:rsidRPr="008322B5">
        <w:br/>
      </w:r>
      <w:r w:rsidR="00603F68">
        <w:t>île de Jeju</w:t>
      </w:r>
      <w:bookmarkStart w:id="0" w:name="_GoBack"/>
      <w:bookmarkEnd w:id="0"/>
      <w:r w:rsidRPr="008322B5">
        <w:t>, République de Corée</w:t>
      </w:r>
      <w:r w:rsidRPr="008322B5">
        <w:br/>
        <w:t>4 au 8 décembre 2017</w:t>
      </w:r>
    </w:p>
    <w:p w:rsidR="0088688C" w:rsidRPr="008322B5" w:rsidRDefault="0088688C" w:rsidP="0088688C">
      <w:pPr>
        <w:pStyle w:val="Sous-titreICH"/>
        <w:keepNext w:val="0"/>
        <w:spacing w:before="0"/>
        <w:ind w:right="136"/>
        <w:rPr>
          <w:smallCaps w:val="0"/>
          <w:sz w:val="24"/>
        </w:rPr>
      </w:pPr>
      <w:r w:rsidRPr="008322B5">
        <w:rPr>
          <w:smallCaps w:val="0"/>
          <w:sz w:val="24"/>
        </w:rPr>
        <w:t>Dossier de candidature n° 01265</w:t>
      </w:r>
      <w:r w:rsidRPr="008322B5">
        <w:rPr>
          <w:smallCaps w:val="0"/>
          <w:sz w:val="24"/>
        </w:rPr>
        <w:br/>
        <w:t>pour inscription en 2017 sur la Liste représentative</w:t>
      </w:r>
      <w:r w:rsidRPr="008322B5">
        <w:rPr>
          <w:smallCaps w:val="0"/>
          <w:sz w:val="24"/>
        </w:rPr>
        <w:br/>
        <w:t>du patrimoine culturel immatériel de l</w:t>
      </w:r>
      <w:r w:rsidR="009B42BE">
        <w:rPr>
          <w:smallCaps w:val="0"/>
          <w:sz w:val="24"/>
        </w:rPr>
        <w:t>’</w:t>
      </w:r>
      <w:r w:rsidRPr="008322B5">
        <w:rPr>
          <w:smallCaps w:val="0"/>
          <w:sz w:val="24"/>
        </w:rPr>
        <w:t>humanité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93570A" w:rsidRPr="008322B5" w:rsidTr="007B4F22">
        <w:tc>
          <w:tcPr>
            <w:tcW w:w="9639" w:type="dxa"/>
            <w:tcBorders>
              <w:top w:val="nil"/>
              <w:left w:val="nil"/>
              <w:bottom w:val="nil"/>
              <w:right w:val="nil"/>
            </w:tcBorders>
            <w:shd w:val="clear" w:color="auto" w:fill="D9D9D9"/>
          </w:tcPr>
          <w:p w:rsidR="0093570A" w:rsidRPr="008322B5" w:rsidRDefault="0093570A" w:rsidP="009B42BE">
            <w:pPr>
              <w:pStyle w:val="Grille01N"/>
              <w:keepNext w:val="0"/>
              <w:spacing w:line="240" w:lineRule="auto"/>
              <w:ind w:right="136"/>
              <w:jc w:val="left"/>
              <w:rPr>
                <w:rFonts w:cs="Arial"/>
                <w:smallCaps w:val="0"/>
                <w:sz w:val="24"/>
                <w:shd w:val="pct15" w:color="auto" w:fill="FFFFFF"/>
              </w:rPr>
            </w:pPr>
            <w:r w:rsidRPr="008322B5">
              <w:rPr>
                <w:smallCaps w:val="0"/>
                <w:sz w:val="24"/>
              </w:rPr>
              <w:t>A.</w:t>
            </w:r>
            <w:r w:rsidRPr="008322B5">
              <w:tab/>
            </w:r>
            <w:r w:rsidRPr="008322B5">
              <w:rPr>
                <w:smallCaps w:val="0"/>
                <w:sz w:val="24"/>
              </w:rPr>
              <w:t>État(s) partie(s)</w:t>
            </w:r>
          </w:p>
        </w:tc>
      </w:tr>
      <w:tr w:rsidR="0093570A" w:rsidRPr="008322B5" w:rsidTr="007B4F22">
        <w:tc>
          <w:tcPr>
            <w:tcW w:w="9639" w:type="dxa"/>
            <w:tcBorders>
              <w:top w:val="nil"/>
              <w:left w:val="nil"/>
              <w:bottom w:val="single" w:sz="4" w:space="0" w:color="auto"/>
              <w:right w:val="nil"/>
            </w:tcBorders>
            <w:shd w:val="clear" w:color="auto" w:fill="auto"/>
          </w:tcPr>
          <w:p w:rsidR="0093570A" w:rsidRPr="008322B5" w:rsidRDefault="0093570A" w:rsidP="007B4F22">
            <w:pPr>
              <w:pStyle w:val="Info03"/>
              <w:keepNext w:val="0"/>
              <w:spacing w:before="120" w:line="240" w:lineRule="auto"/>
              <w:ind w:right="135"/>
              <w:rPr>
                <w:rFonts w:eastAsia="SimSun"/>
                <w:bCs/>
                <w:sz w:val="18"/>
                <w:szCs w:val="18"/>
              </w:rPr>
            </w:pPr>
            <w:r w:rsidRPr="008322B5">
              <w:rPr>
                <w:sz w:val="18"/>
              </w:rPr>
              <w:t>Pour les candidatures multinationales, les États parties doivent figurer dans l</w:t>
            </w:r>
            <w:r w:rsidR="009B42BE">
              <w:rPr>
                <w:sz w:val="18"/>
              </w:rPr>
              <w:t>’</w:t>
            </w:r>
            <w:r w:rsidRPr="008322B5">
              <w:rPr>
                <w:sz w:val="18"/>
              </w:rPr>
              <w:t>ordre convenu d</w:t>
            </w:r>
            <w:r w:rsidR="009B42BE">
              <w:rPr>
                <w:sz w:val="18"/>
              </w:rPr>
              <w:t>’</w:t>
            </w:r>
            <w:r w:rsidRPr="008322B5">
              <w:rPr>
                <w:sz w:val="18"/>
              </w:rPr>
              <w:t>un commun accord.</w:t>
            </w:r>
          </w:p>
        </w:tc>
      </w:tr>
      <w:tr w:rsidR="0093570A"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93570A" w:rsidRPr="008322B5" w:rsidRDefault="00A42C35" w:rsidP="007B4F22">
            <w:pPr>
              <w:pStyle w:val="formtext"/>
              <w:spacing w:before="120" w:after="120" w:line="240" w:lineRule="auto"/>
              <w:ind w:right="135"/>
              <w:jc w:val="both"/>
            </w:pPr>
            <w:r w:rsidRPr="008322B5">
              <w:t>Les Pays-Bas</w:t>
            </w:r>
          </w:p>
        </w:tc>
      </w:tr>
      <w:tr w:rsidR="0093570A" w:rsidRPr="008322B5" w:rsidTr="007B4F22">
        <w:tc>
          <w:tcPr>
            <w:tcW w:w="9639" w:type="dxa"/>
            <w:tcBorders>
              <w:top w:val="nil"/>
              <w:left w:val="nil"/>
              <w:bottom w:val="nil"/>
              <w:right w:val="nil"/>
            </w:tcBorders>
            <w:shd w:val="clear" w:color="auto" w:fill="D9D9D9"/>
          </w:tcPr>
          <w:p w:rsidR="0093570A" w:rsidRPr="008322B5" w:rsidRDefault="0093570A" w:rsidP="009B42BE">
            <w:pPr>
              <w:pStyle w:val="Grille01"/>
              <w:spacing w:line="240" w:lineRule="auto"/>
              <w:ind w:right="136"/>
              <w:jc w:val="both"/>
              <w:rPr>
                <w:rFonts w:eastAsia="SimSun" w:cs="Arial"/>
                <w:smallCaps w:val="0"/>
                <w:sz w:val="24"/>
              </w:rPr>
            </w:pPr>
            <w:r w:rsidRPr="008322B5">
              <w:rPr>
                <w:smallCaps w:val="0"/>
                <w:sz w:val="24"/>
              </w:rPr>
              <w:t>B.</w:t>
            </w:r>
            <w:r w:rsidRPr="008322B5">
              <w:tab/>
            </w:r>
            <w:r w:rsidRPr="008322B5">
              <w:rPr>
                <w:smallCaps w:val="0"/>
                <w:sz w:val="24"/>
              </w:rPr>
              <w:t>Nom de l</w:t>
            </w:r>
            <w:r w:rsidR="009B42BE">
              <w:rPr>
                <w:smallCaps w:val="0"/>
                <w:sz w:val="24"/>
              </w:rPr>
              <w:t>’</w:t>
            </w:r>
            <w:r w:rsidRPr="008322B5">
              <w:rPr>
                <w:smallCaps w:val="0"/>
                <w:sz w:val="24"/>
              </w:rPr>
              <w:t>élément</w:t>
            </w:r>
          </w:p>
        </w:tc>
      </w:tr>
      <w:tr w:rsidR="0093570A" w:rsidRPr="008322B5" w:rsidTr="007B4F22">
        <w:tc>
          <w:tcPr>
            <w:tcW w:w="9639" w:type="dxa"/>
            <w:tcBorders>
              <w:top w:val="nil"/>
              <w:left w:val="nil"/>
              <w:right w:val="nil"/>
            </w:tcBorders>
            <w:shd w:val="clear" w:color="auto" w:fill="auto"/>
          </w:tcPr>
          <w:p w:rsidR="0093570A" w:rsidRPr="008322B5" w:rsidRDefault="0093570A" w:rsidP="007B4F22">
            <w:pPr>
              <w:pStyle w:val="Grille02N"/>
              <w:ind w:right="136"/>
              <w:jc w:val="left"/>
            </w:pPr>
            <w:r w:rsidRPr="008322B5">
              <w:t>B.1.</w:t>
            </w:r>
            <w:r w:rsidRPr="008322B5">
              <w:tab/>
              <w:t>Nom de l</w:t>
            </w:r>
            <w:r w:rsidR="009B42BE">
              <w:t>’</w:t>
            </w:r>
            <w:r w:rsidRPr="008322B5">
              <w:t>élément en anglais ou français</w:t>
            </w:r>
          </w:p>
          <w:p w:rsidR="0093570A" w:rsidRPr="008322B5" w:rsidRDefault="0093570A" w:rsidP="007B4F22">
            <w:pPr>
              <w:pStyle w:val="Info03"/>
              <w:keepNext w:val="0"/>
              <w:spacing w:before="120" w:after="0" w:line="240" w:lineRule="auto"/>
              <w:ind w:right="136"/>
              <w:rPr>
                <w:rFonts w:eastAsia="SimSun"/>
                <w:bCs/>
                <w:sz w:val="18"/>
                <w:szCs w:val="18"/>
              </w:rPr>
            </w:pPr>
            <w:r w:rsidRPr="008322B5">
              <w:rPr>
                <w:sz w:val="18"/>
              </w:rPr>
              <w:t>Indiquez le nom officiel de l</w:t>
            </w:r>
            <w:r w:rsidR="009B42BE">
              <w:rPr>
                <w:sz w:val="18"/>
              </w:rPr>
              <w:t>’</w:t>
            </w:r>
            <w:r w:rsidRPr="008322B5">
              <w:rPr>
                <w:sz w:val="18"/>
              </w:rPr>
              <w:t>élément qui apparaîtra dans les publications.</w:t>
            </w:r>
          </w:p>
          <w:p w:rsidR="0093570A" w:rsidRPr="008322B5" w:rsidRDefault="0093570A" w:rsidP="007B4F22">
            <w:pPr>
              <w:pStyle w:val="Info03"/>
              <w:spacing w:line="240" w:lineRule="auto"/>
              <w:ind w:right="136"/>
              <w:jc w:val="right"/>
              <w:rPr>
                <w:sz w:val="18"/>
                <w:szCs w:val="18"/>
              </w:rPr>
            </w:pPr>
            <w:r w:rsidRPr="008322B5">
              <w:rPr>
                <w:rStyle w:val="Emphasis"/>
                <w:i/>
                <w:color w:val="000000"/>
                <w:sz w:val="18"/>
              </w:rPr>
              <w:t>Ne pas dépasser 230 caractères</w:t>
            </w:r>
          </w:p>
        </w:tc>
      </w:tr>
      <w:tr w:rsidR="0093570A"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93570A" w:rsidRPr="008322B5" w:rsidRDefault="00846A7D" w:rsidP="007B4F22">
            <w:pPr>
              <w:pStyle w:val="formtext"/>
              <w:spacing w:before="120" w:after="120" w:line="240" w:lineRule="auto"/>
              <w:ind w:right="136"/>
              <w:jc w:val="both"/>
            </w:pPr>
            <w:r w:rsidRPr="008322B5">
              <w:t>Les savoir-faire du meunier liés à l</w:t>
            </w:r>
            <w:r w:rsidR="009B42BE">
              <w:t>’</w:t>
            </w:r>
            <w:r w:rsidRPr="008322B5">
              <w:t>exploitation des moulins à vent et à eau</w:t>
            </w:r>
          </w:p>
        </w:tc>
      </w:tr>
      <w:tr w:rsidR="0093570A" w:rsidRPr="008322B5" w:rsidTr="007B4F22">
        <w:tc>
          <w:tcPr>
            <w:tcW w:w="9639" w:type="dxa"/>
            <w:tcBorders>
              <w:top w:val="nil"/>
              <w:left w:val="nil"/>
              <w:bottom w:val="single" w:sz="4" w:space="0" w:color="auto"/>
              <w:right w:val="nil"/>
            </w:tcBorders>
            <w:shd w:val="clear" w:color="auto" w:fill="auto"/>
          </w:tcPr>
          <w:p w:rsidR="0093570A" w:rsidRPr="008322B5" w:rsidRDefault="0093570A" w:rsidP="007B4F22">
            <w:pPr>
              <w:pStyle w:val="Grille02N"/>
              <w:keepNext w:val="0"/>
              <w:ind w:left="680" w:right="136" w:hanging="567"/>
              <w:jc w:val="left"/>
            </w:pPr>
            <w:r w:rsidRPr="008322B5">
              <w:t>B.2.</w:t>
            </w:r>
            <w:r w:rsidRPr="008322B5">
              <w:tab/>
              <w:t>Nom de l</w:t>
            </w:r>
            <w:r w:rsidR="009B42BE">
              <w:t>’</w:t>
            </w:r>
            <w:r w:rsidRPr="008322B5">
              <w:t>élément dans la langue et l</w:t>
            </w:r>
            <w:r w:rsidR="009B42BE">
              <w:t>’</w:t>
            </w:r>
            <w:r w:rsidRPr="008322B5">
              <w:t xml:space="preserve">écriture de la communauté concernée, </w:t>
            </w:r>
            <w:r w:rsidRPr="008322B5">
              <w:br/>
              <w:t>le cas échéant</w:t>
            </w:r>
          </w:p>
          <w:p w:rsidR="0093570A" w:rsidRPr="008322B5" w:rsidRDefault="0093570A" w:rsidP="007B4F22">
            <w:pPr>
              <w:pStyle w:val="Info03"/>
              <w:keepNext w:val="0"/>
              <w:spacing w:before="120" w:after="0" w:line="240" w:lineRule="auto"/>
              <w:ind w:right="136"/>
              <w:rPr>
                <w:rFonts w:eastAsia="SimSun"/>
                <w:bCs/>
                <w:sz w:val="18"/>
                <w:szCs w:val="18"/>
              </w:rPr>
            </w:pPr>
            <w:r w:rsidRPr="008322B5">
              <w:rPr>
                <w:sz w:val="18"/>
              </w:rPr>
              <w:t>Indiquez le nom officiel de l</w:t>
            </w:r>
            <w:r w:rsidR="009B42BE">
              <w:rPr>
                <w:sz w:val="18"/>
              </w:rPr>
              <w:t>’</w:t>
            </w:r>
            <w:r w:rsidRPr="008322B5">
              <w:rPr>
                <w:sz w:val="18"/>
              </w:rPr>
              <w:t>élément dans la langue vernaculaire qui correspond au nom officiel en anglais ou en français (point B.1).</w:t>
            </w:r>
          </w:p>
          <w:p w:rsidR="0093570A" w:rsidRPr="008322B5" w:rsidRDefault="0093570A" w:rsidP="007B4F22">
            <w:pPr>
              <w:pStyle w:val="Info03"/>
              <w:keepNext w:val="0"/>
              <w:spacing w:line="240" w:lineRule="auto"/>
              <w:ind w:right="136"/>
              <w:jc w:val="right"/>
              <w:rPr>
                <w:i w:val="0"/>
                <w:sz w:val="18"/>
                <w:szCs w:val="18"/>
              </w:rPr>
            </w:pPr>
            <w:r w:rsidRPr="008322B5">
              <w:rPr>
                <w:rStyle w:val="Emphasis"/>
                <w:i/>
                <w:color w:val="000000"/>
                <w:sz w:val="18"/>
              </w:rPr>
              <w:t>Ne pas dépasser 230 caractères</w:t>
            </w:r>
          </w:p>
        </w:tc>
      </w:tr>
      <w:tr w:rsidR="0093570A"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93570A" w:rsidRPr="008322B5" w:rsidRDefault="00A42C35" w:rsidP="009B42BE">
            <w:pPr>
              <w:pStyle w:val="formtext"/>
              <w:spacing w:before="0" w:after="120" w:line="240" w:lineRule="auto"/>
              <w:ind w:right="136"/>
              <w:jc w:val="both"/>
              <w:rPr>
                <w:noProof/>
                <w:lang w:val="nl-NL"/>
              </w:rPr>
            </w:pPr>
            <w:r w:rsidRPr="008322B5">
              <w:rPr>
                <w:lang w:val="nl-NL"/>
              </w:rPr>
              <w:t xml:space="preserve">En néerlandais : </w:t>
            </w:r>
            <w:r w:rsidRPr="008322B5">
              <w:rPr>
                <w:noProof/>
                <w:lang w:val="nl-NL"/>
              </w:rPr>
              <w:t>Het ambacht van molenaar op wind- en watermolens</w:t>
            </w:r>
          </w:p>
          <w:p w:rsidR="00A42C35" w:rsidRPr="008322B5" w:rsidRDefault="00A42C35" w:rsidP="009B42BE">
            <w:pPr>
              <w:pStyle w:val="formtext"/>
              <w:spacing w:before="120" w:after="0" w:line="240" w:lineRule="auto"/>
              <w:ind w:right="136"/>
              <w:jc w:val="both"/>
            </w:pPr>
            <w:r w:rsidRPr="008322B5">
              <w:t xml:space="preserve">En langue frisonne (province de Fries) : </w:t>
            </w:r>
            <w:r w:rsidRPr="008322B5">
              <w:rPr>
                <w:noProof/>
              </w:rPr>
              <w:t>Mûndersambacht</w:t>
            </w:r>
          </w:p>
        </w:tc>
      </w:tr>
      <w:tr w:rsidR="0093570A" w:rsidRPr="008322B5" w:rsidTr="007B4F22">
        <w:tc>
          <w:tcPr>
            <w:tcW w:w="9639" w:type="dxa"/>
            <w:tcBorders>
              <w:top w:val="nil"/>
              <w:left w:val="nil"/>
              <w:bottom w:val="single" w:sz="4" w:space="0" w:color="auto"/>
              <w:right w:val="nil"/>
            </w:tcBorders>
            <w:shd w:val="clear" w:color="auto" w:fill="auto"/>
          </w:tcPr>
          <w:p w:rsidR="0093570A" w:rsidRPr="008322B5" w:rsidRDefault="0093570A" w:rsidP="009B42BE">
            <w:pPr>
              <w:pStyle w:val="Grille02N"/>
              <w:keepNext w:val="0"/>
              <w:ind w:right="136"/>
              <w:jc w:val="left"/>
              <w:rPr>
                <w:bCs w:val="0"/>
              </w:rPr>
            </w:pPr>
            <w:r w:rsidRPr="008322B5">
              <w:t>B.3.</w:t>
            </w:r>
            <w:r w:rsidRPr="008322B5">
              <w:tab/>
              <w:t>Autre(s) nom(s) de l</w:t>
            </w:r>
            <w:r w:rsidR="009B42BE">
              <w:t>’</w:t>
            </w:r>
            <w:r w:rsidRPr="008322B5">
              <w:t>élément, le cas échéant</w:t>
            </w:r>
          </w:p>
          <w:p w:rsidR="0093570A" w:rsidRPr="008322B5" w:rsidRDefault="0093570A" w:rsidP="007B4F22">
            <w:pPr>
              <w:pStyle w:val="Info03"/>
              <w:spacing w:before="120" w:line="240" w:lineRule="auto"/>
              <w:ind w:right="135"/>
              <w:rPr>
                <w:rFonts w:eastAsia="SimSun"/>
                <w:bCs/>
                <w:sz w:val="18"/>
                <w:szCs w:val="18"/>
              </w:rPr>
            </w:pPr>
            <w:r w:rsidRPr="008322B5">
              <w:rPr>
                <w:sz w:val="18"/>
              </w:rPr>
              <w:t>Outre le(s) nom(s) officiel(s) de l</w:t>
            </w:r>
            <w:r w:rsidR="009B42BE">
              <w:rPr>
                <w:sz w:val="18"/>
              </w:rPr>
              <w:t>’</w:t>
            </w:r>
            <w:r w:rsidRPr="008322B5">
              <w:rPr>
                <w:sz w:val="18"/>
              </w:rPr>
              <w:t>élément (point B.1), mentionnez, le cas échéant, le/les autre(s) nom(s) de l</w:t>
            </w:r>
            <w:r w:rsidR="009B42BE">
              <w:rPr>
                <w:sz w:val="18"/>
              </w:rPr>
              <w:t>’</w:t>
            </w:r>
            <w:r w:rsidRPr="008322B5">
              <w:rPr>
                <w:sz w:val="18"/>
              </w:rPr>
              <w:t>élément par lequel l</w:t>
            </w:r>
            <w:r w:rsidR="009B42BE">
              <w:rPr>
                <w:sz w:val="18"/>
              </w:rPr>
              <w:t>’</w:t>
            </w:r>
            <w:r w:rsidRPr="008322B5">
              <w:rPr>
                <w:sz w:val="18"/>
              </w:rPr>
              <w:t>élément est également désigné.</w:t>
            </w:r>
          </w:p>
        </w:tc>
      </w:tr>
      <w:tr w:rsidR="0093570A"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93570A" w:rsidRPr="008322B5" w:rsidRDefault="0093570A" w:rsidP="009B42BE">
            <w:pPr>
              <w:pStyle w:val="formtext"/>
              <w:spacing w:before="0" w:after="0" w:line="240" w:lineRule="auto"/>
              <w:ind w:right="136"/>
              <w:jc w:val="both"/>
            </w:pPr>
          </w:p>
        </w:tc>
      </w:tr>
      <w:tr w:rsidR="0093570A" w:rsidRPr="008322B5" w:rsidTr="007B4F22">
        <w:tc>
          <w:tcPr>
            <w:tcW w:w="9639" w:type="dxa"/>
            <w:tcBorders>
              <w:top w:val="nil"/>
              <w:left w:val="nil"/>
              <w:bottom w:val="nil"/>
              <w:right w:val="nil"/>
            </w:tcBorders>
            <w:shd w:val="clear" w:color="auto" w:fill="D9D9D9"/>
          </w:tcPr>
          <w:p w:rsidR="0093570A" w:rsidRPr="008322B5" w:rsidRDefault="0093570A" w:rsidP="009B42BE">
            <w:pPr>
              <w:pStyle w:val="Grille02N"/>
              <w:ind w:left="680" w:right="136" w:hanging="567"/>
              <w:jc w:val="left"/>
              <w:rPr>
                <w:bCs w:val="0"/>
                <w:sz w:val="24"/>
                <w:szCs w:val="24"/>
                <w:shd w:val="pct15" w:color="auto" w:fill="FFFFFF"/>
              </w:rPr>
            </w:pPr>
            <w:r w:rsidRPr="008322B5">
              <w:rPr>
                <w:sz w:val="24"/>
              </w:rPr>
              <w:lastRenderedPageBreak/>
              <w:t>C.</w:t>
            </w:r>
            <w:r w:rsidRPr="008322B5">
              <w:tab/>
            </w:r>
            <w:r w:rsidRPr="008322B5">
              <w:rPr>
                <w:sz w:val="24"/>
              </w:rPr>
              <w:t>Nom des communautés, des groupes ou, le cas échéant, des individus concernés</w:t>
            </w:r>
          </w:p>
        </w:tc>
      </w:tr>
      <w:tr w:rsidR="0093570A" w:rsidRPr="008322B5" w:rsidTr="007B4F22">
        <w:tc>
          <w:tcPr>
            <w:tcW w:w="9639" w:type="dxa"/>
            <w:tcBorders>
              <w:top w:val="nil"/>
              <w:left w:val="nil"/>
              <w:right w:val="nil"/>
            </w:tcBorders>
            <w:shd w:val="clear" w:color="auto" w:fill="auto"/>
          </w:tcPr>
          <w:p w:rsidR="0093570A" w:rsidRPr="008322B5" w:rsidRDefault="0093570A" w:rsidP="007B4F22">
            <w:pPr>
              <w:pStyle w:val="Info03"/>
              <w:spacing w:before="120" w:line="240" w:lineRule="auto"/>
              <w:ind w:right="135"/>
              <w:rPr>
                <w:rFonts w:eastAsia="SimSun"/>
                <w:sz w:val="18"/>
                <w:szCs w:val="18"/>
              </w:rPr>
            </w:pPr>
            <w:r w:rsidRPr="008322B5">
              <w:rPr>
                <w:sz w:val="18"/>
              </w:rPr>
              <w:t>Identifiez clairement un ou plusieurs communautés, groupes ou, le cas échéant, individus concernés par l</w:t>
            </w:r>
            <w:r w:rsidR="009B42BE">
              <w:rPr>
                <w:sz w:val="18"/>
              </w:rPr>
              <w:t>’</w:t>
            </w:r>
            <w:r w:rsidRPr="008322B5">
              <w:rPr>
                <w:sz w:val="18"/>
              </w:rPr>
              <w:t>élément proposé.</w:t>
            </w:r>
          </w:p>
          <w:p w:rsidR="0093570A" w:rsidRPr="008322B5" w:rsidRDefault="0093570A" w:rsidP="009B42BE">
            <w:pPr>
              <w:pStyle w:val="Info03"/>
              <w:spacing w:line="240" w:lineRule="auto"/>
              <w:ind w:right="136"/>
              <w:jc w:val="right"/>
              <w:rPr>
                <w:rFonts w:eastAsia="SimSun"/>
                <w:sz w:val="18"/>
                <w:szCs w:val="18"/>
              </w:rPr>
            </w:pPr>
            <w:r w:rsidRPr="008322B5">
              <w:rPr>
                <w:rStyle w:val="Emphasis"/>
                <w:i/>
                <w:color w:val="000000"/>
                <w:sz w:val="18"/>
              </w:rPr>
              <w:t>Ne pas dépasser 170 mots</w:t>
            </w:r>
          </w:p>
        </w:tc>
      </w:tr>
      <w:tr w:rsidR="0093570A"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9B42BE">
            <w:pPr>
              <w:pStyle w:val="Grille02N"/>
              <w:spacing w:before="0"/>
              <w:ind w:left="0" w:right="142"/>
              <w:jc w:val="both"/>
              <w:rPr>
                <w:b w:val="0"/>
                <w:noProof/>
              </w:rPr>
            </w:pPr>
            <w:r w:rsidRPr="008322B5">
              <w:rPr>
                <w:b w:val="0"/>
                <w:noProof/>
              </w:rPr>
              <w:t>Les personnes concernées sont des meuniers volontaires et professionnels qui exploitent environ 1</w:t>
            </w:r>
            <w:r w:rsidR="003D0E3F" w:rsidRPr="008322B5">
              <w:rPr>
                <w:b w:val="0"/>
                <w:noProof/>
              </w:rPr>
              <w:t> </w:t>
            </w:r>
            <w:r w:rsidRPr="008322B5">
              <w:rPr>
                <w:b w:val="0"/>
                <w:noProof/>
              </w:rPr>
              <w:t xml:space="preserve">200 moulins à vent et moulins à eau aux Pays-Bas. </w:t>
            </w:r>
            <w:r w:rsidR="003D0E3F" w:rsidRPr="008322B5">
              <w:rPr>
                <w:b w:val="0"/>
                <w:noProof/>
              </w:rPr>
              <w:t xml:space="preserve">De nombreuses </w:t>
            </w:r>
            <w:r w:rsidRPr="008322B5">
              <w:rPr>
                <w:b w:val="0"/>
                <w:noProof/>
              </w:rPr>
              <w:t>autres personnes travaillent dans des moulins ou dans ce domaine, par exemple les vendeurs dans les boutiques de produits artisanaux et les guides qui font découvrir les moulins aux scolaires. Les moulins et les meuniers jouent un rôle important dans les communautés locales, non seulement sur le plan social et économique, mais aussi sur le plan culturel.</w:t>
            </w:r>
          </w:p>
          <w:p w:rsidR="00846A7D" w:rsidRPr="008322B5" w:rsidRDefault="00846A7D" w:rsidP="009B42BE">
            <w:pPr>
              <w:pStyle w:val="Grille02N"/>
              <w:ind w:left="0" w:right="142"/>
              <w:jc w:val="both"/>
              <w:rPr>
                <w:b w:val="0"/>
                <w:noProof/>
              </w:rPr>
            </w:pPr>
            <w:r w:rsidRPr="008322B5">
              <w:rPr>
                <w:b w:val="0"/>
                <w:noProof/>
              </w:rPr>
              <w:t xml:space="preserve">Les meuniers </w:t>
            </w:r>
            <w:r w:rsidR="00802F35" w:rsidRPr="008322B5">
              <w:rPr>
                <w:b w:val="0"/>
                <w:noProof/>
              </w:rPr>
              <w:t>néerlandais</w:t>
            </w:r>
            <w:r w:rsidRPr="008322B5">
              <w:rPr>
                <w:b w:val="0"/>
                <w:noProof/>
              </w:rPr>
              <w:t xml:space="preserve"> se sont organisés en différentes associations communautaires, dont les suivantes ont participé directement à la préparation de cette candidature :</w:t>
            </w:r>
          </w:p>
          <w:p w:rsidR="00846A7D" w:rsidRPr="008322B5" w:rsidRDefault="00846A7D" w:rsidP="009B42BE">
            <w:pPr>
              <w:pStyle w:val="Grille02N"/>
              <w:ind w:left="0" w:right="142"/>
              <w:jc w:val="both"/>
              <w:rPr>
                <w:b w:val="0"/>
                <w:noProof/>
              </w:rPr>
            </w:pPr>
            <w:r w:rsidRPr="008322B5">
              <w:rPr>
                <w:b w:val="0"/>
                <w:noProof/>
              </w:rPr>
              <w:t xml:space="preserve">- </w:t>
            </w:r>
            <w:r w:rsidRPr="008322B5">
              <w:rPr>
                <w:b w:val="0"/>
                <w:i/>
                <w:noProof/>
              </w:rPr>
              <w:t>Gilde van Vrijwillige Molenaars</w:t>
            </w:r>
            <w:r w:rsidRPr="008322B5">
              <w:rPr>
                <w:b w:val="0"/>
                <w:noProof/>
              </w:rPr>
              <w:t xml:space="preserve"> [Guilde des meuniers volontaires] : près de 2500 meuniers volontaires et </w:t>
            </w:r>
            <w:r w:rsidR="00802F35" w:rsidRPr="008322B5">
              <w:rPr>
                <w:b w:val="0"/>
                <w:noProof/>
              </w:rPr>
              <w:t>sections dans chaque province.</w:t>
            </w:r>
          </w:p>
          <w:p w:rsidR="00846A7D" w:rsidRPr="008322B5" w:rsidRDefault="00846A7D" w:rsidP="009B42BE">
            <w:pPr>
              <w:pStyle w:val="Grille02N"/>
              <w:ind w:left="0" w:right="142"/>
              <w:jc w:val="both"/>
              <w:rPr>
                <w:b w:val="0"/>
                <w:noProof/>
              </w:rPr>
            </w:pPr>
            <w:r w:rsidRPr="008322B5">
              <w:rPr>
                <w:b w:val="0"/>
                <w:noProof/>
              </w:rPr>
              <w:t xml:space="preserve">- </w:t>
            </w:r>
            <w:r w:rsidRPr="008322B5">
              <w:rPr>
                <w:b w:val="0"/>
                <w:i/>
                <w:noProof/>
              </w:rPr>
              <w:t>Gild Fryske Mounders</w:t>
            </w:r>
            <w:r w:rsidRPr="008322B5">
              <w:rPr>
                <w:b w:val="0"/>
                <w:noProof/>
              </w:rPr>
              <w:t xml:space="preserve"> [Guilde des meuniers frisons] : 300 membres, dont 200 so</w:t>
            </w:r>
            <w:r w:rsidR="00802F35" w:rsidRPr="008322B5">
              <w:rPr>
                <w:b w:val="0"/>
                <w:noProof/>
              </w:rPr>
              <w:t>nt meuniers volontaires actifs.</w:t>
            </w:r>
          </w:p>
          <w:p w:rsidR="00846A7D" w:rsidRPr="008322B5" w:rsidRDefault="00846A7D" w:rsidP="009B42BE">
            <w:pPr>
              <w:pStyle w:val="Grille02N"/>
              <w:ind w:left="0" w:right="142"/>
              <w:jc w:val="both"/>
              <w:rPr>
                <w:b w:val="0"/>
                <w:noProof/>
              </w:rPr>
            </w:pPr>
            <w:r w:rsidRPr="008322B5">
              <w:rPr>
                <w:b w:val="0"/>
                <w:noProof/>
              </w:rPr>
              <w:t xml:space="preserve">- </w:t>
            </w:r>
            <w:r w:rsidRPr="008322B5">
              <w:rPr>
                <w:b w:val="0"/>
                <w:i/>
                <w:noProof/>
              </w:rPr>
              <w:t>Ambachtelijk Korenmolenaars Gilde</w:t>
            </w:r>
            <w:r w:rsidRPr="008322B5">
              <w:rPr>
                <w:b w:val="0"/>
                <w:noProof/>
              </w:rPr>
              <w:t xml:space="preserve"> [Guilde des meuniers traditionnels] : environ 40 meuniers professionnels.</w:t>
            </w:r>
          </w:p>
          <w:p w:rsidR="0093570A" w:rsidRPr="008322B5" w:rsidRDefault="00846A7D" w:rsidP="009B42BE">
            <w:pPr>
              <w:pStyle w:val="Rponse"/>
              <w:keepNext/>
              <w:spacing w:before="120" w:after="0" w:line="240" w:lineRule="auto"/>
              <w:ind w:right="136"/>
            </w:pPr>
            <w:r w:rsidRPr="008322B5">
              <w:t xml:space="preserve">- </w:t>
            </w:r>
            <w:r w:rsidRPr="008322B5">
              <w:rPr>
                <w:i/>
              </w:rPr>
              <w:t>Vereniging De Hollandsche Molen</w:t>
            </w:r>
            <w:r w:rsidRPr="008322B5">
              <w:t xml:space="preserve"> [Société des moulins néerlandais] : l</w:t>
            </w:r>
            <w:r w:rsidR="009B42BE">
              <w:t>’</w:t>
            </w:r>
            <w:r w:rsidRPr="008322B5">
              <w:t>objectif plus large de ses 5000 membres et bénéficiaires est de gérer et sauvegarder les moulins à vent et les moulins à eau.</w:t>
            </w:r>
          </w:p>
        </w:tc>
      </w:tr>
      <w:tr w:rsidR="0093570A" w:rsidRPr="008322B5" w:rsidTr="007B4F22">
        <w:tc>
          <w:tcPr>
            <w:tcW w:w="9639" w:type="dxa"/>
            <w:tcBorders>
              <w:top w:val="nil"/>
              <w:left w:val="nil"/>
              <w:bottom w:val="nil"/>
              <w:right w:val="nil"/>
            </w:tcBorders>
            <w:shd w:val="clear" w:color="auto" w:fill="D9D9D9"/>
          </w:tcPr>
          <w:p w:rsidR="0093570A" w:rsidRPr="008322B5" w:rsidRDefault="0093570A" w:rsidP="009B42BE">
            <w:pPr>
              <w:pStyle w:val="BodyText3Char"/>
              <w:keepNext w:val="0"/>
              <w:spacing w:line="240" w:lineRule="auto"/>
              <w:ind w:left="567" w:right="136" w:hanging="454"/>
              <w:jc w:val="both"/>
              <w:rPr>
                <w:bCs/>
                <w:sz w:val="24"/>
                <w:szCs w:val="24"/>
              </w:rPr>
            </w:pPr>
            <w:r w:rsidRPr="008322B5">
              <w:rPr>
                <w:sz w:val="24"/>
              </w:rPr>
              <w:t>D.</w:t>
            </w:r>
            <w:r w:rsidRPr="008322B5">
              <w:tab/>
            </w:r>
            <w:r w:rsidRPr="008322B5">
              <w:rPr>
                <w:sz w:val="24"/>
              </w:rPr>
              <w:t>Localisation géographique et étendue de l</w:t>
            </w:r>
            <w:r w:rsidR="009B42BE">
              <w:rPr>
                <w:sz w:val="24"/>
              </w:rPr>
              <w:t>’</w:t>
            </w:r>
            <w:r w:rsidRPr="008322B5">
              <w:rPr>
                <w:sz w:val="24"/>
              </w:rPr>
              <w:t>élément</w:t>
            </w:r>
          </w:p>
        </w:tc>
      </w:tr>
      <w:tr w:rsidR="0093570A" w:rsidRPr="008322B5" w:rsidTr="007B4F22">
        <w:tc>
          <w:tcPr>
            <w:tcW w:w="9639" w:type="dxa"/>
            <w:tcBorders>
              <w:top w:val="nil"/>
              <w:left w:val="nil"/>
              <w:right w:val="nil"/>
            </w:tcBorders>
            <w:shd w:val="clear" w:color="auto" w:fill="auto"/>
          </w:tcPr>
          <w:p w:rsidR="0093570A" w:rsidRPr="008322B5" w:rsidRDefault="0093570A" w:rsidP="007B4F22">
            <w:pPr>
              <w:pStyle w:val="Info03"/>
              <w:spacing w:before="120" w:line="240" w:lineRule="auto"/>
              <w:ind w:right="135"/>
              <w:rPr>
                <w:rFonts w:eastAsia="SimSun"/>
                <w:strike/>
                <w:sz w:val="18"/>
                <w:szCs w:val="18"/>
              </w:rPr>
            </w:pPr>
            <w:r w:rsidRPr="008322B5">
              <w:rPr>
                <w:sz w:val="18"/>
              </w:rPr>
              <w:t>Fournissez des informations sur la présence de l</w:t>
            </w:r>
            <w:r w:rsidR="009B42BE">
              <w:rPr>
                <w:sz w:val="18"/>
              </w:rPr>
              <w:t>’</w:t>
            </w:r>
            <w:r w:rsidRPr="008322B5">
              <w:rPr>
                <w:sz w:val="18"/>
              </w:rPr>
              <w:t>élément sur le(s) territoire(s) de l</w:t>
            </w:r>
            <w:r w:rsidR="009B42BE">
              <w:rPr>
                <w:sz w:val="18"/>
              </w:rPr>
              <w:t>’</w:t>
            </w:r>
            <w:r w:rsidRPr="008322B5">
              <w:rPr>
                <w:sz w:val="18"/>
              </w:rPr>
              <w:t>(des) État(s) soumissionnaire(s), en indiquant si possible le(s) lieu(x) où il se concentre. Les candidatures devraient se concentrer sur la situation de l</w:t>
            </w:r>
            <w:r w:rsidR="009B42BE">
              <w:rPr>
                <w:sz w:val="18"/>
              </w:rPr>
              <w:t>’</w:t>
            </w:r>
            <w:r w:rsidRPr="008322B5">
              <w:rPr>
                <w:sz w:val="18"/>
              </w:rPr>
              <w:t>élément au sein des territoires des États soumissionnaires, tout en reconnaissant l</w:t>
            </w:r>
            <w:r w:rsidR="009B42BE">
              <w:rPr>
                <w:sz w:val="18"/>
              </w:rPr>
              <w:t>’</w:t>
            </w:r>
            <w:r w:rsidRPr="008322B5">
              <w:rPr>
                <w:sz w:val="18"/>
              </w:rPr>
              <w:t>existence d</w:t>
            </w:r>
            <w:r w:rsidR="009B42BE">
              <w:rPr>
                <w:sz w:val="18"/>
              </w:rPr>
              <w:t>’</w:t>
            </w:r>
            <w:r w:rsidRPr="008322B5">
              <w:rPr>
                <w:sz w:val="18"/>
              </w:rPr>
              <w:t>éléments identiques ou similaires hors de leurs territoires et les États soumissionnaires ne devraient pas se référer à la viabilité d</w:t>
            </w:r>
            <w:r w:rsidR="009B42BE">
              <w:rPr>
                <w:sz w:val="18"/>
              </w:rPr>
              <w:t>’</w:t>
            </w:r>
            <w:r w:rsidRPr="008322B5">
              <w:rPr>
                <w:sz w:val="18"/>
              </w:rPr>
              <w:t>un tel patrimoine culturel immatériel hors de leur territoire ou caractériser les efforts de sauvegarde d</w:t>
            </w:r>
            <w:r w:rsidR="009B42BE">
              <w:rPr>
                <w:sz w:val="18"/>
              </w:rPr>
              <w:t>’</w:t>
            </w:r>
            <w:r w:rsidRPr="008322B5">
              <w:rPr>
                <w:sz w:val="18"/>
              </w:rPr>
              <w:t>autres États.</w:t>
            </w:r>
          </w:p>
          <w:p w:rsidR="0093570A" w:rsidRPr="008322B5" w:rsidRDefault="0093570A" w:rsidP="007B4F22">
            <w:pPr>
              <w:pStyle w:val="Info03"/>
              <w:spacing w:before="120" w:line="240" w:lineRule="auto"/>
              <w:ind w:right="135"/>
              <w:jc w:val="right"/>
              <w:rPr>
                <w:rFonts w:eastAsia="SimSun"/>
                <w:sz w:val="18"/>
                <w:szCs w:val="18"/>
              </w:rPr>
            </w:pPr>
            <w:r w:rsidRPr="008322B5">
              <w:rPr>
                <w:rStyle w:val="Emphasis"/>
                <w:i/>
                <w:color w:val="000000"/>
                <w:sz w:val="18"/>
              </w:rPr>
              <w:t>Ne pas dépasser 170 mots</w:t>
            </w:r>
          </w:p>
        </w:tc>
      </w:tr>
      <w:tr w:rsidR="0093570A"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93570A" w:rsidRPr="008322B5" w:rsidRDefault="00846A7D" w:rsidP="009B42BE">
            <w:pPr>
              <w:pStyle w:val="Rponse"/>
              <w:keepNext/>
              <w:spacing w:before="0" w:after="0" w:line="240" w:lineRule="auto"/>
              <w:ind w:right="136"/>
            </w:pPr>
            <w:r w:rsidRPr="008322B5">
              <w:t>Cette candidature concerne les savoir-faire du meunier tels qu</w:t>
            </w:r>
            <w:r w:rsidR="009B42BE">
              <w:t>’</w:t>
            </w:r>
            <w:r w:rsidRPr="008322B5">
              <w:t>ils sont pratiqués aux Pays-Bas. Les 1</w:t>
            </w:r>
            <w:r w:rsidR="003D0E3F" w:rsidRPr="008322B5">
              <w:t> </w:t>
            </w:r>
            <w:r w:rsidRPr="008322B5">
              <w:t>200 moulins qu</w:t>
            </w:r>
            <w:r w:rsidR="009B42BE">
              <w:t>’</w:t>
            </w:r>
            <w:r w:rsidRPr="008322B5">
              <w:t>exploitent les meuniers sont répartis à travers tout le pays. La province de Holl</w:t>
            </w:r>
            <w:r w:rsidR="00802F35" w:rsidRPr="008322B5">
              <w:t>ande-Méridionale est celle qui compte</w:t>
            </w:r>
            <w:r w:rsidRPr="008322B5">
              <w:t xml:space="preserve"> le plus grand nombre de moulins à vent. Les moulins à eau se trouvent essentiellement dans les provinces d</w:t>
            </w:r>
            <w:r w:rsidR="009B42BE">
              <w:t>’</w:t>
            </w:r>
            <w:r w:rsidRPr="008322B5">
              <w:t>Overijssel, de Gueldre, du Brabant Septentrional et de Limbourg. La Guilde des meuniers volontaires regroupe tous les meuniers volontaires des Pays-Bas. La Guilde des meuniers traditionnels est également présente à l</w:t>
            </w:r>
            <w:r w:rsidR="009B42BE">
              <w:t>’</w:t>
            </w:r>
            <w:r w:rsidRPr="008322B5">
              <w:t>échelon national, tout comme la Société des moulins néerlandais. La Guilde des meuniers frisons regroupe les meuniers de la province de Frise.</w:t>
            </w:r>
          </w:p>
        </w:tc>
      </w:tr>
      <w:tr w:rsidR="0093570A" w:rsidRPr="008322B5" w:rsidTr="007B4F22">
        <w:tc>
          <w:tcPr>
            <w:tcW w:w="9639" w:type="dxa"/>
            <w:tcBorders>
              <w:top w:val="nil"/>
              <w:left w:val="nil"/>
              <w:bottom w:val="nil"/>
              <w:right w:val="nil"/>
            </w:tcBorders>
            <w:shd w:val="clear" w:color="auto" w:fill="D9D9D9"/>
          </w:tcPr>
          <w:p w:rsidR="0093570A" w:rsidRPr="008322B5" w:rsidRDefault="0093570A" w:rsidP="009B42BE">
            <w:pPr>
              <w:pStyle w:val="BodyText3Char"/>
              <w:keepNext w:val="0"/>
              <w:spacing w:line="240" w:lineRule="auto"/>
              <w:ind w:left="567" w:right="136" w:hanging="454"/>
              <w:jc w:val="both"/>
              <w:rPr>
                <w:bCs/>
                <w:sz w:val="24"/>
                <w:szCs w:val="24"/>
                <w:shd w:val="pct15" w:color="auto" w:fill="FFFFFF"/>
              </w:rPr>
            </w:pPr>
            <w:r w:rsidRPr="008322B5">
              <w:rPr>
                <w:sz w:val="24"/>
              </w:rPr>
              <w:t>E.</w:t>
            </w:r>
            <w:r w:rsidRPr="008322B5">
              <w:tab/>
            </w:r>
            <w:r w:rsidRPr="008322B5">
              <w:rPr>
                <w:sz w:val="24"/>
              </w:rPr>
              <w:t xml:space="preserve">Personne à contacter pour la correspondance </w:t>
            </w:r>
          </w:p>
        </w:tc>
      </w:tr>
      <w:tr w:rsidR="0093570A" w:rsidRPr="008322B5" w:rsidTr="007B4F22">
        <w:tc>
          <w:tcPr>
            <w:tcW w:w="9639" w:type="dxa"/>
            <w:tcBorders>
              <w:top w:val="nil"/>
              <w:left w:val="nil"/>
              <w:bottom w:val="nil"/>
              <w:right w:val="nil"/>
            </w:tcBorders>
            <w:shd w:val="clear" w:color="auto" w:fill="auto"/>
          </w:tcPr>
          <w:p w:rsidR="0093570A" w:rsidRPr="008322B5" w:rsidRDefault="0093570A" w:rsidP="007B4F22">
            <w:pPr>
              <w:pStyle w:val="Info03"/>
              <w:keepNext w:val="0"/>
              <w:spacing w:before="120" w:line="240" w:lineRule="auto"/>
              <w:ind w:right="135"/>
              <w:rPr>
                <w:rFonts w:eastAsia="SimSun"/>
                <w:b/>
                <w:i w:val="0"/>
                <w:sz w:val="22"/>
              </w:rPr>
            </w:pPr>
            <w:r w:rsidRPr="008322B5">
              <w:rPr>
                <w:b/>
                <w:i w:val="0"/>
                <w:sz w:val="22"/>
              </w:rPr>
              <w:t>E.1. Personne contact désignée</w:t>
            </w:r>
          </w:p>
          <w:p w:rsidR="0093570A" w:rsidRPr="008322B5" w:rsidRDefault="0093570A" w:rsidP="007B4F22">
            <w:pPr>
              <w:pStyle w:val="Info03"/>
              <w:keepNext w:val="0"/>
              <w:spacing w:before="120" w:line="240" w:lineRule="auto"/>
              <w:ind w:right="135"/>
              <w:rPr>
                <w:rFonts w:eastAsia="SimSun"/>
                <w:sz w:val="18"/>
                <w:szCs w:val="18"/>
              </w:rPr>
            </w:pPr>
            <w:r w:rsidRPr="008322B5">
              <w:rPr>
                <w:sz w:val="18"/>
              </w:rPr>
              <w:t>Donnez le nom, l</w:t>
            </w:r>
            <w:r w:rsidR="009B42BE">
              <w:rPr>
                <w:sz w:val="18"/>
              </w:rPr>
              <w:t>’</w:t>
            </w:r>
            <w:r w:rsidRPr="008322B5">
              <w:rPr>
                <w:sz w:val="18"/>
              </w:rPr>
              <w:t>adresse et les coordonnées d</w:t>
            </w:r>
            <w:r w:rsidR="009B42BE">
              <w:rPr>
                <w:sz w:val="18"/>
              </w:rPr>
              <w:t>’</w:t>
            </w:r>
            <w:r w:rsidRPr="008322B5">
              <w:rPr>
                <w:sz w:val="18"/>
              </w:rPr>
              <w:t xml:space="preserve">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93570A" w:rsidRPr="008322B5" w:rsidTr="007B4F22">
        <w:tc>
          <w:tcPr>
            <w:tcW w:w="9639"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A42C35" w:rsidRPr="008322B5" w:rsidTr="007B4F22">
              <w:tc>
                <w:tcPr>
                  <w:tcW w:w="2552" w:type="dxa"/>
                </w:tcPr>
                <w:p w:rsidR="00A42C35" w:rsidRPr="008322B5" w:rsidRDefault="00A42C35" w:rsidP="009B42BE">
                  <w:pPr>
                    <w:pStyle w:val="formtext"/>
                    <w:tabs>
                      <w:tab w:val="left" w:pos="567"/>
                      <w:tab w:val="left" w:pos="1134"/>
                      <w:tab w:val="left" w:pos="1701"/>
                    </w:tabs>
                    <w:spacing w:line="240" w:lineRule="auto"/>
                    <w:ind w:right="136"/>
                    <w:jc w:val="right"/>
                    <w:rPr>
                      <w:sz w:val="20"/>
                      <w:szCs w:val="20"/>
                    </w:rPr>
                  </w:pPr>
                  <w:r w:rsidRPr="008322B5">
                    <w:rPr>
                      <w:sz w:val="20"/>
                    </w:rPr>
                    <w:t>Titre (Mme/M., etc.) :</w:t>
                  </w:r>
                </w:p>
              </w:tc>
              <w:tc>
                <w:tcPr>
                  <w:tcW w:w="7067" w:type="dxa"/>
                </w:tcPr>
                <w:p w:rsidR="00A42C35" w:rsidRPr="008322B5" w:rsidRDefault="00A42C35" w:rsidP="00A42C35">
                  <w:pPr>
                    <w:pStyle w:val="formtext"/>
                    <w:tabs>
                      <w:tab w:val="left" w:pos="567"/>
                      <w:tab w:val="left" w:pos="1134"/>
                      <w:tab w:val="left" w:pos="1701"/>
                    </w:tabs>
                    <w:spacing w:line="240" w:lineRule="auto"/>
                    <w:ind w:right="113"/>
                    <w:rPr>
                      <w:sz w:val="20"/>
                      <w:szCs w:val="20"/>
                    </w:rPr>
                  </w:pPr>
                  <w:r w:rsidRPr="008322B5">
                    <w:rPr>
                      <w:noProof/>
                    </w:rPr>
                    <w:t>Mrs</w:t>
                  </w:r>
                </w:p>
              </w:tc>
            </w:tr>
            <w:tr w:rsidR="00A42C35" w:rsidRPr="008322B5" w:rsidTr="007B4F22">
              <w:tc>
                <w:tcPr>
                  <w:tcW w:w="2552" w:type="dxa"/>
                </w:tcPr>
                <w:p w:rsidR="00A42C35" w:rsidRPr="008322B5" w:rsidRDefault="00A42C35" w:rsidP="009B42BE">
                  <w:pPr>
                    <w:pStyle w:val="formtext"/>
                    <w:tabs>
                      <w:tab w:val="left" w:pos="567"/>
                      <w:tab w:val="left" w:pos="1134"/>
                      <w:tab w:val="left" w:pos="1701"/>
                    </w:tabs>
                    <w:spacing w:line="240" w:lineRule="auto"/>
                    <w:ind w:right="136"/>
                    <w:jc w:val="right"/>
                    <w:rPr>
                      <w:sz w:val="20"/>
                      <w:szCs w:val="20"/>
                    </w:rPr>
                  </w:pPr>
                  <w:r w:rsidRPr="008322B5">
                    <w:rPr>
                      <w:sz w:val="20"/>
                    </w:rPr>
                    <w:t>Nom de famille</w:t>
                  </w:r>
                  <w:r w:rsidRPr="008322B5">
                    <w:rPr>
                      <w:sz w:val="18"/>
                    </w:rPr>
                    <w:t> </w:t>
                  </w:r>
                  <w:r w:rsidRPr="008322B5">
                    <w:rPr>
                      <w:sz w:val="20"/>
                    </w:rPr>
                    <w:t>:</w:t>
                  </w:r>
                </w:p>
              </w:tc>
              <w:tc>
                <w:tcPr>
                  <w:tcW w:w="7067" w:type="dxa"/>
                </w:tcPr>
                <w:p w:rsidR="00A42C35" w:rsidRPr="008322B5" w:rsidRDefault="00A42C35" w:rsidP="00A42C35">
                  <w:pPr>
                    <w:pStyle w:val="formtext"/>
                    <w:tabs>
                      <w:tab w:val="left" w:pos="567"/>
                      <w:tab w:val="left" w:pos="1134"/>
                      <w:tab w:val="left" w:pos="1701"/>
                    </w:tabs>
                    <w:spacing w:line="240" w:lineRule="auto"/>
                    <w:ind w:right="113"/>
                    <w:rPr>
                      <w:sz w:val="20"/>
                      <w:szCs w:val="20"/>
                    </w:rPr>
                  </w:pPr>
                  <w:r w:rsidRPr="008322B5">
                    <w:rPr>
                      <w:noProof/>
                    </w:rPr>
                    <w:t>De Leeuw</w:t>
                  </w:r>
                </w:p>
              </w:tc>
            </w:tr>
            <w:tr w:rsidR="00A42C35" w:rsidRPr="008322B5" w:rsidTr="007B4F22">
              <w:tc>
                <w:tcPr>
                  <w:tcW w:w="2552" w:type="dxa"/>
                </w:tcPr>
                <w:p w:rsidR="00A42C35" w:rsidRPr="008322B5" w:rsidRDefault="00A42C35" w:rsidP="009B42BE">
                  <w:pPr>
                    <w:pStyle w:val="formtext"/>
                    <w:tabs>
                      <w:tab w:val="left" w:pos="567"/>
                      <w:tab w:val="left" w:pos="1134"/>
                      <w:tab w:val="left" w:pos="1701"/>
                    </w:tabs>
                    <w:spacing w:line="240" w:lineRule="auto"/>
                    <w:ind w:right="136"/>
                    <w:jc w:val="right"/>
                    <w:rPr>
                      <w:sz w:val="20"/>
                      <w:szCs w:val="20"/>
                    </w:rPr>
                  </w:pPr>
                  <w:r w:rsidRPr="008322B5">
                    <w:rPr>
                      <w:sz w:val="20"/>
                    </w:rPr>
                    <w:t>Prénom :</w:t>
                  </w:r>
                </w:p>
              </w:tc>
              <w:tc>
                <w:tcPr>
                  <w:tcW w:w="7067" w:type="dxa"/>
                </w:tcPr>
                <w:p w:rsidR="00A42C35" w:rsidRPr="008322B5" w:rsidRDefault="00A42C35" w:rsidP="00A42C35">
                  <w:pPr>
                    <w:pStyle w:val="formtext"/>
                    <w:tabs>
                      <w:tab w:val="left" w:pos="567"/>
                      <w:tab w:val="left" w:pos="1134"/>
                      <w:tab w:val="left" w:pos="1701"/>
                    </w:tabs>
                    <w:spacing w:line="240" w:lineRule="auto"/>
                    <w:ind w:right="113"/>
                    <w:rPr>
                      <w:sz w:val="20"/>
                      <w:szCs w:val="20"/>
                    </w:rPr>
                  </w:pPr>
                  <w:r w:rsidRPr="008322B5">
                    <w:rPr>
                      <w:noProof/>
                    </w:rPr>
                    <w:t>Riet</w:t>
                  </w:r>
                </w:p>
              </w:tc>
            </w:tr>
            <w:tr w:rsidR="00A42C35" w:rsidRPr="00603F68" w:rsidTr="007B4F22">
              <w:tc>
                <w:tcPr>
                  <w:tcW w:w="2552" w:type="dxa"/>
                </w:tcPr>
                <w:p w:rsidR="00A42C35" w:rsidRPr="008322B5" w:rsidRDefault="00A42C35" w:rsidP="009B42BE">
                  <w:pPr>
                    <w:pStyle w:val="formtext"/>
                    <w:tabs>
                      <w:tab w:val="left" w:pos="567"/>
                      <w:tab w:val="left" w:pos="1134"/>
                      <w:tab w:val="left" w:pos="1701"/>
                    </w:tabs>
                    <w:spacing w:line="240" w:lineRule="auto"/>
                    <w:ind w:right="136"/>
                    <w:jc w:val="right"/>
                    <w:rPr>
                      <w:sz w:val="20"/>
                      <w:szCs w:val="20"/>
                    </w:rPr>
                  </w:pPr>
                  <w:r w:rsidRPr="008322B5">
                    <w:rPr>
                      <w:sz w:val="20"/>
                    </w:rPr>
                    <w:lastRenderedPageBreak/>
                    <w:t>Institution/fonction :</w:t>
                  </w:r>
                </w:p>
              </w:tc>
              <w:tc>
                <w:tcPr>
                  <w:tcW w:w="7067" w:type="dxa"/>
                </w:tcPr>
                <w:p w:rsidR="00A42C35" w:rsidRPr="008322B5" w:rsidRDefault="00A42C35" w:rsidP="00A42C35">
                  <w:pPr>
                    <w:pStyle w:val="formtext"/>
                    <w:tabs>
                      <w:tab w:val="left" w:pos="567"/>
                      <w:tab w:val="left" w:pos="1134"/>
                      <w:tab w:val="left" w:pos="1701"/>
                    </w:tabs>
                    <w:ind w:right="113"/>
                    <w:rPr>
                      <w:noProof/>
                      <w:lang w:val="en-US"/>
                    </w:rPr>
                  </w:pPr>
                  <w:r w:rsidRPr="008322B5">
                    <w:rPr>
                      <w:noProof/>
                      <w:lang w:val="en-US"/>
                    </w:rPr>
                    <w:t>Ministry of Education, Culture and Science</w:t>
                  </w:r>
                  <w:r w:rsidRPr="008322B5">
                    <w:rPr>
                      <w:noProof/>
                      <w:lang w:val="en-US"/>
                    </w:rPr>
                    <w:br/>
                    <w:t>Department for Heritage and Arts</w:t>
                  </w:r>
                </w:p>
              </w:tc>
            </w:tr>
            <w:tr w:rsidR="00A42C35" w:rsidRPr="00603F68" w:rsidTr="007B4F22">
              <w:tc>
                <w:tcPr>
                  <w:tcW w:w="2552" w:type="dxa"/>
                </w:tcPr>
                <w:p w:rsidR="00A42C35" w:rsidRPr="008322B5" w:rsidRDefault="00A42C35" w:rsidP="009B42BE">
                  <w:pPr>
                    <w:pStyle w:val="formtext"/>
                    <w:tabs>
                      <w:tab w:val="left" w:pos="567"/>
                      <w:tab w:val="left" w:pos="1134"/>
                      <w:tab w:val="left" w:pos="1701"/>
                    </w:tabs>
                    <w:spacing w:line="240" w:lineRule="auto"/>
                    <w:ind w:right="136"/>
                    <w:jc w:val="right"/>
                    <w:rPr>
                      <w:sz w:val="20"/>
                      <w:szCs w:val="20"/>
                    </w:rPr>
                  </w:pPr>
                  <w:r w:rsidRPr="008322B5">
                    <w:rPr>
                      <w:sz w:val="20"/>
                    </w:rPr>
                    <w:t>Adresse :</w:t>
                  </w:r>
                </w:p>
              </w:tc>
              <w:tc>
                <w:tcPr>
                  <w:tcW w:w="7067" w:type="dxa"/>
                </w:tcPr>
                <w:p w:rsidR="00A42C35" w:rsidRPr="008322B5" w:rsidRDefault="00A42C35" w:rsidP="00A42C35">
                  <w:pPr>
                    <w:pStyle w:val="formtext"/>
                    <w:tabs>
                      <w:tab w:val="left" w:pos="567"/>
                      <w:tab w:val="left" w:pos="1134"/>
                      <w:tab w:val="left" w:pos="1701"/>
                    </w:tabs>
                    <w:ind w:right="113"/>
                    <w:rPr>
                      <w:noProof/>
                      <w:lang w:val="nl-NL"/>
                    </w:rPr>
                  </w:pPr>
                  <w:r w:rsidRPr="008322B5">
                    <w:rPr>
                      <w:noProof/>
                      <w:lang w:val="nl-NL"/>
                    </w:rPr>
                    <w:t>P.O. Box 16375; 2500 BJ Den Haag; The Netherlands</w:t>
                  </w:r>
                </w:p>
              </w:tc>
            </w:tr>
            <w:tr w:rsidR="00A42C35" w:rsidRPr="008322B5" w:rsidTr="007B4F22">
              <w:tc>
                <w:tcPr>
                  <w:tcW w:w="2552" w:type="dxa"/>
                </w:tcPr>
                <w:p w:rsidR="00A42C35" w:rsidRPr="008322B5" w:rsidRDefault="00A42C35" w:rsidP="009B42BE">
                  <w:pPr>
                    <w:pStyle w:val="formtext"/>
                    <w:tabs>
                      <w:tab w:val="left" w:pos="567"/>
                      <w:tab w:val="left" w:pos="1134"/>
                      <w:tab w:val="left" w:pos="1701"/>
                    </w:tabs>
                    <w:spacing w:line="240" w:lineRule="auto"/>
                    <w:ind w:right="136"/>
                    <w:jc w:val="right"/>
                    <w:rPr>
                      <w:sz w:val="20"/>
                      <w:szCs w:val="20"/>
                    </w:rPr>
                  </w:pPr>
                  <w:r w:rsidRPr="008322B5">
                    <w:rPr>
                      <w:sz w:val="20"/>
                    </w:rPr>
                    <w:t>Numéro de téléphone :</w:t>
                  </w:r>
                </w:p>
              </w:tc>
              <w:tc>
                <w:tcPr>
                  <w:tcW w:w="7067" w:type="dxa"/>
                </w:tcPr>
                <w:p w:rsidR="00A42C35" w:rsidRPr="008322B5" w:rsidRDefault="00A42C35" w:rsidP="00A42C35">
                  <w:pPr>
                    <w:pStyle w:val="formtext"/>
                    <w:tabs>
                      <w:tab w:val="left" w:pos="567"/>
                      <w:tab w:val="left" w:pos="1134"/>
                      <w:tab w:val="left" w:pos="1701"/>
                    </w:tabs>
                    <w:spacing w:line="240" w:lineRule="auto"/>
                    <w:ind w:right="113"/>
                    <w:rPr>
                      <w:sz w:val="20"/>
                      <w:szCs w:val="20"/>
                    </w:rPr>
                  </w:pPr>
                  <w:r w:rsidRPr="008322B5">
                    <w:rPr>
                      <w:noProof/>
                    </w:rPr>
                    <w:t>0031-6-46849402</w:t>
                  </w:r>
                </w:p>
              </w:tc>
            </w:tr>
            <w:tr w:rsidR="00A42C35" w:rsidRPr="008322B5" w:rsidTr="007B4F22">
              <w:tc>
                <w:tcPr>
                  <w:tcW w:w="2552" w:type="dxa"/>
                </w:tcPr>
                <w:p w:rsidR="00A42C35" w:rsidRPr="008322B5" w:rsidRDefault="00A42C35" w:rsidP="009B42BE">
                  <w:pPr>
                    <w:pStyle w:val="formtext"/>
                    <w:tabs>
                      <w:tab w:val="left" w:pos="567"/>
                      <w:tab w:val="left" w:pos="1134"/>
                      <w:tab w:val="left" w:pos="1701"/>
                    </w:tabs>
                    <w:spacing w:line="240" w:lineRule="auto"/>
                    <w:ind w:right="136"/>
                    <w:jc w:val="right"/>
                    <w:rPr>
                      <w:sz w:val="20"/>
                      <w:szCs w:val="20"/>
                    </w:rPr>
                  </w:pPr>
                  <w:r w:rsidRPr="008322B5">
                    <w:rPr>
                      <w:sz w:val="20"/>
                    </w:rPr>
                    <w:t>Adresse électronique :</w:t>
                  </w:r>
                </w:p>
              </w:tc>
              <w:tc>
                <w:tcPr>
                  <w:tcW w:w="7067" w:type="dxa"/>
                </w:tcPr>
                <w:p w:rsidR="00A42C35" w:rsidRPr="008322B5" w:rsidRDefault="00A42C35" w:rsidP="00A42C35">
                  <w:pPr>
                    <w:pStyle w:val="formtext"/>
                    <w:tabs>
                      <w:tab w:val="left" w:pos="567"/>
                      <w:tab w:val="left" w:pos="1134"/>
                      <w:tab w:val="left" w:pos="1701"/>
                    </w:tabs>
                    <w:spacing w:line="240" w:lineRule="auto"/>
                    <w:ind w:right="113"/>
                    <w:rPr>
                      <w:sz w:val="20"/>
                      <w:szCs w:val="20"/>
                    </w:rPr>
                  </w:pPr>
                  <w:r w:rsidRPr="008322B5">
                    <w:rPr>
                      <w:noProof/>
                    </w:rPr>
                    <w:t>r.deleeuw@minocw.nl</w:t>
                  </w:r>
                </w:p>
              </w:tc>
            </w:tr>
          </w:tbl>
          <w:p w:rsidR="0093570A" w:rsidRPr="008322B5" w:rsidRDefault="0093570A" w:rsidP="007B4F22">
            <w:pPr>
              <w:pStyle w:val="formtext"/>
              <w:spacing w:before="120" w:after="120" w:line="240" w:lineRule="auto"/>
              <w:ind w:left="113" w:right="135"/>
              <w:jc w:val="both"/>
            </w:pPr>
          </w:p>
        </w:tc>
      </w:tr>
      <w:tr w:rsidR="0093570A" w:rsidRPr="008322B5" w:rsidTr="007B4F22">
        <w:tc>
          <w:tcPr>
            <w:tcW w:w="9639" w:type="dxa"/>
            <w:tcBorders>
              <w:top w:val="nil"/>
              <w:left w:val="nil"/>
              <w:bottom w:val="single" w:sz="4" w:space="0" w:color="auto"/>
              <w:right w:val="nil"/>
            </w:tcBorders>
            <w:shd w:val="clear" w:color="auto" w:fill="auto"/>
          </w:tcPr>
          <w:p w:rsidR="0093570A" w:rsidRPr="008322B5" w:rsidRDefault="0093570A" w:rsidP="007B4F22">
            <w:pPr>
              <w:pStyle w:val="Grille01N"/>
              <w:spacing w:line="240" w:lineRule="auto"/>
              <w:ind w:left="709" w:right="136" w:hanging="567"/>
              <w:jc w:val="left"/>
              <w:rPr>
                <w:rFonts w:eastAsia="SimSun" w:cs="Arial"/>
                <w:bCs/>
                <w:smallCaps w:val="0"/>
                <w:sz w:val="24"/>
              </w:rPr>
            </w:pPr>
            <w:r w:rsidRPr="008322B5">
              <w:rPr>
                <w:smallCaps w:val="0"/>
                <w:sz w:val="24"/>
              </w:rPr>
              <w:lastRenderedPageBreak/>
              <w:t>E.2. Autres personnes contact (pour les candidatures multinationales seulement)</w:t>
            </w:r>
          </w:p>
          <w:p w:rsidR="0093570A" w:rsidRPr="008322B5" w:rsidRDefault="0093570A" w:rsidP="007B4F22">
            <w:pPr>
              <w:pStyle w:val="Grille01N"/>
              <w:spacing w:line="240" w:lineRule="auto"/>
              <w:ind w:left="142" w:right="136"/>
              <w:jc w:val="left"/>
              <w:rPr>
                <w:rFonts w:eastAsia="SimSun" w:cs="Arial"/>
                <w:b w:val="0"/>
                <w:bCs/>
                <w:i/>
                <w:smallCaps w:val="0"/>
                <w:sz w:val="18"/>
                <w:szCs w:val="18"/>
              </w:rPr>
            </w:pPr>
            <w:r w:rsidRPr="008322B5">
              <w:rPr>
                <w:b w:val="0"/>
                <w:i/>
                <w:smallCaps w:val="0"/>
                <w:sz w:val="18"/>
              </w:rPr>
              <w:t>Indiquez ci-après les coordonnées complètes d</w:t>
            </w:r>
            <w:r w:rsidR="009B42BE">
              <w:rPr>
                <w:b w:val="0"/>
                <w:i/>
                <w:smallCaps w:val="0"/>
                <w:sz w:val="18"/>
              </w:rPr>
              <w:t>’</w:t>
            </w:r>
            <w:r w:rsidRPr="008322B5">
              <w:rPr>
                <w:b w:val="0"/>
                <w:i/>
                <w:smallCaps w:val="0"/>
                <w:sz w:val="18"/>
              </w:rPr>
              <w:t>une personne de chaque État partie concerné, en plus de la personne contact désignée ci-dessus.</w:t>
            </w:r>
          </w:p>
        </w:tc>
      </w:tr>
      <w:tr w:rsidR="0093570A" w:rsidRPr="008322B5" w:rsidTr="007B4F22">
        <w:tc>
          <w:tcPr>
            <w:tcW w:w="9639" w:type="dxa"/>
            <w:tcBorders>
              <w:top w:val="single" w:sz="4" w:space="0" w:color="auto"/>
              <w:left w:val="single" w:sz="4" w:space="0" w:color="auto"/>
              <w:bottom w:val="single" w:sz="4" w:space="0" w:color="auto"/>
              <w:right w:val="single" w:sz="4" w:space="0" w:color="auto"/>
            </w:tcBorders>
            <w:shd w:val="clear" w:color="auto" w:fill="auto"/>
          </w:tcPr>
          <w:p w:rsidR="0093570A" w:rsidRPr="008322B5" w:rsidRDefault="0079556A" w:rsidP="009B42BE">
            <w:pPr>
              <w:pStyle w:val="Grille01N"/>
              <w:spacing w:line="240" w:lineRule="auto"/>
              <w:ind w:left="142" w:right="136"/>
              <w:jc w:val="both"/>
              <w:rPr>
                <w:rFonts w:eastAsia="SimSun" w:cs="Arial"/>
                <w:b w:val="0"/>
                <w:bCs/>
                <w:smallCaps w:val="0"/>
                <w:sz w:val="24"/>
              </w:rPr>
            </w:pPr>
            <w:r w:rsidRPr="008322B5">
              <w:t>---</w:t>
            </w:r>
          </w:p>
        </w:tc>
      </w:tr>
      <w:tr w:rsidR="0093570A" w:rsidRPr="008322B5" w:rsidTr="007B4F22">
        <w:tc>
          <w:tcPr>
            <w:tcW w:w="9639" w:type="dxa"/>
            <w:tcBorders>
              <w:top w:val="single" w:sz="4" w:space="0" w:color="auto"/>
              <w:left w:val="nil"/>
              <w:bottom w:val="nil"/>
              <w:right w:val="nil"/>
            </w:tcBorders>
            <w:shd w:val="clear" w:color="auto" w:fill="D9D9D9"/>
          </w:tcPr>
          <w:p w:rsidR="0093570A" w:rsidRPr="008322B5" w:rsidRDefault="0093570A" w:rsidP="009B42BE">
            <w:pPr>
              <w:pStyle w:val="Grille01N"/>
              <w:spacing w:line="240" w:lineRule="auto"/>
              <w:ind w:left="709" w:right="136" w:hanging="567"/>
              <w:jc w:val="left"/>
              <w:rPr>
                <w:rFonts w:eastAsia="SimSun" w:cs="Arial"/>
                <w:bCs/>
                <w:smallCaps w:val="0"/>
                <w:sz w:val="24"/>
              </w:rPr>
            </w:pPr>
            <w:r w:rsidRPr="008322B5">
              <w:rPr>
                <w:smallCaps w:val="0"/>
                <w:sz w:val="24"/>
              </w:rPr>
              <w:t>1.</w:t>
            </w:r>
            <w:r w:rsidRPr="008322B5">
              <w:tab/>
            </w:r>
            <w:r w:rsidRPr="008322B5">
              <w:rPr>
                <w:smallCaps w:val="0"/>
                <w:sz w:val="24"/>
              </w:rPr>
              <w:t>Identification et définition de l</w:t>
            </w:r>
            <w:r w:rsidR="009B42BE">
              <w:rPr>
                <w:smallCaps w:val="0"/>
                <w:sz w:val="24"/>
              </w:rPr>
              <w:t>’</w:t>
            </w:r>
            <w:r w:rsidRPr="008322B5">
              <w:rPr>
                <w:smallCaps w:val="0"/>
                <w:sz w:val="24"/>
              </w:rPr>
              <w:t>élément</w:t>
            </w:r>
          </w:p>
        </w:tc>
      </w:tr>
      <w:tr w:rsidR="0093570A" w:rsidRPr="008322B5" w:rsidTr="007B4F22">
        <w:tc>
          <w:tcPr>
            <w:tcW w:w="9639" w:type="dxa"/>
            <w:tcBorders>
              <w:top w:val="nil"/>
              <w:left w:val="nil"/>
              <w:bottom w:val="single" w:sz="4" w:space="0" w:color="auto"/>
              <w:right w:val="nil"/>
            </w:tcBorders>
            <w:shd w:val="clear" w:color="auto" w:fill="auto"/>
          </w:tcPr>
          <w:p w:rsidR="0093570A" w:rsidRPr="008322B5" w:rsidRDefault="0093570A" w:rsidP="007B4F22">
            <w:pPr>
              <w:pStyle w:val="Default"/>
              <w:keepNext/>
              <w:widowControl/>
              <w:tabs>
                <w:tab w:val="left" w:pos="709"/>
              </w:tabs>
              <w:spacing w:before="120" w:after="120"/>
              <w:ind w:left="113" w:right="136"/>
              <w:jc w:val="both"/>
              <w:rPr>
                <w:rFonts w:ascii="Arial" w:eastAsia="SimSun" w:hAnsi="Arial" w:cs="Arial"/>
                <w:i/>
                <w:sz w:val="18"/>
                <w:szCs w:val="18"/>
              </w:rPr>
            </w:pPr>
            <w:r w:rsidRPr="008322B5">
              <w:rPr>
                <w:rFonts w:ascii="Arial" w:hAnsi="Arial"/>
                <w:i/>
                <w:sz w:val="18"/>
              </w:rPr>
              <w:t xml:space="preserve">Pour le </w:t>
            </w:r>
            <w:r w:rsidRPr="008322B5">
              <w:rPr>
                <w:rFonts w:ascii="Arial" w:hAnsi="Arial"/>
                <w:b/>
                <w:i/>
                <w:sz w:val="18"/>
              </w:rPr>
              <w:t>critère R.1</w:t>
            </w:r>
            <w:r w:rsidRPr="008322B5">
              <w:rPr>
                <w:rFonts w:ascii="Arial" w:hAnsi="Arial"/>
                <w:i/>
                <w:sz w:val="18"/>
              </w:rPr>
              <w:t xml:space="preserve">, les États </w:t>
            </w:r>
            <w:r w:rsidRPr="008322B5">
              <w:rPr>
                <w:rFonts w:ascii="Arial" w:hAnsi="Arial"/>
                <w:b/>
                <w:i/>
                <w:sz w:val="18"/>
              </w:rPr>
              <w:t>doivent démontrer que « l</w:t>
            </w:r>
            <w:r w:rsidR="009B42BE">
              <w:rPr>
                <w:rFonts w:ascii="Arial" w:hAnsi="Arial"/>
                <w:b/>
                <w:i/>
                <w:sz w:val="18"/>
              </w:rPr>
              <w:t>’</w:t>
            </w:r>
            <w:r w:rsidRPr="008322B5">
              <w:rPr>
                <w:rFonts w:ascii="Arial" w:hAnsi="Arial"/>
                <w:b/>
                <w:i/>
                <w:sz w:val="18"/>
              </w:rPr>
              <w:t>élément est constitutif du patrimoine culturel immatériel</w:t>
            </w:r>
            <w:r w:rsidRPr="008322B5">
              <w:rPr>
                <w:rFonts w:ascii="Arial" w:hAnsi="Arial"/>
                <w:i/>
                <w:sz w:val="18"/>
              </w:rPr>
              <w:t xml:space="preserve"> tel que défini à l</w:t>
            </w:r>
            <w:r w:rsidR="009B42BE">
              <w:rPr>
                <w:rFonts w:ascii="Arial" w:hAnsi="Arial"/>
                <w:i/>
                <w:sz w:val="18"/>
              </w:rPr>
              <w:t>’</w:t>
            </w:r>
            <w:r w:rsidRPr="008322B5">
              <w:rPr>
                <w:rFonts w:ascii="Arial" w:hAnsi="Arial"/>
                <w:i/>
                <w:sz w:val="18"/>
              </w:rPr>
              <w:t>article 2 de la Convention ».</w:t>
            </w:r>
          </w:p>
        </w:tc>
      </w:tr>
      <w:tr w:rsidR="0093570A" w:rsidRPr="008322B5" w:rsidTr="007B4F22">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93570A" w:rsidRPr="008322B5" w:rsidRDefault="0093570A" w:rsidP="009B42BE">
            <w:pPr>
              <w:pStyle w:val="Default"/>
              <w:keepNext/>
              <w:widowControl/>
              <w:tabs>
                <w:tab w:val="left" w:pos="709"/>
              </w:tabs>
              <w:spacing w:after="120"/>
              <w:ind w:left="113" w:right="136"/>
              <w:jc w:val="both"/>
              <w:rPr>
                <w:rFonts w:ascii="Arial" w:eastAsia="SimSun" w:hAnsi="Arial" w:cs="Arial"/>
                <w:sz w:val="18"/>
                <w:szCs w:val="18"/>
              </w:rPr>
            </w:pPr>
            <w:bookmarkStart w:id="1" w:name="_Hlk275186434"/>
            <w:r w:rsidRPr="008322B5">
              <w:rPr>
                <w:rFonts w:ascii="Arial" w:hAnsi="Arial"/>
                <w:sz w:val="18"/>
              </w:rPr>
              <w:t>Cochez une ou plusieurs cases pour identifier le(s) domaine(s) du patrimoine culturel immatériel dans le(s)quel(s) se manifeste l</w:t>
            </w:r>
            <w:r w:rsidR="009B42BE">
              <w:rPr>
                <w:rFonts w:ascii="Arial" w:hAnsi="Arial"/>
                <w:sz w:val="18"/>
              </w:rPr>
              <w:t>’</w:t>
            </w:r>
            <w:r w:rsidRPr="008322B5">
              <w:rPr>
                <w:rFonts w:ascii="Arial" w:hAnsi="Arial"/>
                <w:sz w:val="18"/>
              </w:rPr>
              <w:t>élément et qui peuvent inclure un ou plusieurs des domaines identifiés à l</w:t>
            </w:r>
            <w:r w:rsidR="009B42BE">
              <w:rPr>
                <w:rFonts w:ascii="Arial" w:hAnsi="Arial"/>
                <w:sz w:val="18"/>
              </w:rPr>
              <w:t>’</w:t>
            </w:r>
            <w:r w:rsidRPr="008322B5">
              <w:rPr>
                <w:rFonts w:ascii="Arial" w:hAnsi="Arial"/>
                <w:sz w:val="18"/>
              </w:rPr>
              <w:t>article 2.2 de la Convention. Si vous cochez la case « autre(s) », préciser le(s) domaine(s) entre les parenthèses.</w:t>
            </w:r>
          </w:p>
          <w:p w:rsidR="0093570A" w:rsidRPr="008322B5" w:rsidRDefault="00685BB2"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0"/>
                  </w:checkBox>
                </w:ffData>
              </w:fldChar>
            </w:r>
            <w:r w:rsidR="00A42C35"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A42C35" w:rsidRPr="008322B5">
              <w:rPr>
                <w:rFonts w:ascii="Arial" w:hAnsi="Arial"/>
                <w:color w:val="auto"/>
                <w:sz w:val="18"/>
              </w:rPr>
              <w:t xml:space="preserve"> les traditions et expressions orales, y compris la langue comme vecteur du patrimoine culturel immatériel </w:t>
            </w:r>
          </w:p>
          <w:p w:rsidR="0093570A" w:rsidRPr="008322B5" w:rsidRDefault="00685BB2"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322B5">
              <w:rPr>
                <w:rFonts w:ascii="Arial" w:hAnsi="Arial" w:cs="Arial"/>
                <w:color w:val="auto"/>
                <w:sz w:val="18"/>
                <w:szCs w:val="18"/>
              </w:rPr>
              <w:fldChar w:fldCharType="begin">
                <w:ffData>
                  <w:name w:val="CaseACocher7"/>
                  <w:enabled/>
                  <w:calcOnExit w:val="0"/>
                  <w:checkBox>
                    <w:sizeAuto/>
                    <w:default w:val="0"/>
                  </w:checkBox>
                </w:ffData>
              </w:fldChar>
            </w:r>
            <w:r w:rsidR="0093570A"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93570A" w:rsidRPr="008322B5">
              <w:rPr>
                <w:rFonts w:ascii="Arial" w:hAnsi="Arial"/>
                <w:color w:val="auto"/>
                <w:sz w:val="18"/>
              </w:rPr>
              <w:t xml:space="preserve"> les arts du spectacle</w:t>
            </w:r>
          </w:p>
          <w:p w:rsidR="0093570A" w:rsidRPr="008322B5" w:rsidRDefault="00685BB2"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322B5">
              <w:rPr>
                <w:rFonts w:ascii="Arial" w:hAnsi="Arial" w:cs="Arial"/>
                <w:color w:val="auto"/>
                <w:sz w:val="18"/>
                <w:szCs w:val="18"/>
              </w:rPr>
              <w:fldChar w:fldCharType="begin">
                <w:ffData>
                  <w:name w:val="CaseACocher8"/>
                  <w:enabled/>
                  <w:calcOnExit w:val="0"/>
                  <w:checkBox>
                    <w:sizeAuto/>
                    <w:default w:val="1"/>
                  </w:checkBox>
                </w:ffData>
              </w:fldChar>
            </w:r>
            <w:bookmarkStart w:id="2" w:name="CaseACocher8"/>
            <w:r w:rsidR="0079556A"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bookmarkEnd w:id="2"/>
            <w:r w:rsidR="0079556A" w:rsidRPr="008322B5">
              <w:rPr>
                <w:rFonts w:ascii="Arial" w:hAnsi="Arial"/>
                <w:color w:val="auto"/>
                <w:sz w:val="18"/>
              </w:rPr>
              <w:t xml:space="preserve"> les pratiques sociales, rituels et événements festifs</w:t>
            </w:r>
          </w:p>
          <w:p w:rsidR="0093570A" w:rsidRPr="008322B5" w:rsidRDefault="00685BB2" w:rsidP="007B4F22">
            <w:pPr>
              <w:pStyle w:val="formtext"/>
              <w:keepNext/>
              <w:spacing w:before="120" w:after="120" w:line="240" w:lineRule="auto"/>
              <w:ind w:left="1134" w:right="136" w:hanging="567"/>
              <w:jc w:val="both"/>
              <w:rPr>
                <w:rFonts w:eastAsia="Times New Roman" w:cs="Arial"/>
                <w:sz w:val="18"/>
                <w:szCs w:val="18"/>
              </w:rPr>
            </w:pPr>
            <w:r w:rsidRPr="008322B5">
              <w:rPr>
                <w:rFonts w:eastAsia="Times New Roman" w:cs="Arial"/>
                <w:sz w:val="18"/>
                <w:szCs w:val="18"/>
              </w:rPr>
              <w:fldChar w:fldCharType="begin">
                <w:ffData>
                  <w:name w:val="CaseACocher9"/>
                  <w:enabled/>
                  <w:calcOnExit w:val="0"/>
                  <w:checkBox>
                    <w:sizeAuto/>
                    <w:default w:val="1"/>
                  </w:checkBox>
                </w:ffData>
              </w:fldChar>
            </w:r>
            <w:bookmarkStart w:id="3" w:name="CaseACocher9"/>
            <w:r w:rsidR="0079556A" w:rsidRPr="008322B5">
              <w:rPr>
                <w:rFonts w:eastAsia="Times New Roman" w:cs="Arial"/>
                <w:sz w:val="18"/>
                <w:szCs w:val="18"/>
              </w:rPr>
              <w:instrText xml:space="preserve"> FORMCHECKBOX </w:instrText>
            </w:r>
            <w:r w:rsidR="00603F68">
              <w:rPr>
                <w:rFonts w:eastAsia="Times New Roman" w:cs="Arial"/>
                <w:sz w:val="18"/>
                <w:szCs w:val="18"/>
              </w:rPr>
            </w:r>
            <w:r w:rsidR="00603F68">
              <w:rPr>
                <w:rFonts w:eastAsia="Times New Roman" w:cs="Arial"/>
                <w:sz w:val="18"/>
                <w:szCs w:val="18"/>
              </w:rPr>
              <w:fldChar w:fldCharType="separate"/>
            </w:r>
            <w:r w:rsidRPr="008322B5">
              <w:rPr>
                <w:rFonts w:eastAsia="Times New Roman" w:cs="Arial"/>
                <w:sz w:val="18"/>
                <w:szCs w:val="18"/>
              </w:rPr>
              <w:fldChar w:fldCharType="end"/>
            </w:r>
            <w:bookmarkEnd w:id="3"/>
            <w:r w:rsidR="0079556A" w:rsidRPr="008322B5">
              <w:rPr>
                <w:sz w:val="18"/>
              </w:rPr>
              <w:t xml:space="preserve"> les connaissances et pratiques concernant la nature et l</w:t>
            </w:r>
            <w:r w:rsidR="009B42BE">
              <w:rPr>
                <w:sz w:val="18"/>
              </w:rPr>
              <w:t>’</w:t>
            </w:r>
            <w:r w:rsidR="0079556A" w:rsidRPr="008322B5">
              <w:rPr>
                <w:sz w:val="18"/>
              </w:rPr>
              <w:t>univers</w:t>
            </w:r>
          </w:p>
          <w:p w:rsidR="0093570A" w:rsidRPr="008322B5" w:rsidRDefault="00685BB2"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79556A"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79556A" w:rsidRPr="008322B5">
              <w:rPr>
                <w:rFonts w:ascii="Arial" w:hAnsi="Arial"/>
                <w:color w:val="auto"/>
                <w:sz w:val="18"/>
              </w:rPr>
              <w:t xml:space="preserve"> les savoir-faire liés à l</w:t>
            </w:r>
            <w:r w:rsidR="009B42BE">
              <w:rPr>
                <w:rFonts w:ascii="Arial" w:hAnsi="Arial"/>
                <w:color w:val="auto"/>
                <w:sz w:val="18"/>
              </w:rPr>
              <w:t>’</w:t>
            </w:r>
            <w:r w:rsidR="0079556A" w:rsidRPr="008322B5">
              <w:rPr>
                <w:rFonts w:ascii="Arial" w:hAnsi="Arial"/>
                <w:color w:val="auto"/>
                <w:sz w:val="18"/>
              </w:rPr>
              <w:t xml:space="preserve">artisanat traditionnel </w:t>
            </w:r>
          </w:p>
          <w:p w:rsidR="0093570A" w:rsidRPr="008322B5" w:rsidRDefault="00685BB2" w:rsidP="007B4F22">
            <w:pPr>
              <w:pStyle w:val="Default"/>
              <w:keepNext/>
              <w:widowControl/>
              <w:autoSpaceDE/>
              <w:autoSpaceDN/>
              <w:adjustRightInd/>
              <w:spacing w:before="120"/>
              <w:ind w:left="1134" w:right="136" w:hanging="567"/>
              <w:jc w:val="both"/>
              <w:rPr>
                <w:rFonts w:ascii="Arial" w:eastAsia="SimSun" w:hAnsi="Arial" w:cs="Arial"/>
                <w:sz w:val="20"/>
                <w:szCs w:val="20"/>
              </w:rPr>
            </w:pPr>
            <w:r w:rsidRPr="008322B5">
              <w:rPr>
                <w:rFonts w:ascii="Arial" w:hAnsi="Arial" w:cs="Arial"/>
                <w:sz w:val="18"/>
                <w:szCs w:val="18"/>
              </w:rPr>
              <w:fldChar w:fldCharType="begin">
                <w:ffData>
                  <w:name w:val="CaseACocher9"/>
                  <w:enabled/>
                  <w:calcOnExit w:val="0"/>
                  <w:checkBox>
                    <w:sizeAuto/>
                    <w:default w:val="0"/>
                  </w:checkBox>
                </w:ffData>
              </w:fldChar>
            </w:r>
            <w:r w:rsidR="0093570A" w:rsidRPr="008322B5">
              <w:rPr>
                <w:rFonts w:ascii="Arial" w:hAnsi="Arial" w:cs="Arial"/>
                <w:sz w:val="18"/>
                <w:szCs w:val="18"/>
              </w:rPr>
              <w:instrText xml:space="preserve"> FORMCHECKBOX </w:instrText>
            </w:r>
            <w:r w:rsidR="00603F68">
              <w:rPr>
                <w:rFonts w:ascii="Arial" w:hAnsi="Arial" w:cs="Arial"/>
                <w:sz w:val="18"/>
                <w:szCs w:val="18"/>
              </w:rPr>
            </w:r>
            <w:r w:rsidR="00603F68">
              <w:rPr>
                <w:rFonts w:ascii="Arial" w:hAnsi="Arial" w:cs="Arial"/>
                <w:sz w:val="18"/>
                <w:szCs w:val="18"/>
              </w:rPr>
              <w:fldChar w:fldCharType="separate"/>
            </w:r>
            <w:r w:rsidRPr="008322B5">
              <w:rPr>
                <w:rFonts w:ascii="Arial" w:hAnsi="Arial" w:cs="Arial"/>
                <w:sz w:val="18"/>
                <w:szCs w:val="18"/>
              </w:rPr>
              <w:fldChar w:fldCharType="end"/>
            </w:r>
            <w:r w:rsidR="0093570A" w:rsidRPr="008322B5">
              <w:rPr>
                <w:rFonts w:ascii="Arial" w:hAnsi="Arial"/>
                <w:color w:val="auto"/>
                <w:sz w:val="18"/>
              </w:rPr>
              <w:t>autre(s) (</w:t>
            </w:r>
            <w:r w:rsidRPr="008322B5">
              <w:rPr>
                <w:rFonts w:ascii="Arial" w:hAnsi="Arial" w:cs="Arial"/>
                <w:color w:val="auto"/>
                <w:sz w:val="18"/>
                <w:szCs w:val="18"/>
              </w:rPr>
              <w:fldChar w:fldCharType="begin">
                <w:ffData>
                  <w:name w:val="Text5"/>
                  <w:enabled/>
                  <w:calcOnExit w:val="0"/>
                  <w:textInput/>
                </w:ffData>
              </w:fldChar>
            </w:r>
            <w:r w:rsidR="0093570A" w:rsidRPr="008322B5">
              <w:rPr>
                <w:rFonts w:ascii="Arial" w:hAnsi="Arial" w:cs="Arial"/>
                <w:color w:val="auto"/>
                <w:sz w:val="18"/>
                <w:szCs w:val="18"/>
              </w:rPr>
              <w:instrText xml:space="preserve"> FORMTEXT </w:instrText>
            </w:r>
            <w:r w:rsidRPr="008322B5">
              <w:rPr>
                <w:rFonts w:ascii="Arial" w:hAnsi="Arial" w:cs="Arial"/>
                <w:color w:val="auto"/>
                <w:sz w:val="18"/>
                <w:szCs w:val="18"/>
              </w:rPr>
            </w:r>
            <w:r w:rsidRPr="008322B5">
              <w:rPr>
                <w:rFonts w:ascii="Arial" w:hAnsi="Arial" w:cs="Arial"/>
                <w:color w:val="auto"/>
                <w:sz w:val="18"/>
                <w:szCs w:val="18"/>
              </w:rPr>
              <w:fldChar w:fldCharType="separate"/>
            </w:r>
            <w:r w:rsidR="0093570A" w:rsidRPr="008322B5">
              <w:rPr>
                <w:rFonts w:ascii="Arial" w:hAnsi="Arial"/>
                <w:color w:val="auto"/>
                <w:sz w:val="18"/>
              </w:rPr>
              <w:t> </w:t>
            </w:r>
            <w:r w:rsidR="0093570A" w:rsidRPr="008322B5">
              <w:rPr>
                <w:rFonts w:ascii="Arial" w:hAnsi="Arial"/>
                <w:color w:val="auto"/>
                <w:sz w:val="18"/>
              </w:rPr>
              <w:t> </w:t>
            </w:r>
            <w:r w:rsidR="0093570A" w:rsidRPr="008322B5">
              <w:rPr>
                <w:rFonts w:ascii="Arial" w:hAnsi="Arial"/>
                <w:color w:val="auto"/>
                <w:sz w:val="18"/>
              </w:rPr>
              <w:t> </w:t>
            </w:r>
            <w:r w:rsidR="0093570A" w:rsidRPr="008322B5">
              <w:rPr>
                <w:rFonts w:ascii="Arial" w:hAnsi="Arial"/>
                <w:color w:val="auto"/>
                <w:sz w:val="18"/>
              </w:rPr>
              <w:t> </w:t>
            </w:r>
            <w:r w:rsidR="0093570A" w:rsidRPr="008322B5">
              <w:rPr>
                <w:rFonts w:ascii="Arial" w:hAnsi="Arial"/>
                <w:color w:val="auto"/>
                <w:sz w:val="18"/>
              </w:rPr>
              <w:t> </w:t>
            </w:r>
            <w:r w:rsidRPr="008322B5">
              <w:fldChar w:fldCharType="end"/>
            </w:r>
            <w:r w:rsidR="0093570A" w:rsidRPr="008322B5">
              <w:rPr>
                <w:rFonts w:ascii="Arial" w:hAnsi="Arial"/>
                <w:sz w:val="18"/>
              </w:rPr>
              <w:t>)</w:t>
            </w:r>
          </w:p>
        </w:tc>
      </w:tr>
      <w:bookmarkEnd w:id="1"/>
      <w:tr w:rsidR="0093570A" w:rsidRPr="008322B5" w:rsidTr="007B4F22">
        <w:tc>
          <w:tcPr>
            <w:tcW w:w="9639" w:type="dxa"/>
            <w:tcBorders>
              <w:top w:val="single" w:sz="4" w:space="0" w:color="auto"/>
              <w:left w:val="nil"/>
              <w:bottom w:val="nil"/>
              <w:right w:val="nil"/>
            </w:tcBorders>
            <w:shd w:val="clear" w:color="auto" w:fill="auto"/>
            <w:tcMar>
              <w:top w:w="113" w:type="dxa"/>
              <w:left w:w="113" w:type="dxa"/>
              <w:bottom w:w="113" w:type="dxa"/>
              <w:right w:w="113" w:type="dxa"/>
            </w:tcMar>
          </w:tcPr>
          <w:p w:rsidR="0093570A" w:rsidRPr="008322B5" w:rsidRDefault="0093570A" w:rsidP="007B4F22">
            <w:pPr>
              <w:pStyle w:val="Info03"/>
              <w:keepNext w:val="0"/>
              <w:rPr>
                <w:rFonts w:eastAsia="SimSun"/>
                <w:iCs w:val="0"/>
                <w:color w:val="000000"/>
                <w:sz w:val="18"/>
                <w:szCs w:val="18"/>
              </w:rPr>
            </w:pPr>
            <w:r w:rsidRPr="008322B5">
              <w:rPr>
                <w:i w:val="0"/>
                <w:sz w:val="18"/>
              </w:rPr>
              <w:t>Cette section doit aborder toutes les caractéristiques significatives de l</w:t>
            </w:r>
            <w:r w:rsidR="009B42BE">
              <w:rPr>
                <w:i w:val="0"/>
                <w:sz w:val="18"/>
              </w:rPr>
              <w:t>’</w:t>
            </w:r>
            <w:r w:rsidRPr="008322B5">
              <w:rPr>
                <w:i w:val="0"/>
                <w:sz w:val="18"/>
              </w:rPr>
              <w:t>élément, tel qu</w:t>
            </w:r>
            <w:r w:rsidR="009B42BE">
              <w:rPr>
                <w:i w:val="0"/>
                <w:sz w:val="18"/>
              </w:rPr>
              <w:t>’</w:t>
            </w:r>
            <w:r w:rsidRPr="008322B5">
              <w:rPr>
                <w:i w:val="0"/>
                <w:sz w:val="18"/>
              </w:rPr>
              <w:t>il existe actuellement.</w:t>
            </w:r>
            <w:r w:rsidRPr="008322B5">
              <w:rPr>
                <w:color w:val="000000"/>
                <w:sz w:val="18"/>
              </w:rPr>
              <w:t xml:space="preserve"> Elle doit inclure notamment :</w:t>
            </w:r>
          </w:p>
          <w:p w:rsidR="0093570A" w:rsidRPr="008322B5" w:rsidRDefault="0093570A" w:rsidP="009B42BE">
            <w:pPr>
              <w:pStyle w:val="Info03"/>
              <w:keepNext w:val="0"/>
              <w:numPr>
                <w:ilvl w:val="0"/>
                <w:numId w:val="38"/>
              </w:numPr>
              <w:tabs>
                <w:tab w:val="clear" w:pos="567"/>
                <w:tab w:val="clear" w:pos="794"/>
                <w:tab w:val="clear" w:pos="1134"/>
                <w:tab w:val="clear" w:pos="1701"/>
                <w:tab w:val="clear" w:pos="2268"/>
              </w:tabs>
              <w:spacing w:before="60" w:after="60"/>
              <w:ind w:left="1134" w:hanging="567"/>
              <w:rPr>
                <w:rFonts w:eastAsia="SimSun"/>
                <w:iCs w:val="0"/>
                <w:color w:val="000000"/>
                <w:sz w:val="18"/>
                <w:szCs w:val="18"/>
              </w:rPr>
            </w:pPr>
            <w:r w:rsidRPr="008322B5">
              <w:rPr>
                <w:color w:val="000000"/>
                <w:sz w:val="18"/>
              </w:rPr>
              <w:t>une explication de ses fonctions sociales et ses significations culturelles actuelles, au sein et pour ses communautés,</w:t>
            </w:r>
          </w:p>
          <w:p w:rsidR="0093570A" w:rsidRPr="008322B5" w:rsidRDefault="0093570A" w:rsidP="009B42BE">
            <w:pPr>
              <w:pStyle w:val="Info03"/>
              <w:keepNext w:val="0"/>
              <w:numPr>
                <w:ilvl w:val="0"/>
                <w:numId w:val="38"/>
              </w:numPr>
              <w:tabs>
                <w:tab w:val="clear" w:pos="567"/>
                <w:tab w:val="clear" w:pos="794"/>
              </w:tabs>
              <w:spacing w:before="60" w:after="60"/>
              <w:ind w:left="1134" w:hanging="567"/>
              <w:rPr>
                <w:rFonts w:eastAsia="SimSun"/>
                <w:iCs w:val="0"/>
                <w:color w:val="000000"/>
                <w:sz w:val="18"/>
                <w:szCs w:val="18"/>
              </w:rPr>
            </w:pPr>
            <w:r w:rsidRPr="008322B5">
              <w:rPr>
                <w:color w:val="000000"/>
                <w:sz w:val="18"/>
              </w:rPr>
              <w:t>les caractéristiques des détenteurs et des praticiens de l</w:t>
            </w:r>
            <w:r w:rsidR="009B42BE">
              <w:rPr>
                <w:color w:val="000000"/>
                <w:sz w:val="18"/>
              </w:rPr>
              <w:t>’</w:t>
            </w:r>
            <w:r w:rsidRPr="008322B5">
              <w:rPr>
                <w:color w:val="000000"/>
                <w:sz w:val="18"/>
              </w:rPr>
              <w:t>élément,</w:t>
            </w:r>
          </w:p>
          <w:p w:rsidR="0093570A" w:rsidRPr="008322B5" w:rsidRDefault="0093570A" w:rsidP="009B42BE">
            <w:pPr>
              <w:pStyle w:val="Info03"/>
              <w:keepNext w:val="0"/>
              <w:numPr>
                <w:ilvl w:val="0"/>
                <w:numId w:val="38"/>
              </w:numPr>
              <w:tabs>
                <w:tab w:val="clear" w:pos="567"/>
                <w:tab w:val="clear" w:pos="794"/>
              </w:tabs>
              <w:spacing w:before="60" w:after="60"/>
              <w:ind w:left="1134" w:hanging="567"/>
              <w:rPr>
                <w:rFonts w:eastAsia="SimSun"/>
                <w:iCs w:val="0"/>
                <w:color w:val="000000"/>
                <w:sz w:val="18"/>
                <w:szCs w:val="18"/>
              </w:rPr>
            </w:pPr>
            <w:r w:rsidRPr="008322B5">
              <w:rPr>
                <w:color w:val="000000"/>
                <w:sz w:val="18"/>
              </w:rPr>
              <w:t>tout rôle, catégorie spécifiques de personnes ou genre ayant des responsabilités spéciales à l</w:t>
            </w:r>
            <w:r w:rsidR="009B42BE">
              <w:rPr>
                <w:color w:val="000000"/>
                <w:sz w:val="18"/>
              </w:rPr>
              <w:t>’</w:t>
            </w:r>
            <w:r w:rsidRPr="008322B5">
              <w:rPr>
                <w:color w:val="000000"/>
                <w:sz w:val="18"/>
              </w:rPr>
              <w:t>égard de l</w:t>
            </w:r>
            <w:r w:rsidR="009B42BE">
              <w:rPr>
                <w:color w:val="000000"/>
                <w:sz w:val="18"/>
              </w:rPr>
              <w:t>’</w:t>
            </w:r>
            <w:r w:rsidRPr="008322B5">
              <w:rPr>
                <w:color w:val="000000"/>
                <w:sz w:val="18"/>
              </w:rPr>
              <w:t>élément,</w:t>
            </w:r>
          </w:p>
          <w:p w:rsidR="0093570A" w:rsidRPr="008322B5" w:rsidRDefault="0093570A" w:rsidP="009B42BE">
            <w:pPr>
              <w:pStyle w:val="Info03"/>
              <w:keepNext w:val="0"/>
              <w:numPr>
                <w:ilvl w:val="0"/>
                <w:numId w:val="38"/>
              </w:numPr>
              <w:tabs>
                <w:tab w:val="clear" w:pos="567"/>
                <w:tab w:val="clear" w:pos="794"/>
              </w:tabs>
              <w:spacing w:before="60" w:after="60"/>
              <w:ind w:left="1134" w:hanging="567"/>
              <w:rPr>
                <w:rFonts w:eastAsia="SimSun"/>
                <w:iCs w:val="0"/>
                <w:color w:val="000000"/>
                <w:sz w:val="18"/>
                <w:szCs w:val="18"/>
              </w:rPr>
            </w:pPr>
            <w:r w:rsidRPr="008322B5">
              <w:rPr>
                <w:color w:val="000000"/>
                <w:sz w:val="18"/>
              </w:rPr>
              <w:t>les modes actuels de transmission des connaissances et les savoir-faire liés à l</w:t>
            </w:r>
            <w:r w:rsidR="009B42BE">
              <w:rPr>
                <w:color w:val="000000"/>
                <w:sz w:val="18"/>
              </w:rPr>
              <w:t>’</w:t>
            </w:r>
            <w:r w:rsidRPr="008322B5">
              <w:rPr>
                <w:color w:val="000000"/>
                <w:sz w:val="18"/>
              </w:rPr>
              <w:t>élément.</w:t>
            </w:r>
          </w:p>
          <w:p w:rsidR="0093570A" w:rsidRPr="008322B5" w:rsidRDefault="0093570A" w:rsidP="009B42BE">
            <w:pPr>
              <w:pStyle w:val="Default"/>
              <w:widowControl/>
              <w:tabs>
                <w:tab w:val="left" w:pos="709"/>
              </w:tabs>
              <w:spacing w:before="60" w:after="60"/>
              <w:ind w:left="113" w:right="135"/>
              <w:jc w:val="both"/>
              <w:rPr>
                <w:rFonts w:ascii="Arial" w:eastAsia="SimSun" w:hAnsi="Arial" w:cs="Arial"/>
                <w:i/>
                <w:sz w:val="18"/>
                <w:szCs w:val="18"/>
              </w:rPr>
            </w:pPr>
            <w:r w:rsidRPr="008322B5">
              <w:rPr>
                <w:rFonts w:ascii="Arial" w:hAnsi="Arial"/>
                <w:i/>
                <w:sz w:val="18"/>
              </w:rPr>
              <w:t>Le Comité doit disposer de suffisamment d</w:t>
            </w:r>
            <w:r w:rsidR="009B42BE">
              <w:rPr>
                <w:rFonts w:ascii="Arial" w:hAnsi="Arial"/>
                <w:i/>
                <w:sz w:val="18"/>
              </w:rPr>
              <w:t>’</w:t>
            </w:r>
            <w:r w:rsidRPr="008322B5">
              <w:rPr>
                <w:rFonts w:ascii="Arial" w:hAnsi="Arial"/>
                <w:i/>
                <w:sz w:val="18"/>
              </w:rPr>
              <w:t>informations pour déterminer :</w:t>
            </w:r>
          </w:p>
          <w:p w:rsidR="0093570A" w:rsidRPr="008322B5" w:rsidRDefault="0093570A" w:rsidP="009B42BE">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8322B5">
              <w:rPr>
                <w:rFonts w:ascii="Arial" w:hAnsi="Arial"/>
                <w:i/>
                <w:sz w:val="18"/>
              </w:rPr>
              <w:t>que l</w:t>
            </w:r>
            <w:r w:rsidR="009B42BE">
              <w:rPr>
                <w:rFonts w:ascii="Arial" w:hAnsi="Arial"/>
                <w:i/>
                <w:sz w:val="18"/>
              </w:rPr>
              <w:t>’</w:t>
            </w:r>
            <w:r w:rsidRPr="008322B5">
              <w:rPr>
                <w:rFonts w:ascii="Arial" w:hAnsi="Arial"/>
                <w:i/>
                <w:sz w:val="18"/>
              </w:rPr>
              <w:t>élément fait partie des « pratiques, représentations, expressions, connaissances et savoir-faire – ainsi que les instruments, objets, artefacts et espaces culturels qui leur sont associés – » ;</w:t>
            </w:r>
          </w:p>
          <w:p w:rsidR="0093570A" w:rsidRPr="008322B5" w:rsidRDefault="0093570A" w:rsidP="009B42BE">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8322B5">
              <w:rPr>
                <w:rFonts w:ascii="Arial" w:hAnsi="Arial"/>
                <w:i/>
                <w:sz w:val="18"/>
              </w:rPr>
              <w:t xml:space="preserve">que « les communautés, les groupes et, le cas échéant, les individus [le] reconnaissent comme faisant partie de leur patrimoine culturel » ; </w:t>
            </w:r>
          </w:p>
          <w:p w:rsidR="0093570A" w:rsidRPr="008322B5" w:rsidRDefault="0093570A" w:rsidP="009B42BE">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8322B5">
              <w:tab/>
            </w:r>
            <w:r w:rsidRPr="008322B5">
              <w:rPr>
                <w:rFonts w:ascii="Arial" w:hAnsi="Arial"/>
                <w:i/>
                <w:sz w:val="18"/>
              </w:rPr>
              <w:t>qu</w:t>
            </w:r>
            <w:r w:rsidR="009B42BE">
              <w:rPr>
                <w:rFonts w:ascii="Arial" w:hAnsi="Arial"/>
                <w:i/>
                <w:sz w:val="18"/>
              </w:rPr>
              <w:t>’</w:t>
            </w:r>
            <w:r w:rsidRPr="008322B5">
              <w:rPr>
                <w:rFonts w:ascii="Arial" w:hAnsi="Arial"/>
                <w:i/>
                <w:sz w:val="18"/>
              </w:rPr>
              <w:t xml:space="preserve">il est « transmis de génération en génération, [et] est recréé en permanence par les communautés et groupes en fonction de leur milieu, de leur interaction avec la nature et de leur histoire » ; </w:t>
            </w:r>
          </w:p>
          <w:p w:rsidR="0093570A" w:rsidRPr="008322B5" w:rsidRDefault="0093570A" w:rsidP="009B42BE">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8322B5">
              <w:rPr>
                <w:rFonts w:ascii="Arial" w:hAnsi="Arial"/>
                <w:i/>
                <w:sz w:val="18"/>
              </w:rPr>
              <w:t>qu</w:t>
            </w:r>
            <w:r w:rsidR="009B42BE">
              <w:rPr>
                <w:rFonts w:ascii="Arial" w:hAnsi="Arial"/>
                <w:i/>
                <w:sz w:val="18"/>
              </w:rPr>
              <w:t>’</w:t>
            </w:r>
            <w:r w:rsidRPr="008322B5">
              <w:rPr>
                <w:rFonts w:ascii="Arial" w:hAnsi="Arial"/>
                <w:i/>
                <w:sz w:val="18"/>
              </w:rPr>
              <w:t>il procure aux communautés et groupes concernés « un sentiment d</w:t>
            </w:r>
            <w:r w:rsidR="009B42BE">
              <w:rPr>
                <w:rFonts w:ascii="Arial" w:hAnsi="Arial"/>
                <w:i/>
                <w:sz w:val="18"/>
              </w:rPr>
              <w:t>’</w:t>
            </w:r>
            <w:r w:rsidRPr="008322B5">
              <w:rPr>
                <w:rFonts w:ascii="Arial" w:hAnsi="Arial"/>
                <w:i/>
                <w:sz w:val="18"/>
              </w:rPr>
              <w:t>identité et de continuité » ; et</w:t>
            </w:r>
          </w:p>
          <w:p w:rsidR="0093570A" w:rsidRPr="008322B5" w:rsidRDefault="0093570A" w:rsidP="009B42BE">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8322B5">
              <w:rPr>
                <w:rFonts w:ascii="Arial" w:hAnsi="Arial"/>
                <w:i/>
                <w:sz w:val="18"/>
              </w:rPr>
              <w:t>qu</w:t>
            </w:r>
            <w:r w:rsidR="009B42BE">
              <w:rPr>
                <w:rFonts w:ascii="Arial" w:hAnsi="Arial"/>
                <w:i/>
                <w:sz w:val="18"/>
              </w:rPr>
              <w:t>’</w:t>
            </w:r>
            <w:r w:rsidRPr="008322B5">
              <w:rPr>
                <w:rFonts w:ascii="Arial" w:hAnsi="Arial"/>
                <w:i/>
                <w:sz w:val="18"/>
              </w:rPr>
              <w:t>il n</w:t>
            </w:r>
            <w:r w:rsidR="009B42BE">
              <w:rPr>
                <w:rFonts w:ascii="Arial" w:hAnsi="Arial"/>
                <w:i/>
                <w:sz w:val="18"/>
              </w:rPr>
              <w:t>’</w:t>
            </w:r>
            <w:r w:rsidRPr="008322B5">
              <w:rPr>
                <w:rFonts w:ascii="Arial" w:hAnsi="Arial"/>
                <w:i/>
                <w:sz w:val="18"/>
              </w:rPr>
              <w:t>est pas contraire aux « instruments internationaux existants relatifs aux droits de l</w:t>
            </w:r>
            <w:r w:rsidR="009B42BE">
              <w:rPr>
                <w:rFonts w:ascii="Arial" w:hAnsi="Arial"/>
                <w:i/>
                <w:sz w:val="18"/>
              </w:rPr>
              <w:t>’</w:t>
            </w:r>
            <w:r w:rsidRPr="008322B5">
              <w:rPr>
                <w:rFonts w:ascii="Arial" w:hAnsi="Arial"/>
                <w:i/>
                <w:sz w:val="18"/>
              </w:rPr>
              <w:t>homme ainsi qu</w:t>
            </w:r>
            <w:r w:rsidR="009B42BE">
              <w:rPr>
                <w:rFonts w:ascii="Arial" w:hAnsi="Arial"/>
                <w:i/>
                <w:sz w:val="18"/>
              </w:rPr>
              <w:t>’</w:t>
            </w:r>
            <w:r w:rsidRPr="008322B5">
              <w:rPr>
                <w:rFonts w:ascii="Arial" w:hAnsi="Arial"/>
                <w:i/>
                <w:sz w:val="18"/>
              </w:rPr>
              <w:t>à l</w:t>
            </w:r>
            <w:r w:rsidR="009B42BE">
              <w:rPr>
                <w:rFonts w:ascii="Arial" w:hAnsi="Arial"/>
                <w:i/>
                <w:sz w:val="18"/>
              </w:rPr>
              <w:t>’</w:t>
            </w:r>
            <w:r w:rsidRPr="008322B5">
              <w:rPr>
                <w:rFonts w:ascii="Arial" w:hAnsi="Arial"/>
                <w:i/>
                <w:sz w:val="18"/>
              </w:rPr>
              <w:t>exigence du respect mutuel entre communautés, groupes et individus, et d</w:t>
            </w:r>
            <w:r w:rsidR="009B42BE">
              <w:rPr>
                <w:rFonts w:ascii="Arial" w:hAnsi="Arial"/>
                <w:i/>
                <w:sz w:val="18"/>
              </w:rPr>
              <w:t>’</w:t>
            </w:r>
            <w:r w:rsidRPr="008322B5">
              <w:rPr>
                <w:rFonts w:ascii="Arial" w:hAnsi="Arial"/>
                <w:i/>
                <w:sz w:val="18"/>
              </w:rPr>
              <w:t>un développement durable ».</w:t>
            </w:r>
          </w:p>
          <w:p w:rsidR="0093570A" w:rsidRPr="008322B5" w:rsidRDefault="0093570A" w:rsidP="007B4F22">
            <w:pPr>
              <w:pStyle w:val="Default"/>
              <w:widowControl/>
              <w:tabs>
                <w:tab w:val="left" w:pos="709"/>
              </w:tabs>
              <w:spacing w:before="120" w:after="120"/>
              <w:ind w:left="113" w:right="135"/>
              <w:jc w:val="both"/>
              <w:rPr>
                <w:rFonts w:ascii="Arial" w:eastAsia="SimSun" w:hAnsi="Arial" w:cs="Arial"/>
                <w:sz w:val="18"/>
                <w:szCs w:val="18"/>
              </w:rPr>
            </w:pPr>
            <w:r w:rsidRPr="008322B5">
              <w:rPr>
                <w:rFonts w:ascii="Arial" w:hAnsi="Arial"/>
                <w:i/>
                <w:sz w:val="18"/>
              </w:rPr>
              <w:t>Les descriptions trop techniques doivent être évitées et les États soumissionnaires devraient garder à l</w:t>
            </w:r>
            <w:r w:rsidR="009B42BE">
              <w:rPr>
                <w:rFonts w:ascii="Arial" w:hAnsi="Arial"/>
                <w:i/>
                <w:sz w:val="18"/>
              </w:rPr>
              <w:t>’</w:t>
            </w:r>
            <w:r w:rsidRPr="008322B5">
              <w:rPr>
                <w:rFonts w:ascii="Arial" w:hAnsi="Arial"/>
                <w:i/>
                <w:sz w:val="18"/>
              </w:rPr>
              <w:t>esprit que cette section doit expliquer l</w:t>
            </w:r>
            <w:r w:rsidR="009B42BE">
              <w:rPr>
                <w:rFonts w:ascii="Arial" w:hAnsi="Arial"/>
                <w:i/>
                <w:sz w:val="18"/>
              </w:rPr>
              <w:t>’</w:t>
            </w:r>
            <w:r w:rsidRPr="008322B5">
              <w:rPr>
                <w:rFonts w:ascii="Arial" w:hAnsi="Arial"/>
                <w:i/>
                <w:sz w:val="18"/>
              </w:rPr>
              <w:t>élément à des lecteurs qui n</w:t>
            </w:r>
            <w:r w:rsidR="009B42BE">
              <w:rPr>
                <w:rFonts w:ascii="Arial" w:hAnsi="Arial"/>
                <w:i/>
                <w:sz w:val="18"/>
              </w:rPr>
              <w:t>’</w:t>
            </w:r>
            <w:r w:rsidRPr="008322B5">
              <w:rPr>
                <w:rFonts w:ascii="Arial" w:hAnsi="Arial"/>
                <w:i/>
                <w:sz w:val="18"/>
              </w:rPr>
              <w:t>en ont aucune connaissance préalable ou expérience directe. L</w:t>
            </w:r>
            <w:r w:rsidR="009B42BE">
              <w:rPr>
                <w:rFonts w:ascii="Arial" w:hAnsi="Arial"/>
                <w:i/>
                <w:sz w:val="18"/>
              </w:rPr>
              <w:t>’</w:t>
            </w:r>
            <w:r w:rsidRPr="008322B5">
              <w:rPr>
                <w:rFonts w:ascii="Arial" w:hAnsi="Arial"/>
                <w:i/>
                <w:sz w:val="18"/>
              </w:rPr>
              <w:t>histoire de l</w:t>
            </w:r>
            <w:r w:rsidR="009B42BE">
              <w:rPr>
                <w:rFonts w:ascii="Arial" w:hAnsi="Arial"/>
                <w:i/>
                <w:sz w:val="18"/>
              </w:rPr>
              <w:t>’</w:t>
            </w:r>
            <w:r w:rsidRPr="008322B5">
              <w:rPr>
                <w:rFonts w:ascii="Arial" w:hAnsi="Arial"/>
                <w:i/>
                <w:sz w:val="18"/>
              </w:rPr>
              <w:t>élément, son origine ou son ancienneté n</w:t>
            </w:r>
            <w:r w:rsidR="009B42BE">
              <w:rPr>
                <w:rFonts w:ascii="Arial" w:hAnsi="Arial"/>
                <w:i/>
                <w:sz w:val="18"/>
              </w:rPr>
              <w:t>’</w:t>
            </w:r>
            <w:r w:rsidRPr="008322B5">
              <w:rPr>
                <w:rFonts w:ascii="Arial" w:hAnsi="Arial"/>
                <w:i/>
                <w:sz w:val="18"/>
              </w:rPr>
              <w:t>ont pas besoin d</w:t>
            </w:r>
            <w:r w:rsidR="009B42BE">
              <w:rPr>
                <w:rFonts w:ascii="Arial" w:hAnsi="Arial"/>
                <w:i/>
                <w:sz w:val="18"/>
              </w:rPr>
              <w:t>’</w:t>
            </w:r>
            <w:r w:rsidRPr="008322B5">
              <w:rPr>
                <w:rFonts w:ascii="Arial" w:hAnsi="Arial"/>
                <w:i/>
                <w:sz w:val="18"/>
              </w:rPr>
              <w:t>être abordées en détail dans le dossier de candidature.</w:t>
            </w:r>
          </w:p>
        </w:tc>
      </w:tr>
      <w:tr w:rsidR="0093570A" w:rsidRPr="008322B5" w:rsidTr="007B4F22">
        <w:tc>
          <w:tcPr>
            <w:tcW w:w="9639" w:type="dxa"/>
            <w:tcBorders>
              <w:top w:val="nil"/>
              <w:left w:val="nil"/>
              <w:bottom w:val="single" w:sz="4" w:space="0" w:color="auto"/>
              <w:right w:val="nil"/>
            </w:tcBorders>
            <w:shd w:val="clear" w:color="auto" w:fill="auto"/>
            <w:tcMar>
              <w:top w:w="113" w:type="dxa"/>
              <w:left w:w="113" w:type="dxa"/>
              <w:bottom w:w="113" w:type="dxa"/>
              <w:right w:w="113" w:type="dxa"/>
            </w:tcMar>
          </w:tcPr>
          <w:p w:rsidR="0093570A" w:rsidRPr="008322B5" w:rsidRDefault="0093570A" w:rsidP="009B42BE">
            <w:pPr>
              <w:pStyle w:val="Default"/>
              <w:widowControl/>
              <w:numPr>
                <w:ilvl w:val="0"/>
                <w:numId w:val="29"/>
              </w:numPr>
              <w:tabs>
                <w:tab w:val="left" w:pos="596"/>
              </w:tabs>
              <w:ind w:left="595" w:right="136" w:hanging="567"/>
              <w:jc w:val="both"/>
              <w:rPr>
                <w:rFonts w:ascii="Arial" w:eastAsia="SimSun" w:hAnsi="Arial" w:cs="Arial"/>
                <w:i/>
                <w:sz w:val="18"/>
                <w:szCs w:val="18"/>
              </w:rPr>
            </w:pPr>
            <w:r w:rsidRPr="008322B5">
              <w:rPr>
                <w:rFonts w:ascii="Arial" w:hAnsi="Arial"/>
                <w:i/>
                <w:sz w:val="18"/>
              </w:rPr>
              <w:t>Fournissez une description sommaire de l</w:t>
            </w:r>
            <w:r w:rsidR="009B42BE">
              <w:rPr>
                <w:rFonts w:ascii="Arial" w:hAnsi="Arial"/>
                <w:i/>
                <w:sz w:val="18"/>
              </w:rPr>
              <w:t>’</w:t>
            </w:r>
            <w:r w:rsidRPr="008322B5">
              <w:rPr>
                <w:rFonts w:ascii="Arial" w:hAnsi="Arial"/>
                <w:i/>
                <w:sz w:val="18"/>
              </w:rPr>
              <w:t>élément qui permette de le présenter à des lecteurs qui ne l</w:t>
            </w:r>
            <w:r w:rsidR="009B42BE">
              <w:rPr>
                <w:rFonts w:ascii="Arial" w:hAnsi="Arial"/>
                <w:i/>
                <w:sz w:val="18"/>
              </w:rPr>
              <w:t>’</w:t>
            </w:r>
            <w:r w:rsidRPr="008322B5">
              <w:rPr>
                <w:rFonts w:ascii="Arial" w:hAnsi="Arial"/>
                <w:i/>
                <w:sz w:val="18"/>
              </w:rPr>
              <w:t>ont jamais vu ou n</w:t>
            </w:r>
            <w:r w:rsidR="009B42BE">
              <w:rPr>
                <w:rFonts w:ascii="Arial" w:hAnsi="Arial"/>
                <w:i/>
                <w:sz w:val="18"/>
              </w:rPr>
              <w:t>’</w:t>
            </w:r>
            <w:r w:rsidRPr="008322B5">
              <w:rPr>
                <w:rFonts w:ascii="Arial" w:hAnsi="Arial"/>
                <w:i/>
                <w:sz w:val="18"/>
              </w:rPr>
              <w:t>en ont jamais eu l</w:t>
            </w:r>
            <w:r w:rsidR="009B42BE">
              <w:rPr>
                <w:rFonts w:ascii="Arial" w:hAnsi="Arial"/>
                <w:i/>
                <w:sz w:val="18"/>
              </w:rPr>
              <w:t>’</w:t>
            </w:r>
            <w:r w:rsidRPr="008322B5">
              <w:rPr>
                <w:rFonts w:ascii="Arial" w:hAnsi="Arial"/>
                <w:i/>
                <w:sz w:val="18"/>
              </w:rPr>
              <w:t>expérience.</w:t>
            </w:r>
          </w:p>
          <w:p w:rsidR="0093570A" w:rsidRPr="008322B5" w:rsidRDefault="0093570A" w:rsidP="007B4F22">
            <w:pPr>
              <w:pStyle w:val="Word"/>
              <w:spacing w:after="0" w:line="240" w:lineRule="auto"/>
              <w:ind w:right="136"/>
              <w:rPr>
                <w:rFonts w:eastAsia="SimSun"/>
                <w:sz w:val="18"/>
                <w:szCs w:val="18"/>
              </w:rPr>
            </w:pPr>
            <w:r w:rsidRPr="008322B5">
              <w:rPr>
                <w:rStyle w:val="Emphasis"/>
                <w:i/>
                <w:color w:val="000000"/>
                <w:sz w:val="18"/>
              </w:rPr>
              <w:t>Minimum 170 mots et maximum 280 mots</w:t>
            </w:r>
          </w:p>
        </w:tc>
      </w:tr>
      <w:tr w:rsidR="00846A7D" w:rsidRPr="008322B5" w:rsidTr="007B4F22">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0"/>
              <w:jc w:val="both"/>
              <w:rPr>
                <w:noProof/>
              </w:rPr>
            </w:pPr>
            <w:r w:rsidRPr="008322B5">
              <w:lastRenderedPageBreak/>
              <w:t>Les savoir-faire du meunier englobent les connaissances et les compétences nécessaires au fonctionnement d</w:t>
            </w:r>
            <w:r w:rsidR="009B42BE">
              <w:t>’</w:t>
            </w:r>
            <w:r w:rsidRPr="008322B5">
              <w:t>un moulin et à son maintien en bon état. Par exemple, les meuniers savent comment préparer un moulin pour la rotation ou le broyage, comment l</w:t>
            </w:r>
            <w:r w:rsidR="009B42BE">
              <w:t>’</w:t>
            </w:r>
            <w:r w:rsidRPr="008322B5">
              <w:t>utiliser dans différentes conditions météorologiques, comment positionner les ailes pour tirer le meilleur parti du vent, etc. Ils possèdent également des compétences spécifiques à leur type de moulin, selon qu</w:t>
            </w:r>
            <w:r w:rsidR="009B42BE">
              <w:t>’</w:t>
            </w:r>
            <w:r w:rsidR="00146B12" w:rsidRPr="008322B5">
              <w:t>il s</w:t>
            </w:r>
            <w:r w:rsidR="009B42BE">
              <w:t>’</w:t>
            </w:r>
            <w:r w:rsidR="00146B12" w:rsidRPr="008322B5">
              <w:t>agit d</w:t>
            </w:r>
            <w:r w:rsidR="009B42BE">
              <w:t>’</w:t>
            </w:r>
            <w:r w:rsidR="00146B12" w:rsidRPr="008322B5">
              <w:t>assécher d</w:t>
            </w:r>
            <w:r w:rsidRPr="008322B5">
              <w:t>es polders ou de moudre des céréales, par exemple. Avec la baisse du nombre de personnes vivant de cette activité, les meuniers jouent aujourd</w:t>
            </w:r>
            <w:r w:rsidR="009B42BE">
              <w:t>’</w:t>
            </w:r>
            <w:r w:rsidRPr="008322B5">
              <w:t>hui un rôle dans la transmission de l</w:t>
            </w:r>
            <w:r w:rsidR="009B42BE">
              <w:t>’</w:t>
            </w:r>
            <w:r w:rsidRPr="008322B5">
              <w:t>histoire culturelle. Ils doivent pouvoir accueillir des visiteurs, leur faire faire des visi</w:t>
            </w:r>
            <w:r w:rsidR="00146B12" w:rsidRPr="008322B5">
              <w:t>tes et expliquer l</w:t>
            </w:r>
            <w:r w:rsidR="009B42BE">
              <w:t>’</w:t>
            </w:r>
            <w:r w:rsidR="00146B12" w:rsidRPr="008322B5">
              <w:t>histoire de leur</w:t>
            </w:r>
            <w:r w:rsidRPr="008322B5">
              <w:t xml:space="preserve">s savoir-faire. </w:t>
            </w:r>
          </w:p>
          <w:p w:rsidR="00846A7D" w:rsidRPr="008322B5" w:rsidRDefault="00846A7D" w:rsidP="008B2658">
            <w:pPr>
              <w:pStyle w:val="formtext"/>
              <w:spacing w:before="120" w:after="0" w:line="240" w:lineRule="auto"/>
              <w:jc w:val="both"/>
            </w:pPr>
            <w:r w:rsidRPr="008322B5">
              <w:t>Les meuniers ne peuvent pas exercer leurs savoir-faire sans moulins. Les moulins à vent et les moulins à eau utilisent l</w:t>
            </w:r>
            <w:r w:rsidR="009B42BE">
              <w:t>’</w:t>
            </w:r>
            <w:r w:rsidRPr="008322B5">
              <w:t>énergie du vent et de l</w:t>
            </w:r>
            <w:r w:rsidR="009B42BE">
              <w:t>’</w:t>
            </w:r>
            <w:r w:rsidRPr="008322B5">
              <w:t>eau pour un</w:t>
            </w:r>
            <w:r w:rsidR="00146B12" w:rsidRPr="008322B5">
              <w:t>e</w:t>
            </w:r>
            <w:r w:rsidRPr="008322B5">
              <w:t xml:space="preserve"> production durable. Le vent et l</w:t>
            </w:r>
            <w:r w:rsidR="009B42BE">
              <w:t>’</w:t>
            </w:r>
            <w:r w:rsidRPr="008322B5">
              <w:t>eau sont des ressources abondantes aux Pays-Bas ; les moulins ont donc toujours fait partie intégrante du paysage. Les premières descriptions de moulins à vent néerlandais remontent aux alentours de l</w:t>
            </w:r>
            <w:r w:rsidR="009B42BE">
              <w:t>’</w:t>
            </w:r>
            <w:r w:rsidRPr="008322B5">
              <w:t>an 1200 et on utilisait l</w:t>
            </w:r>
            <w:r w:rsidR="009B42BE">
              <w:t>’</w:t>
            </w:r>
            <w:r w:rsidRPr="008322B5">
              <w:t xml:space="preserve">énergie hydraulique </w:t>
            </w:r>
            <w:r w:rsidR="00146B12" w:rsidRPr="008322B5">
              <w:t xml:space="preserve">même avant </w:t>
            </w:r>
            <w:r w:rsidRPr="008322B5">
              <w:t>pour actionner des moulins à eau dans l</w:t>
            </w:r>
            <w:r w:rsidR="009B42BE">
              <w:t>’</w:t>
            </w:r>
            <w:r w:rsidRPr="008322B5">
              <w:t xml:space="preserve">est et le sud des Pays-Bas. À leur apogée, dans la deuxième moitié du XIXe siècle, </w:t>
            </w:r>
            <w:r w:rsidR="00146B12" w:rsidRPr="008322B5">
              <w:t>les</w:t>
            </w:r>
            <w:r w:rsidR="002B0080" w:rsidRPr="008322B5">
              <w:t xml:space="preserve"> </w:t>
            </w:r>
            <w:r w:rsidR="00146B12" w:rsidRPr="008322B5">
              <w:t xml:space="preserve">Pays-Bas </w:t>
            </w:r>
            <w:r w:rsidRPr="008322B5">
              <w:t>comptai</w:t>
            </w:r>
            <w:r w:rsidR="00146B12" w:rsidRPr="008322B5">
              <w:t>en</w:t>
            </w:r>
            <w:r w:rsidRPr="008322B5">
              <w:t>t plus de 9</w:t>
            </w:r>
            <w:r w:rsidR="003D0E3F" w:rsidRPr="008322B5">
              <w:t> </w:t>
            </w:r>
            <w:r w:rsidRPr="008322B5">
              <w:t>000 moulins en fonctionnement. Les changements techniques et économiques ont conduit à l</w:t>
            </w:r>
            <w:r w:rsidR="009B42BE">
              <w:t>’</w:t>
            </w:r>
            <w:r w:rsidRPr="008322B5">
              <w:t>abandon des moulins vers 1900 et la profession de meunier a progressivement disparu. Dans le même temps, cependant, des personnes ont pris conscience de la valeur culturelle et historique des moulins. Leur renouveau s</w:t>
            </w:r>
            <w:r w:rsidR="009B42BE">
              <w:t>’</w:t>
            </w:r>
            <w:r w:rsidRPr="008322B5">
              <w:t>est amorcé dans les années 1970 et on compte aujourd</w:t>
            </w:r>
            <w:r w:rsidR="009B42BE">
              <w:t>’</w:t>
            </w:r>
            <w:r w:rsidRPr="008322B5">
              <w:t>hui de nombreux volontaires désireux de maîtriser les savoir-faire du meunier.</w:t>
            </w:r>
          </w:p>
        </w:tc>
      </w:tr>
      <w:tr w:rsidR="00846A7D" w:rsidRPr="008322B5" w:rsidTr="007B4F22">
        <w:tc>
          <w:tcPr>
            <w:tcW w:w="963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pStyle w:val="Default"/>
              <w:keepNext/>
              <w:widowControl/>
              <w:numPr>
                <w:ilvl w:val="0"/>
                <w:numId w:val="29"/>
              </w:numPr>
              <w:tabs>
                <w:tab w:val="left" w:pos="596"/>
              </w:tabs>
              <w:spacing w:before="120" w:after="120"/>
              <w:ind w:left="595" w:right="136" w:hanging="567"/>
              <w:jc w:val="both"/>
              <w:rPr>
                <w:rFonts w:ascii="Arial" w:eastAsia="SimSun" w:hAnsi="Arial" w:cs="Arial"/>
                <w:i/>
                <w:sz w:val="18"/>
                <w:szCs w:val="18"/>
              </w:rPr>
            </w:pPr>
            <w:r w:rsidRPr="008322B5">
              <w:rPr>
                <w:rFonts w:ascii="Arial" w:hAnsi="Arial"/>
                <w:i/>
                <w:sz w:val="18"/>
              </w:rPr>
              <w:t>Qui sont les détenteurs et les praticiens de l</w:t>
            </w:r>
            <w:r w:rsidR="009B42BE">
              <w:rPr>
                <w:rFonts w:ascii="Arial" w:hAnsi="Arial"/>
                <w:i/>
                <w:sz w:val="18"/>
              </w:rPr>
              <w:t>’</w:t>
            </w:r>
            <w:r w:rsidRPr="008322B5">
              <w:rPr>
                <w:rFonts w:ascii="Arial" w:hAnsi="Arial"/>
                <w:i/>
                <w:sz w:val="18"/>
              </w:rPr>
              <w:t>élément ? Y-a-t-il des rôles, des genres, ou des catégories spécifiques de personnes ayant des responsabilités particulières à l</w:t>
            </w:r>
            <w:r w:rsidR="009B42BE">
              <w:rPr>
                <w:rFonts w:ascii="Arial" w:hAnsi="Arial"/>
                <w:i/>
                <w:sz w:val="18"/>
              </w:rPr>
              <w:t>’</w:t>
            </w:r>
            <w:r w:rsidRPr="008322B5">
              <w:rPr>
                <w:rFonts w:ascii="Arial" w:hAnsi="Arial"/>
                <w:i/>
                <w:sz w:val="18"/>
              </w:rPr>
              <w:t>égard de la pratique et de la transmission de l</w:t>
            </w:r>
            <w:r w:rsidR="009B42BE">
              <w:rPr>
                <w:rFonts w:ascii="Arial" w:hAnsi="Arial"/>
                <w:i/>
                <w:sz w:val="18"/>
              </w:rPr>
              <w:t>’</w:t>
            </w:r>
            <w:r w:rsidRPr="008322B5">
              <w:rPr>
                <w:rFonts w:ascii="Arial" w:hAnsi="Arial"/>
                <w:i/>
                <w:sz w:val="18"/>
              </w:rPr>
              <w:t>élément ? Si oui, qui sont-ils et quelles sont leurs responsabilités ?</w:t>
            </w:r>
          </w:p>
          <w:p w:rsidR="00846A7D" w:rsidRPr="008322B5" w:rsidRDefault="00846A7D" w:rsidP="007B4F22">
            <w:pPr>
              <w:pStyle w:val="Word"/>
              <w:spacing w:after="0" w:line="240" w:lineRule="auto"/>
              <w:ind w:right="136"/>
              <w:rPr>
                <w:i w:val="0"/>
              </w:rPr>
            </w:pPr>
            <w:r w:rsidRPr="008322B5">
              <w:rPr>
                <w:rStyle w:val="Emphasis"/>
                <w:i/>
                <w:color w:val="000000"/>
                <w:sz w:val="18"/>
              </w:rPr>
              <w:t>Minimum 170 mots et maximum 280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120"/>
              <w:jc w:val="both"/>
              <w:rPr>
                <w:noProof/>
              </w:rPr>
            </w:pPr>
            <w:r w:rsidRPr="008322B5">
              <w:t>Les savoir-faire du meunier sont exercés par des meuniers qualifiés qui ont les compétences nécessaires pour maintenir les moulins en fonctionnement. La plupart des meuniers exercent pendant leur temps libre. Les meuniers volontaires ont la responsabilité d</w:t>
            </w:r>
            <w:r w:rsidR="009B42BE">
              <w:t>’</w:t>
            </w:r>
            <w:r w:rsidRPr="008322B5">
              <w:t>un moulin dans lequel ils travaillent une ou deux fois par semaine. Traditionnellement, les meuniers étaient des hommes mais, ces dernières années, de plus en plus de femmes ont rejoint leurs rangs. Les meuniers professionnels sont une quarantaine. Ils vendent leurs produits artisanaux dans les boutiques situées dans les moulins mêmes. Avec les nombreuses personnes qui consacrent leur temps libre à travailler dans les moulins, ils font vivre les savoir-faire du meunier et créent indirectement des emplois associés, par exemple pour les boulangers et les supermarchés qui vendent leurs produits artisanaux, ou encore les constructeurs ou restaurateurs de moulins.</w:t>
            </w:r>
          </w:p>
          <w:p w:rsidR="00846A7D" w:rsidRPr="008322B5" w:rsidRDefault="00846A7D" w:rsidP="008B2658">
            <w:pPr>
              <w:pStyle w:val="formtext"/>
              <w:spacing w:before="120" w:after="0" w:line="240" w:lineRule="auto"/>
              <w:jc w:val="both"/>
            </w:pPr>
            <w:r w:rsidRPr="008322B5">
              <w:t>Les instructeurs – des meuniers qualifiés et expérimentés qui forment bénévolement les nouveaux meuniers – jouent un rôle spécial dans la transmission des connaissances. La Guilde des meuniers volontaires compte environ 105 instructeurs sur le terrain, et la Guilde des meuniers frisons une vingtaine. La Guilde des meuniers traditionnels organise la formation professionnelle des apprentis meuniers et la formation approfondie des maîtres meuniers. Ces derniers sont des meuniers professionnels qualifiés. À l</w:t>
            </w:r>
            <w:r w:rsidR="009B42BE">
              <w:t>’</w:t>
            </w:r>
            <w:r w:rsidRPr="008322B5">
              <w:t>heure actuelle, les maîtres meuniers actifs sont au nombre de 11 aux Pays-Bas.</w:t>
            </w:r>
          </w:p>
        </w:tc>
      </w:tr>
      <w:tr w:rsidR="00846A7D" w:rsidRPr="008322B5" w:rsidTr="007B4F22">
        <w:tc>
          <w:tcPr>
            <w:tcW w:w="963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8322B5">
              <w:rPr>
                <w:rFonts w:ascii="Arial" w:hAnsi="Arial"/>
                <w:i/>
                <w:sz w:val="18"/>
              </w:rPr>
              <w:t>Comment les connaissances et les savoir-faire liés à l</w:t>
            </w:r>
            <w:r w:rsidR="009B42BE">
              <w:rPr>
                <w:rFonts w:ascii="Arial" w:hAnsi="Arial"/>
                <w:i/>
                <w:sz w:val="18"/>
              </w:rPr>
              <w:t>’</w:t>
            </w:r>
            <w:r w:rsidRPr="008322B5">
              <w:rPr>
                <w:rFonts w:ascii="Arial" w:hAnsi="Arial"/>
                <w:i/>
                <w:sz w:val="18"/>
              </w:rPr>
              <w:t>élément sont-ils transmis de nos jours ?</w:t>
            </w:r>
          </w:p>
          <w:p w:rsidR="00846A7D" w:rsidRPr="008322B5" w:rsidRDefault="00846A7D" w:rsidP="007B4F22">
            <w:pPr>
              <w:pStyle w:val="Word"/>
              <w:spacing w:before="120" w:after="0" w:line="240" w:lineRule="auto"/>
              <w:ind w:right="136"/>
              <w:rPr>
                <w:i w:val="0"/>
              </w:rPr>
            </w:pPr>
            <w:r w:rsidRPr="008322B5">
              <w:rPr>
                <w:rStyle w:val="Emphasis"/>
                <w:i/>
                <w:color w:val="000000"/>
                <w:sz w:val="18"/>
              </w:rPr>
              <w:t>Minimum 170 mots et maximum 280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46A7D">
            <w:pPr>
              <w:pStyle w:val="formtext"/>
              <w:spacing w:before="0" w:after="120"/>
              <w:jc w:val="both"/>
              <w:rPr>
                <w:noProof/>
              </w:rPr>
            </w:pPr>
            <w:r w:rsidRPr="008322B5">
              <w:t xml:space="preserve">Les savoir-faire du meunier se transmettaient autrefois de maître à apprenti. </w:t>
            </w:r>
            <w:r w:rsidR="00745D99" w:rsidRPr="008322B5">
              <w:t>Aujourd</w:t>
            </w:r>
            <w:r w:rsidR="009B42BE">
              <w:t>’</w:t>
            </w:r>
            <w:r w:rsidR="00745D99" w:rsidRPr="008322B5">
              <w:t>hui, q</w:t>
            </w:r>
            <w:r w:rsidRPr="008322B5">
              <w:t>uiconque est intéressé par cette activité peut demander à suivre une formation auprès de la Guilde</w:t>
            </w:r>
            <w:r w:rsidR="00745D99" w:rsidRPr="008322B5">
              <w:t xml:space="preserve"> des meuniers volontaires, fondée en 1972</w:t>
            </w:r>
            <w:r w:rsidRPr="008322B5">
              <w:t>. Les candidats doivent ensuite trouver un moulin où se former. La formation est ess</w:t>
            </w:r>
            <w:r w:rsidR="00745D99" w:rsidRPr="008322B5">
              <w:t>entiellement d</w:t>
            </w:r>
            <w:r w:rsidR="009B42BE">
              <w:t>’</w:t>
            </w:r>
            <w:r w:rsidR="00745D99" w:rsidRPr="008322B5">
              <w:t>ordre pratique et l</w:t>
            </w:r>
            <w:r w:rsidRPr="008322B5">
              <w:t xml:space="preserve">a théorie nécessaire vient en appui de la pratique. La Guilde a revu ses programmes de formation en 2012. Afin que les aspirants meuniers apprennent à </w:t>
            </w:r>
            <w:r w:rsidR="00745D99" w:rsidRPr="008322B5">
              <w:t>exploiter</w:t>
            </w:r>
            <w:r w:rsidRPr="008322B5">
              <w:t xml:space="preserve"> un moulin en toute sécurité, ils doivent effectuer au minimum 150 heures de pratique dans différents moulins, et cela chaque saison. Les meuniers formés par la Guilde passent des examens administrés par la Société des moulins néerlandais. Près de 2</w:t>
            </w:r>
            <w:r w:rsidR="002B0080" w:rsidRPr="008322B5">
              <w:t> </w:t>
            </w:r>
            <w:r w:rsidRPr="008322B5">
              <w:t>000 volontaires ont obtenu la qualif</w:t>
            </w:r>
            <w:r w:rsidR="00745D99" w:rsidRPr="008322B5">
              <w:t>ication de meunier depuis 1972.</w:t>
            </w:r>
          </w:p>
          <w:p w:rsidR="00846A7D" w:rsidRPr="008322B5" w:rsidRDefault="00846A7D" w:rsidP="00846A7D">
            <w:pPr>
              <w:pStyle w:val="formtext"/>
              <w:spacing w:before="120" w:after="120"/>
              <w:jc w:val="both"/>
              <w:rPr>
                <w:noProof/>
              </w:rPr>
            </w:pPr>
            <w:r w:rsidRPr="008322B5">
              <w:lastRenderedPageBreak/>
              <w:t>La Guilde des meuniers frisons dispose de 16 moulins sur lesquels se former. Depuis les 40 dernières années, environ 35 appre</w:t>
            </w:r>
            <w:r w:rsidR="00745D99" w:rsidRPr="008322B5">
              <w:t>ntis sont formés chaque année.</w:t>
            </w:r>
          </w:p>
          <w:p w:rsidR="00846A7D" w:rsidRPr="008322B5" w:rsidRDefault="00846A7D" w:rsidP="00846A7D">
            <w:pPr>
              <w:pStyle w:val="formtext"/>
              <w:spacing w:before="120" w:after="120"/>
              <w:jc w:val="both"/>
              <w:rPr>
                <w:noProof/>
              </w:rPr>
            </w:pPr>
            <w:r w:rsidRPr="008322B5">
              <w:t xml:space="preserve">Les guildes apportent un soutien à tous ces meuniers en gardant à jour leurs connaissances et </w:t>
            </w:r>
            <w:r w:rsidR="008241BE" w:rsidRPr="008322B5">
              <w:t xml:space="preserve">leurs </w:t>
            </w:r>
            <w:r w:rsidRPr="008322B5">
              <w:t xml:space="preserve">compétences </w:t>
            </w:r>
            <w:r w:rsidR="008241BE" w:rsidRPr="008322B5">
              <w:t xml:space="preserve">grâce à des </w:t>
            </w:r>
            <w:r w:rsidRPr="008322B5">
              <w:t>excursions annuelles dans différents moulins à vent et à eau, des cours du soir théoriques, des excursions nocturnes, des conférences spéciales et des réunions auxquelles assistent de nombreux membres afin de nouer des liens et d</w:t>
            </w:r>
            <w:r w:rsidR="008241BE" w:rsidRPr="008322B5">
              <w:t>e partager leurs connaissances.</w:t>
            </w:r>
          </w:p>
          <w:p w:rsidR="00846A7D" w:rsidRPr="008322B5" w:rsidRDefault="00846A7D" w:rsidP="009B42BE">
            <w:pPr>
              <w:pStyle w:val="formtext"/>
              <w:spacing w:before="120" w:after="0" w:line="240" w:lineRule="auto"/>
              <w:ind w:right="136"/>
              <w:jc w:val="both"/>
              <w:rPr>
                <w:rFonts w:cs="Arial"/>
              </w:rPr>
            </w:pPr>
            <w:r w:rsidRPr="008322B5">
              <w:t xml:space="preserve">La Guilde des meuniers traditionnels </w:t>
            </w:r>
            <w:r w:rsidR="008241BE" w:rsidRPr="008322B5">
              <w:t>effectue</w:t>
            </w:r>
            <w:r w:rsidRPr="008322B5">
              <w:t xml:space="preserve"> des inspections annuelles des grains, durant lesquelles elle discute de la qualité des grains et de la farine ainsi que de la manière d</w:t>
            </w:r>
            <w:r w:rsidR="009B42BE">
              <w:t>’</w:t>
            </w:r>
            <w:r w:rsidRPr="008322B5">
              <w:t>améliorer les produits. Des livrets de recettes utilisant les produits des moulins ont été publiés avec, par exemple, un programme d</w:t>
            </w:r>
            <w:r w:rsidR="009B42BE">
              <w:t>’</w:t>
            </w:r>
            <w:r w:rsidRPr="008322B5">
              <w:t>étiquetage de la valeur nutritionnelle. Les séminaires organisés pour les meuniers professionnels les aident à exercer leur profession de façon techniquement et économiquement responsable.</w:t>
            </w:r>
          </w:p>
        </w:tc>
      </w:tr>
      <w:tr w:rsidR="00846A7D" w:rsidRPr="008322B5" w:rsidTr="007B4F22">
        <w:tc>
          <w:tcPr>
            <w:tcW w:w="963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8322B5">
              <w:rPr>
                <w:rFonts w:ascii="Arial" w:hAnsi="Arial"/>
                <w:i/>
                <w:sz w:val="18"/>
              </w:rPr>
              <w:lastRenderedPageBreak/>
              <w:t>Quelles fonctions sociales et quelles significations culturelles l</w:t>
            </w:r>
            <w:r w:rsidR="009B42BE">
              <w:rPr>
                <w:rFonts w:ascii="Arial" w:hAnsi="Arial"/>
                <w:i/>
                <w:sz w:val="18"/>
              </w:rPr>
              <w:t>’</w:t>
            </w:r>
            <w:r w:rsidRPr="008322B5">
              <w:rPr>
                <w:rFonts w:ascii="Arial" w:hAnsi="Arial"/>
                <w:i/>
                <w:sz w:val="18"/>
              </w:rPr>
              <w:t>élément a-t-il actuellement pour sa communauté ?</w:t>
            </w:r>
          </w:p>
          <w:p w:rsidR="00846A7D" w:rsidRPr="008322B5" w:rsidRDefault="00846A7D" w:rsidP="009B42BE">
            <w:pPr>
              <w:pStyle w:val="Word"/>
              <w:spacing w:after="0" w:line="240" w:lineRule="auto"/>
              <w:ind w:right="136"/>
              <w:rPr>
                <w:i w:val="0"/>
              </w:rPr>
            </w:pPr>
            <w:r w:rsidRPr="008322B5">
              <w:rPr>
                <w:rStyle w:val="Emphasis"/>
                <w:i/>
                <w:color w:val="000000"/>
                <w:sz w:val="18"/>
              </w:rPr>
              <w:t>Minimum 170 mots et maximum 280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46A7D">
            <w:pPr>
              <w:pStyle w:val="formtext"/>
              <w:spacing w:before="0" w:after="120"/>
              <w:jc w:val="both"/>
              <w:rPr>
                <w:noProof/>
              </w:rPr>
            </w:pPr>
            <w:r w:rsidRPr="008322B5">
              <w:t xml:space="preserve">Les moulins, et donc les savoir-faire du meunier, jouent un rôle social et culturel important dans la société néerlandaise. Comme la majeure partie du pays se trouve en-dessous du niveau de la mer, la nécessité de gagner des terres par drainage a </w:t>
            </w:r>
            <w:r w:rsidR="005818E4" w:rsidRPr="008322B5">
              <w:t>créé des liens étroits entre</w:t>
            </w:r>
            <w:r w:rsidRPr="008322B5">
              <w:t xml:space="preserve"> les savoir-faire du meunier </w:t>
            </w:r>
            <w:r w:rsidR="005818E4" w:rsidRPr="008322B5">
              <w:t>et</w:t>
            </w:r>
            <w:r w:rsidRPr="008322B5">
              <w:t xml:space="preserve"> l</w:t>
            </w:r>
            <w:r w:rsidR="009B42BE">
              <w:t>’</w:t>
            </w:r>
            <w:r w:rsidRPr="008322B5">
              <w:t>histoire des Pays-Bas. De plus, les moulins ont toujours été un moyen de production durable et ont transformé le paysage néerlandais en paysage énergétique. Les moulins et les savoir-faire du meunier ont</w:t>
            </w:r>
            <w:r w:rsidR="00F37395" w:rsidRPr="008322B5">
              <w:t xml:space="preserve"> également une valeur quasi </w:t>
            </w:r>
            <w:r w:rsidRPr="008322B5">
              <w:t>emblématique qui contribue au sentiment d</w:t>
            </w:r>
            <w:r w:rsidR="009B42BE">
              <w:t>’</w:t>
            </w:r>
            <w:r w:rsidRPr="008322B5">
              <w:t>identité et de continuité, non seulement pour les meuniers eux-mêmes mais pour la société néerlandaise dans son ensemble. Les moulins et les meuniers ont été représentés par les grands peintres néerlandais du XVIIe siècle et après, qui ont rendu célèbres les moulins à vent des</w:t>
            </w:r>
            <w:r w:rsidR="008241BE" w:rsidRPr="008322B5">
              <w:t xml:space="preserve"> Pays-Bas dans le monde entier.</w:t>
            </w:r>
          </w:p>
          <w:p w:rsidR="00846A7D" w:rsidRPr="008322B5" w:rsidRDefault="00846A7D" w:rsidP="009B42BE">
            <w:pPr>
              <w:pStyle w:val="formtext"/>
              <w:spacing w:before="120" w:after="0" w:line="240" w:lineRule="auto"/>
              <w:ind w:right="136"/>
              <w:jc w:val="both"/>
              <w:rPr>
                <w:rFonts w:cs="Arial"/>
              </w:rPr>
            </w:pPr>
            <w:r w:rsidRPr="008322B5">
              <w:t xml:space="preserve">Les nombreux proverbes et expressions néerlandais qui évoquent les savoir-faire du meunier montrent à quel point </w:t>
            </w:r>
            <w:r w:rsidR="00B57E10" w:rsidRPr="008322B5">
              <w:t>ils sont</w:t>
            </w:r>
            <w:r w:rsidRPr="008322B5">
              <w:t xml:space="preserve"> liés à la culture du pays, par exemple « dat is koren op zijn molen » (= apporter de l</w:t>
            </w:r>
            <w:r w:rsidR="009B42BE">
              <w:t>’</w:t>
            </w:r>
            <w:r w:rsidRPr="008322B5">
              <w:t>eau à son moulin), « de molen naar de wind keren » (= s</w:t>
            </w:r>
            <w:r w:rsidR="009B42BE">
              <w:t>’</w:t>
            </w:r>
            <w:r w:rsidRPr="008322B5">
              <w:t>adapter à la situation) ou encore « het kaf van het koren scheiden</w:t>
            </w:r>
            <w:r w:rsidR="00B57E10" w:rsidRPr="008322B5">
              <w:t> »</w:t>
            </w:r>
            <w:r w:rsidRPr="008322B5">
              <w:t xml:space="preserve"> (= séparer le bon grain de l</w:t>
            </w:r>
            <w:r w:rsidR="009B42BE">
              <w:t>’</w:t>
            </w:r>
            <w:r w:rsidRPr="008322B5">
              <w:t>ivraie). Certains mots, tels que « zwichten » (faire quelque chose qui n</w:t>
            </w:r>
            <w:r w:rsidR="009B42BE">
              <w:t>’</w:t>
            </w:r>
            <w:r w:rsidRPr="008322B5">
              <w:t>était pas prévu), sont aussi dérivés de ces activités. Les voiles du moulin à vent peuvent être utilisées pour annoncer des naissances, des mariages ou des décès. Les moulins à vent des Pays-Bas ont été mis en position de deuil à la mort du prince Friso en 2013 et après le crash du MH17 en 2014, une coutume qui a suscité un grand intérêt de la presse nationale et internationale.</w:t>
            </w:r>
          </w:p>
        </w:tc>
      </w:tr>
      <w:tr w:rsidR="00846A7D" w:rsidRPr="008322B5" w:rsidTr="007B4F22">
        <w:tc>
          <w:tcPr>
            <w:tcW w:w="963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8322B5">
              <w:rPr>
                <w:rFonts w:ascii="Arial" w:hAnsi="Arial"/>
                <w:i/>
                <w:sz w:val="18"/>
              </w:rPr>
              <w:t>Existe-t-il un aspect de l</w:t>
            </w:r>
            <w:r w:rsidR="009B42BE">
              <w:rPr>
                <w:rFonts w:ascii="Arial" w:hAnsi="Arial"/>
                <w:i/>
                <w:sz w:val="18"/>
              </w:rPr>
              <w:t>’</w:t>
            </w:r>
            <w:r w:rsidRPr="008322B5">
              <w:rPr>
                <w:rFonts w:ascii="Arial" w:hAnsi="Arial"/>
                <w:i/>
                <w:sz w:val="18"/>
              </w:rPr>
              <w:t>élément qui ne soit pas conforme aux instruments internationaux existants relatifs aux droits de l</w:t>
            </w:r>
            <w:r w:rsidR="009B42BE">
              <w:rPr>
                <w:rFonts w:ascii="Arial" w:hAnsi="Arial"/>
                <w:i/>
                <w:sz w:val="18"/>
              </w:rPr>
              <w:t>’</w:t>
            </w:r>
            <w:r w:rsidRPr="008322B5">
              <w:rPr>
                <w:rFonts w:ascii="Arial" w:hAnsi="Arial"/>
                <w:i/>
                <w:sz w:val="18"/>
              </w:rPr>
              <w:t>homme ou à l</w:t>
            </w:r>
            <w:r w:rsidR="009B42BE">
              <w:rPr>
                <w:rFonts w:ascii="Arial" w:hAnsi="Arial"/>
                <w:i/>
                <w:sz w:val="18"/>
              </w:rPr>
              <w:t>’</w:t>
            </w:r>
            <w:r w:rsidRPr="008322B5">
              <w:rPr>
                <w:rFonts w:ascii="Arial" w:hAnsi="Arial"/>
                <w:i/>
                <w:sz w:val="18"/>
              </w:rPr>
              <w:t>exigence du respect mutuel entre communautés, groupes et individus, ou qui ne soit pas compatible avec un développement durable ?</w:t>
            </w:r>
          </w:p>
          <w:p w:rsidR="00846A7D" w:rsidRPr="008322B5" w:rsidRDefault="00846A7D" w:rsidP="007B4F22">
            <w:pPr>
              <w:pStyle w:val="Word"/>
              <w:spacing w:after="0" w:line="240" w:lineRule="auto"/>
              <w:ind w:right="136"/>
              <w:rPr>
                <w:i w:val="0"/>
              </w:rPr>
            </w:pPr>
            <w:r w:rsidRPr="008322B5">
              <w:rPr>
                <w:rStyle w:val="Emphasis"/>
                <w:i/>
                <w:color w:val="000000"/>
                <w:sz w:val="18"/>
              </w:rPr>
              <w:t>Minimum 170 mots et maximum 280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46A7D">
            <w:pPr>
              <w:pStyle w:val="formtext"/>
              <w:spacing w:before="0" w:after="120"/>
              <w:jc w:val="both"/>
              <w:rPr>
                <w:noProof/>
              </w:rPr>
            </w:pPr>
            <w:r w:rsidRPr="008322B5">
              <w:t>Il n</w:t>
            </w:r>
            <w:r w:rsidR="009B42BE">
              <w:t>’</w:t>
            </w:r>
            <w:r w:rsidRPr="008322B5">
              <w:t>existe aucun aspect des savoir-faire du meunier qui ne soit pas conforme aux instruments internationaux relatifs aux droits de l</w:t>
            </w:r>
            <w:r w:rsidR="009B42BE">
              <w:t>’</w:t>
            </w:r>
            <w:r w:rsidRPr="008322B5">
              <w:t>homme. Cette tradition est également tout à fait conforme à l</w:t>
            </w:r>
            <w:r w:rsidR="009B42BE">
              <w:t>’</w:t>
            </w:r>
            <w:r w:rsidRPr="008322B5">
              <w:t>exigence de respect mutuel entre les communautés. Cet élément est étroitement associé au développement durable. C</w:t>
            </w:r>
            <w:r w:rsidR="009B42BE">
              <w:t>’</w:t>
            </w:r>
            <w:r w:rsidRPr="008322B5">
              <w:t>est une méthode durable d</w:t>
            </w:r>
            <w:r w:rsidR="009B42BE">
              <w:t>’</w:t>
            </w:r>
            <w:r w:rsidRPr="008322B5">
              <w:t>utilisation de sources naturelles d</w:t>
            </w:r>
            <w:r w:rsidR="009B42BE">
              <w:t>’</w:t>
            </w:r>
            <w:r w:rsidRPr="008322B5">
              <w:t>énergie (l</w:t>
            </w:r>
            <w:r w:rsidR="009B42BE">
              <w:t>’</w:t>
            </w:r>
            <w:r w:rsidRPr="008322B5">
              <w:t>eau et le vent) qui ne concourt donc pas à l</w:t>
            </w:r>
            <w:r w:rsidR="009B42BE">
              <w:t>’</w:t>
            </w:r>
            <w:r w:rsidRPr="008322B5">
              <w:t>épuisement des combustibles fossiles ni à la dégradation de l</w:t>
            </w:r>
            <w:r w:rsidR="009B42BE">
              <w:t>’</w:t>
            </w:r>
            <w:r w:rsidRPr="008322B5">
              <w:t>environnement ; au contraire, ces activités traitent la Terre avec re</w:t>
            </w:r>
            <w:r w:rsidR="00B57E10" w:rsidRPr="008322B5">
              <w:t>spect, dans un esprit durable.</w:t>
            </w:r>
          </w:p>
          <w:p w:rsidR="00846A7D" w:rsidRPr="008322B5" w:rsidRDefault="00846A7D" w:rsidP="009B42BE">
            <w:pPr>
              <w:pStyle w:val="formtext"/>
              <w:keepNext/>
              <w:spacing w:before="120" w:after="0" w:line="240" w:lineRule="auto"/>
              <w:ind w:right="136"/>
              <w:jc w:val="both"/>
            </w:pPr>
            <w:r w:rsidRPr="008322B5">
              <w:t>Les meuniers eux-mêmes contribuent à une production responsable qui respecte également les normes de sécurité les plus strictes. La sécurité est devenue un point essentiel de l</w:t>
            </w:r>
            <w:r w:rsidR="009B42BE">
              <w:t>’</w:t>
            </w:r>
            <w:r w:rsidRPr="008322B5">
              <w:t>exploitation des moulins. Les guildes emploient des coachs en sécurité et organisent régulièrement des ateliers à leur intention. Ces coachs forment les meuniers à la sécurité. La Guilde des meuniers traditionnels a rédigé un code d</w:t>
            </w:r>
            <w:r w:rsidR="009B42BE">
              <w:t>’</w:t>
            </w:r>
            <w:r w:rsidRPr="008322B5">
              <w:t>hygiène et de sécurité qui garantit que les meuniers exercent leur profession de façon responsable.</w:t>
            </w:r>
          </w:p>
        </w:tc>
      </w:tr>
      <w:tr w:rsidR="00846A7D" w:rsidRPr="008322B5" w:rsidTr="007B4F22">
        <w:tc>
          <w:tcPr>
            <w:tcW w:w="9639" w:type="dxa"/>
            <w:tcBorders>
              <w:top w:val="single" w:sz="4" w:space="0" w:color="auto"/>
              <w:left w:val="nil"/>
              <w:bottom w:val="nil"/>
              <w:right w:val="nil"/>
            </w:tcBorders>
            <w:shd w:val="clear" w:color="auto" w:fill="D9D9D9"/>
          </w:tcPr>
          <w:p w:rsidR="00846A7D" w:rsidRPr="008322B5" w:rsidRDefault="00846A7D" w:rsidP="009B42BE">
            <w:pPr>
              <w:pStyle w:val="Grille01N"/>
              <w:spacing w:line="240" w:lineRule="auto"/>
              <w:ind w:left="709" w:right="136" w:hanging="567"/>
              <w:jc w:val="left"/>
              <w:rPr>
                <w:rFonts w:eastAsia="SimSun" w:cs="Arial"/>
                <w:smallCaps w:val="0"/>
                <w:sz w:val="24"/>
                <w:shd w:val="pct15" w:color="auto" w:fill="FFFFFF"/>
              </w:rPr>
            </w:pPr>
            <w:r w:rsidRPr="008322B5">
              <w:rPr>
                <w:smallCaps w:val="0"/>
                <w:sz w:val="24"/>
              </w:rPr>
              <w:lastRenderedPageBreak/>
              <w:t>2.</w:t>
            </w:r>
            <w:r w:rsidRPr="008322B5">
              <w:tab/>
            </w:r>
            <w:r w:rsidRPr="008322B5">
              <w:rPr>
                <w:smallCaps w:val="0"/>
                <w:sz w:val="24"/>
              </w:rPr>
              <w:t>Contribution à la visibilité et à la prise de conscience,</w:t>
            </w:r>
            <w:r w:rsidRPr="008322B5">
              <w:rPr>
                <w:rFonts w:eastAsia="SimSun" w:cs="Arial"/>
                <w:bCs/>
                <w:smallCaps w:val="0"/>
                <w:sz w:val="24"/>
              </w:rPr>
              <w:br/>
            </w:r>
            <w:r w:rsidRPr="008322B5">
              <w:rPr>
                <w:smallCaps w:val="0"/>
                <w:sz w:val="24"/>
              </w:rPr>
              <w:t>et encouragement au dialogue</w:t>
            </w:r>
          </w:p>
        </w:tc>
      </w:tr>
      <w:tr w:rsidR="00846A7D" w:rsidRPr="008322B5" w:rsidTr="007B4F22">
        <w:tc>
          <w:tcPr>
            <w:tcW w:w="9639" w:type="dxa"/>
            <w:tcBorders>
              <w:top w:val="nil"/>
              <w:left w:val="nil"/>
              <w:bottom w:val="nil"/>
              <w:right w:val="nil"/>
            </w:tcBorders>
            <w:shd w:val="clear" w:color="auto" w:fill="auto"/>
          </w:tcPr>
          <w:p w:rsidR="00846A7D" w:rsidRPr="008322B5" w:rsidRDefault="00846A7D" w:rsidP="007B4F22">
            <w:pPr>
              <w:pStyle w:val="Info03"/>
              <w:spacing w:before="120" w:line="240" w:lineRule="auto"/>
              <w:ind w:right="135"/>
              <w:rPr>
                <w:sz w:val="18"/>
                <w:szCs w:val="18"/>
              </w:rPr>
            </w:pPr>
            <w:r w:rsidRPr="008322B5">
              <w:rPr>
                <w:sz w:val="18"/>
              </w:rPr>
              <w:t xml:space="preserve">Pour le </w:t>
            </w:r>
            <w:r w:rsidRPr="008322B5">
              <w:rPr>
                <w:b/>
                <w:sz w:val="18"/>
              </w:rPr>
              <w:t>critère R.2</w:t>
            </w:r>
            <w:r w:rsidRPr="008322B5">
              <w:rPr>
                <w:sz w:val="18"/>
              </w:rPr>
              <w:t>, les États</w:t>
            </w:r>
            <w:r w:rsidRPr="008322B5">
              <w:rPr>
                <w:b/>
                <w:sz w:val="18"/>
              </w:rPr>
              <w:t>doivent démontrer que « l</w:t>
            </w:r>
            <w:r w:rsidR="009B42BE">
              <w:rPr>
                <w:b/>
                <w:sz w:val="18"/>
              </w:rPr>
              <w:t>’</w:t>
            </w:r>
            <w:r w:rsidRPr="008322B5">
              <w:rPr>
                <w:b/>
                <w:sz w:val="18"/>
              </w:rPr>
              <w:t>inscription de l</w:t>
            </w:r>
            <w:r w:rsidR="009B42BE">
              <w:rPr>
                <w:b/>
                <w:sz w:val="18"/>
              </w:rPr>
              <w:t>’</w:t>
            </w:r>
            <w:r w:rsidRPr="008322B5">
              <w:rPr>
                <w:b/>
                <w:sz w:val="18"/>
              </w:rPr>
              <w:t>élément contribuera à assurer la visibilité, la prise de conscience de l</w:t>
            </w:r>
            <w:r w:rsidR="009B42BE">
              <w:rPr>
                <w:b/>
                <w:sz w:val="18"/>
              </w:rPr>
              <w:t>’</w:t>
            </w:r>
            <w:r w:rsidRPr="008322B5">
              <w:rPr>
                <w:b/>
                <w:sz w:val="18"/>
              </w:rPr>
              <w:t>importance du patrimoine culturel immatériel et à favoriser le dialogue, reflétant ainsi la diversité culturelle du monde entier et témoignant de la créativité humaine »</w:t>
            </w:r>
            <w:r w:rsidRPr="008322B5">
              <w:rPr>
                <w:sz w:val="18"/>
              </w:rPr>
              <w:t>. Ce critère ne sera considéré comme satisfait que si la candidature démontre de quelle manière l</w:t>
            </w:r>
            <w:r w:rsidR="009B42BE">
              <w:rPr>
                <w:sz w:val="18"/>
              </w:rPr>
              <w:t>’</w:t>
            </w:r>
            <w:r w:rsidRPr="008322B5">
              <w:rPr>
                <w:sz w:val="18"/>
              </w:rPr>
              <w:t>inscription éventuelle contribuera à assurer la visibilité et la prise de conscience de l</w:t>
            </w:r>
            <w:r w:rsidR="009B42BE">
              <w:rPr>
                <w:sz w:val="18"/>
              </w:rPr>
              <w:t>’</w:t>
            </w:r>
            <w:r w:rsidRPr="008322B5">
              <w:rPr>
                <w:sz w:val="18"/>
              </w:rPr>
              <w:t>importance du patrimoine culturel immatériel de façon générale, et pas uniquement de l</w:t>
            </w:r>
            <w:r w:rsidR="009B42BE">
              <w:rPr>
                <w:sz w:val="18"/>
              </w:rPr>
              <w:t>’</w:t>
            </w:r>
            <w:r w:rsidRPr="008322B5">
              <w:rPr>
                <w:sz w:val="18"/>
              </w:rPr>
              <w:t>élément inscrit en tant que tel, et à encourager le dialogue dans le respect de la diversité culturelle.</w:t>
            </w:r>
          </w:p>
        </w:tc>
      </w:tr>
      <w:tr w:rsidR="00846A7D" w:rsidRPr="008322B5" w:rsidTr="007B4F22">
        <w:tc>
          <w:tcPr>
            <w:tcW w:w="9639" w:type="dxa"/>
            <w:tcBorders>
              <w:top w:val="nil"/>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keepNext/>
              <w:widowControl w:val="0"/>
              <w:numPr>
                <w:ilvl w:val="0"/>
                <w:numId w:val="23"/>
              </w:numPr>
              <w:ind w:left="595" w:right="136" w:hanging="567"/>
              <w:jc w:val="both"/>
              <w:rPr>
                <w:rFonts w:cs="Arial"/>
                <w:i/>
                <w:sz w:val="18"/>
                <w:szCs w:val="18"/>
              </w:rPr>
            </w:pPr>
            <w:r w:rsidRPr="008322B5">
              <w:rPr>
                <w:i/>
                <w:color w:val="000000"/>
                <w:sz w:val="18"/>
              </w:rPr>
              <w:t>Comment l</w:t>
            </w:r>
            <w:r w:rsidR="009B42BE">
              <w:rPr>
                <w:i/>
                <w:color w:val="000000"/>
                <w:sz w:val="18"/>
              </w:rPr>
              <w:t>’</w:t>
            </w:r>
            <w:r w:rsidRPr="008322B5">
              <w:rPr>
                <w:i/>
                <w:color w:val="000000"/>
                <w:sz w:val="18"/>
              </w:rPr>
              <w:t>inscription de l</w:t>
            </w:r>
            <w:r w:rsidR="009B42BE">
              <w:rPr>
                <w:i/>
                <w:color w:val="000000"/>
                <w:sz w:val="18"/>
              </w:rPr>
              <w:t>’</w:t>
            </w:r>
            <w:r w:rsidRPr="008322B5">
              <w:rPr>
                <w:i/>
                <w:color w:val="000000"/>
                <w:sz w:val="18"/>
              </w:rPr>
              <w:t>élément sur la Liste représentative peut-elle contribuer à assurer la visibilité du patrimoine culturel immatériel en général et à sensibiliser aux niveaux local, national et international à son importance </w:t>
            </w:r>
            <w:r w:rsidRPr="008322B5">
              <w:rPr>
                <w:i/>
                <w:sz w:val="18"/>
              </w:rPr>
              <w:t>?</w:t>
            </w:r>
          </w:p>
          <w:p w:rsidR="00846A7D" w:rsidRPr="008322B5" w:rsidRDefault="00846A7D" w:rsidP="007B4F22">
            <w:pPr>
              <w:pStyle w:val="Word"/>
              <w:spacing w:after="0" w:line="240" w:lineRule="auto"/>
              <w:ind w:right="136"/>
              <w:rPr>
                <w:rFonts w:eastAsia="SimSun"/>
                <w:sz w:val="18"/>
                <w:szCs w:val="18"/>
              </w:rPr>
            </w:pPr>
            <w:r w:rsidRPr="008322B5">
              <w:rPr>
                <w:rStyle w:val="Emphasis"/>
                <w:i/>
                <w:color w:val="000000"/>
                <w:sz w:val="18"/>
              </w:rPr>
              <w:t>Minimum 120 mots et maximum 170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120"/>
              <w:jc w:val="both"/>
              <w:rPr>
                <w:noProof/>
              </w:rPr>
            </w:pPr>
            <w:r w:rsidRPr="008322B5">
              <w:t>L</w:t>
            </w:r>
            <w:r w:rsidR="009B42BE">
              <w:t>’</w:t>
            </w:r>
            <w:r w:rsidRPr="008322B5">
              <w:t>inscription des savoir-faire du meunier montre l</w:t>
            </w:r>
            <w:r w:rsidR="009B42BE">
              <w:t>’</w:t>
            </w:r>
            <w:r w:rsidRPr="008322B5">
              <w:t>importance de l</w:t>
            </w:r>
            <w:r w:rsidR="009B42BE">
              <w:t>’</w:t>
            </w:r>
            <w:r w:rsidRPr="008322B5">
              <w:t>interaction de la population avec son environnement naturel ainsi que l</w:t>
            </w:r>
            <w:r w:rsidR="009B42BE">
              <w:t>’</w:t>
            </w:r>
            <w:r w:rsidRPr="008322B5">
              <w:t>importance du patrimoine culturel immatériel pour la production durable. En ce qui concerne les artisans en général, l</w:t>
            </w:r>
            <w:r w:rsidR="009B42BE">
              <w:t>’</w:t>
            </w:r>
            <w:r w:rsidRPr="008322B5">
              <w:t>inscription des savoir-faire du meunier pourra les amener à réfléchir sur le positionnement de leur</w:t>
            </w:r>
            <w:r w:rsidR="00B57E10" w:rsidRPr="008322B5">
              <w:t>s</w:t>
            </w:r>
            <w:r w:rsidRPr="008322B5">
              <w:t xml:space="preserve"> produits durables sur un marché de plus en plus dominé par la production industrielle.</w:t>
            </w:r>
          </w:p>
          <w:p w:rsidR="00846A7D" w:rsidRPr="008322B5" w:rsidRDefault="00846A7D" w:rsidP="008B2658">
            <w:pPr>
              <w:pStyle w:val="formtext"/>
              <w:spacing w:before="120" w:after="0"/>
              <w:jc w:val="both"/>
            </w:pPr>
            <w:r w:rsidRPr="008322B5">
              <w:t>Cette inscription montrera également que le</w:t>
            </w:r>
            <w:r w:rsidR="00B57E10" w:rsidRPr="008322B5">
              <w:t>s versants</w:t>
            </w:r>
            <w:r w:rsidR="002B0080" w:rsidRPr="008322B5">
              <w:t xml:space="preserve"> </w:t>
            </w:r>
            <w:r w:rsidR="00B57E10" w:rsidRPr="008322B5">
              <w:t xml:space="preserve">matériel et immatériel du </w:t>
            </w:r>
            <w:r w:rsidRPr="008322B5">
              <w:t xml:space="preserve">patrimoine culturel sont intimement liés et que le patrimoine culturel matériel ne peut pas être sauvegardé sans tenir compte de son aspect immatériel, dans le cas présent </w:t>
            </w:r>
            <w:r w:rsidR="00B57E10" w:rsidRPr="008322B5">
              <w:t>les savoir-faire</w:t>
            </w:r>
            <w:r w:rsidRPr="008322B5">
              <w:t xml:space="preserve"> qui permet</w:t>
            </w:r>
            <w:r w:rsidR="00B57E10" w:rsidRPr="008322B5">
              <w:t>tent</w:t>
            </w:r>
            <w:r w:rsidRPr="008322B5">
              <w:t xml:space="preserve"> de continuer à utiliser les moulins historiques. Cette inscription sur la Liste représentative attirera davantage l</w:t>
            </w:r>
            <w:r w:rsidR="009B42BE">
              <w:t>’</w:t>
            </w:r>
            <w:r w:rsidRPr="008322B5">
              <w:t>attention sur les aspects immatériels et soulignera l</w:t>
            </w:r>
            <w:r w:rsidR="009B42BE">
              <w:t>’</w:t>
            </w:r>
            <w:r w:rsidRPr="008322B5">
              <w:t>importance du patrimoine culturel immatériel dans les politiques municipales et provinciales ainsi que la nécessité d</w:t>
            </w:r>
            <w:r w:rsidR="009B42BE">
              <w:t>’</w:t>
            </w:r>
            <w:r w:rsidRPr="008322B5">
              <w:t>une collaboration étroite avec les détenteurs du patrimoine culturel immatériel. Le gouvernement national souhaite promouvoir ces aspects en soumettant cette candidature. De cette manière, les savoir-faire du meunier pourront également servir d</w:t>
            </w:r>
            <w:r w:rsidR="009B42BE">
              <w:t>’</w:t>
            </w:r>
            <w:r w:rsidRPr="008322B5">
              <w:t>exemple au niveau international.</w:t>
            </w:r>
          </w:p>
        </w:tc>
      </w:tr>
      <w:tr w:rsidR="00846A7D" w:rsidRPr="008322B5" w:rsidTr="007B4F22">
        <w:tc>
          <w:tcPr>
            <w:tcW w:w="963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keepNext/>
              <w:widowControl w:val="0"/>
              <w:numPr>
                <w:ilvl w:val="0"/>
                <w:numId w:val="23"/>
              </w:numPr>
              <w:spacing w:before="120" w:after="120"/>
              <w:ind w:left="595" w:right="136" w:hanging="567"/>
              <w:jc w:val="both"/>
              <w:rPr>
                <w:rFonts w:cs="Arial"/>
                <w:i/>
                <w:sz w:val="18"/>
                <w:szCs w:val="18"/>
              </w:rPr>
            </w:pPr>
            <w:r w:rsidRPr="008322B5">
              <w:rPr>
                <w:i/>
                <w:sz w:val="18"/>
              </w:rPr>
              <w:t>Comment l</w:t>
            </w:r>
            <w:r w:rsidR="009B42BE">
              <w:rPr>
                <w:i/>
                <w:sz w:val="18"/>
              </w:rPr>
              <w:t>’</w:t>
            </w:r>
            <w:r w:rsidRPr="008322B5">
              <w:rPr>
                <w:i/>
                <w:sz w:val="18"/>
              </w:rPr>
              <w:t>inscription peut-elle encourager le dialogue entre les communautés, groupes et individus ?</w:t>
            </w:r>
          </w:p>
          <w:p w:rsidR="00846A7D" w:rsidRPr="008322B5" w:rsidRDefault="00846A7D" w:rsidP="007B4F22">
            <w:pPr>
              <w:pStyle w:val="Word"/>
              <w:spacing w:after="0" w:line="240" w:lineRule="auto"/>
              <w:ind w:right="136"/>
              <w:rPr>
                <w:i w:val="0"/>
              </w:rPr>
            </w:pPr>
            <w:r w:rsidRPr="008322B5">
              <w:rPr>
                <w:rStyle w:val="Emphasis"/>
                <w:i/>
                <w:color w:val="000000"/>
                <w:sz w:val="18"/>
              </w:rPr>
              <w:t>Minimum 120 mots et maximum 170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46A7D">
            <w:pPr>
              <w:pStyle w:val="formtext"/>
              <w:spacing w:before="0" w:after="120"/>
              <w:jc w:val="both"/>
              <w:rPr>
                <w:noProof/>
              </w:rPr>
            </w:pPr>
            <w:r w:rsidRPr="008322B5">
              <w:t>L</w:t>
            </w:r>
            <w:r w:rsidR="009B42BE">
              <w:t>’</w:t>
            </w:r>
            <w:r w:rsidRPr="008322B5">
              <w:t>inscription des savoir-faire du meunier fera prendre conscience de l</w:t>
            </w:r>
            <w:r w:rsidR="009B42BE">
              <w:t>’</w:t>
            </w:r>
            <w:r w:rsidRPr="008322B5">
              <w:t>importance de l</w:t>
            </w:r>
            <w:r w:rsidR="009B42BE">
              <w:t>’</w:t>
            </w:r>
            <w:r w:rsidRPr="008322B5">
              <w:t xml:space="preserve">engagement </w:t>
            </w:r>
            <w:r w:rsidR="00B57E10" w:rsidRPr="008322B5">
              <w:t>désintéressé</w:t>
            </w:r>
            <w:r w:rsidRPr="008322B5">
              <w:t xml:space="preserve"> dans la sauvegarde du patrimoine culturel immatériel et favorisera le dialogue sur ce type d</w:t>
            </w:r>
            <w:r w:rsidR="009B42BE">
              <w:t>’</w:t>
            </w:r>
            <w:r w:rsidRPr="008322B5">
              <w:t>engagement au niveau local, régional, national et international. Sans l</w:t>
            </w:r>
            <w:r w:rsidR="009B42BE">
              <w:t>’</w:t>
            </w:r>
            <w:r w:rsidRPr="008322B5">
              <w:t xml:space="preserve">engagement des associations de meuniers volontaires, il aurait été impossible de sauvegarder cet élément du patrimoine immatériel aux Pays-Bas. Étant donné que les femmes sont de plus en plus nombreuses à exercer ces savoir-faire, </w:t>
            </w:r>
            <w:r w:rsidR="00B57E10" w:rsidRPr="008322B5">
              <w:t>l</w:t>
            </w:r>
            <w:r w:rsidR="009B42BE">
              <w:t>’</w:t>
            </w:r>
            <w:r w:rsidRPr="008322B5">
              <w:t>inscription encouragera le dialogue sur le rôle des femmes dans la sauvegarde du patrimoine immatériel, y compris dans d</w:t>
            </w:r>
            <w:r w:rsidR="009B42BE">
              <w:t>’</w:t>
            </w:r>
            <w:r w:rsidRPr="008322B5">
              <w:t>autres activités autrefois réservées aux hommes.</w:t>
            </w:r>
          </w:p>
          <w:p w:rsidR="00846A7D" w:rsidRPr="008322B5" w:rsidRDefault="00846A7D" w:rsidP="009B42BE">
            <w:pPr>
              <w:pStyle w:val="formtext"/>
              <w:spacing w:before="120" w:after="0" w:line="240" w:lineRule="auto"/>
              <w:ind w:right="136"/>
              <w:jc w:val="both"/>
            </w:pPr>
            <w:r w:rsidRPr="008322B5">
              <w:t>Les quarante meuniers qui vivent de ce métier prouvent qu</w:t>
            </w:r>
            <w:r w:rsidR="009B42BE">
              <w:t>’</w:t>
            </w:r>
            <w:r w:rsidRPr="008322B5">
              <w:t>il est encore possible d</w:t>
            </w:r>
            <w:r w:rsidR="009B42BE">
              <w:t>’</w:t>
            </w:r>
            <w:r w:rsidRPr="008322B5">
              <w:t xml:space="preserve">exercer des activités traditionnelles à titre professionnel. Le marché des produits artisanaux et de la production durable en général est en pleine expansion au niveau mondial. Les savoir-faire du meunier offrent un bon exemple de la manière dont les artisans peuvent </w:t>
            </w:r>
            <w:r w:rsidR="00B91E04" w:rsidRPr="008322B5">
              <w:t>tirer parti de</w:t>
            </w:r>
            <w:r w:rsidRPr="008322B5">
              <w:t xml:space="preserve"> cette tendance.</w:t>
            </w:r>
          </w:p>
        </w:tc>
      </w:tr>
      <w:tr w:rsidR="00846A7D" w:rsidRPr="008322B5" w:rsidTr="007B4F22">
        <w:tc>
          <w:tcPr>
            <w:tcW w:w="963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keepNext/>
              <w:widowControl w:val="0"/>
              <w:numPr>
                <w:ilvl w:val="0"/>
                <w:numId w:val="23"/>
              </w:numPr>
              <w:spacing w:before="120" w:after="120"/>
              <w:ind w:left="595" w:right="136" w:hanging="567"/>
              <w:jc w:val="both"/>
              <w:rPr>
                <w:rFonts w:cs="Arial"/>
                <w:i/>
                <w:sz w:val="18"/>
                <w:szCs w:val="18"/>
              </w:rPr>
            </w:pPr>
            <w:r w:rsidRPr="008322B5">
              <w:rPr>
                <w:i/>
                <w:sz w:val="18"/>
              </w:rPr>
              <w:t>Comment l</w:t>
            </w:r>
            <w:r w:rsidR="009B42BE">
              <w:rPr>
                <w:i/>
                <w:sz w:val="18"/>
              </w:rPr>
              <w:t>’</w:t>
            </w:r>
            <w:r w:rsidRPr="008322B5">
              <w:rPr>
                <w:i/>
                <w:sz w:val="18"/>
              </w:rPr>
              <w:t>inscription peut-elle favoriser le respect de la diversité culturelle et la créativité humaine ?</w:t>
            </w:r>
          </w:p>
          <w:p w:rsidR="00846A7D" w:rsidRPr="008322B5" w:rsidRDefault="00846A7D" w:rsidP="007B4F22">
            <w:pPr>
              <w:pStyle w:val="Word"/>
              <w:spacing w:after="0" w:line="240" w:lineRule="auto"/>
              <w:ind w:right="136"/>
              <w:rPr>
                <w:i w:val="0"/>
                <w:sz w:val="18"/>
                <w:szCs w:val="18"/>
              </w:rPr>
            </w:pPr>
            <w:r w:rsidRPr="008322B5">
              <w:rPr>
                <w:rStyle w:val="Emphasis"/>
                <w:i/>
                <w:color w:val="000000"/>
                <w:sz w:val="18"/>
              </w:rPr>
              <w:t>Minimum 120 mots et maximum 170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46A7D">
            <w:pPr>
              <w:pStyle w:val="formtext"/>
              <w:spacing w:before="0" w:after="120"/>
              <w:jc w:val="both"/>
              <w:rPr>
                <w:noProof/>
              </w:rPr>
            </w:pPr>
            <w:r w:rsidRPr="008322B5">
              <w:t>À l</w:t>
            </w:r>
            <w:r w:rsidR="009B42BE">
              <w:t>’</w:t>
            </w:r>
            <w:r w:rsidRPr="008322B5">
              <w:t>heure actuelle, la Liste représentative ne comprend aucun autre savoir-faire qui soit associé si étroitement à un bâtiment faisant aussi office d</w:t>
            </w:r>
            <w:r w:rsidR="009B42BE">
              <w:t>’</w:t>
            </w:r>
            <w:r w:rsidRPr="008322B5">
              <w:t>outil de travail. L</w:t>
            </w:r>
            <w:r w:rsidR="009B42BE">
              <w:t>’</w:t>
            </w:r>
            <w:r w:rsidRPr="008322B5">
              <w:t>inscription sensibiliserait donc à la diversité culturelle du patrimoine culturel immatériel en général, et à la créativité humaine qu</w:t>
            </w:r>
            <w:r w:rsidR="009B42BE">
              <w:t>’</w:t>
            </w:r>
            <w:r w:rsidRPr="008322B5">
              <w:t xml:space="preserve">il reflète. </w:t>
            </w:r>
          </w:p>
          <w:p w:rsidR="00846A7D" w:rsidRPr="008322B5" w:rsidRDefault="00846A7D" w:rsidP="00846A7D">
            <w:pPr>
              <w:pStyle w:val="formtext"/>
              <w:spacing w:before="120" w:after="120"/>
              <w:jc w:val="both"/>
              <w:rPr>
                <w:noProof/>
              </w:rPr>
            </w:pPr>
            <w:r w:rsidRPr="008322B5">
              <w:t>Les savoir-faire du meunier illustrent la manière dont le patrimoine culturel immatériel a été associé pendant des siècles à la production durable, pour laquelle on observe à nouveau une demande aujourd</w:t>
            </w:r>
            <w:r w:rsidR="009B42BE">
              <w:t>’</w:t>
            </w:r>
            <w:r w:rsidRPr="008322B5">
              <w:t>hui, à la faveur de la recherche mondiale de solutions créatives au problème de l</w:t>
            </w:r>
            <w:r w:rsidR="009B42BE">
              <w:t>’</w:t>
            </w:r>
            <w:r w:rsidRPr="008322B5">
              <w:t xml:space="preserve">énergie. Les Pays-Bas expérimentent actuellement la construction de turbines éoliennes </w:t>
            </w:r>
            <w:r w:rsidRPr="008322B5">
              <w:lastRenderedPageBreak/>
              <w:t>modernes, offshore et terrestres, les équivalents modernes des anciens moulins</w:t>
            </w:r>
            <w:r w:rsidR="00B91E04" w:rsidRPr="008322B5">
              <w:t xml:space="preserve"> à vent traditionnels.</w:t>
            </w:r>
          </w:p>
          <w:p w:rsidR="00846A7D" w:rsidRPr="008322B5" w:rsidRDefault="00846A7D" w:rsidP="009B42BE">
            <w:pPr>
              <w:pStyle w:val="formtext"/>
              <w:spacing w:before="120" w:after="0" w:line="240" w:lineRule="auto"/>
              <w:ind w:right="136"/>
              <w:jc w:val="both"/>
            </w:pPr>
            <w:r w:rsidRPr="008322B5">
              <w:t>Enfin, les moulins permettent également de répondre de façon créative à d</w:t>
            </w:r>
            <w:r w:rsidR="009B42BE">
              <w:t>’</w:t>
            </w:r>
            <w:r w:rsidRPr="008322B5">
              <w:t>autres problématiques modernes. Avec la hausse des précipitations due au changement climatique, les moulins traditionnels viennent aujourd</w:t>
            </w:r>
            <w:r w:rsidR="009B42BE">
              <w:t>’</w:t>
            </w:r>
            <w:r w:rsidRPr="008322B5">
              <w:t>hui en renfort des pompes électriques en période de précipitations exceptionnelles. Une forme traditionnelle de gestion des eaux est donc employée pour résoudre une problématique actuelle.</w:t>
            </w:r>
          </w:p>
        </w:tc>
      </w:tr>
      <w:tr w:rsidR="00846A7D" w:rsidRPr="008322B5" w:rsidTr="007B4F22">
        <w:tc>
          <w:tcPr>
            <w:tcW w:w="9639" w:type="dxa"/>
            <w:tcBorders>
              <w:top w:val="nil"/>
              <w:left w:val="nil"/>
              <w:bottom w:val="nil"/>
              <w:right w:val="nil"/>
            </w:tcBorders>
            <w:shd w:val="clear" w:color="auto" w:fill="D9D9D9"/>
          </w:tcPr>
          <w:p w:rsidR="00846A7D" w:rsidRPr="008322B5" w:rsidRDefault="00846A7D" w:rsidP="009B42BE">
            <w:pPr>
              <w:pStyle w:val="Grille01N"/>
              <w:spacing w:line="240" w:lineRule="auto"/>
              <w:ind w:left="709" w:right="136" w:hanging="567"/>
              <w:jc w:val="left"/>
              <w:rPr>
                <w:rFonts w:eastAsia="SimSun" w:cs="Arial"/>
                <w:smallCaps w:val="0"/>
                <w:sz w:val="24"/>
                <w:shd w:val="pct15" w:color="auto" w:fill="FFFFFF"/>
              </w:rPr>
            </w:pPr>
            <w:r w:rsidRPr="008322B5">
              <w:rPr>
                <w:sz w:val="24"/>
              </w:rPr>
              <w:lastRenderedPageBreak/>
              <w:t>3.</w:t>
            </w:r>
            <w:r w:rsidRPr="008322B5">
              <w:tab/>
            </w:r>
            <w:r w:rsidRPr="008322B5">
              <w:rPr>
                <w:smallCaps w:val="0"/>
                <w:sz w:val="24"/>
              </w:rPr>
              <w:t>Mesures de sauvegarde</w:t>
            </w:r>
          </w:p>
        </w:tc>
      </w:tr>
      <w:tr w:rsidR="00846A7D" w:rsidRPr="008322B5" w:rsidTr="007B4F22">
        <w:tc>
          <w:tcPr>
            <w:tcW w:w="9639" w:type="dxa"/>
            <w:tcBorders>
              <w:top w:val="nil"/>
              <w:left w:val="nil"/>
              <w:bottom w:val="nil"/>
              <w:right w:val="nil"/>
            </w:tcBorders>
            <w:shd w:val="clear" w:color="auto" w:fill="auto"/>
          </w:tcPr>
          <w:p w:rsidR="00846A7D" w:rsidRPr="008322B5" w:rsidRDefault="00846A7D" w:rsidP="007B4F22">
            <w:pPr>
              <w:pStyle w:val="Info03"/>
              <w:spacing w:before="120" w:line="240" w:lineRule="auto"/>
              <w:ind w:right="136"/>
              <w:rPr>
                <w:rFonts w:eastAsia="SimSun"/>
                <w:sz w:val="18"/>
                <w:szCs w:val="18"/>
              </w:rPr>
            </w:pPr>
            <w:r w:rsidRPr="008322B5">
              <w:rPr>
                <w:sz w:val="18"/>
              </w:rPr>
              <w:t xml:space="preserve">Pour le </w:t>
            </w:r>
            <w:r w:rsidRPr="008322B5">
              <w:rPr>
                <w:b/>
                <w:sz w:val="18"/>
              </w:rPr>
              <w:t>critère R.3</w:t>
            </w:r>
            <w:r w:rsidRPr="008322B5">
              <w:rPr>
                <w:sz w:val="18"/>
              </w:rPr>
              <w:t xml:space="preserve">, les États </w:t>
            </w:r>
            <w:r w:rsidRPr="008322B5">
              <w:rPr>
                <w:b/>
                <w:sz w:val="18"/>
              </w:rPr>
              <w:t>doivent démontrer que « des mesures de sauvegarde qui pourraient permettre de protéger et de promouvoir l</w:t>
            </w:r>
            <w:r w:rsidR="009B42BE">
              <w:rPr>
                <w:b/>
                <w:sz w:val="18"/>
              </w:rPr>
              <w:t>’</w:t>
            </w:r>
            <w:r w:rsidRPr="008322B5">
              <w:rPr>
                <w:b/>
                <w:sz w:val="18"/>
              </w:rPr>
              <w:t>élément sont élaborées »</w:t>
            </w:r>
            <w:r w:rsidRPr="008322B5">
              <w:rPr>
                <w:sz w:val="18"/>
              </w:rPr>
              <w:t>.</w:t>
            </w:r>
          </w:p>
        </w:tc>
      </w:tr>
      <w:tr w:rsidR="00846A7D" w:rsidRPr="008322B5" w:rsidTr="007B4F22">
        <w:tc>
          <w:tcPr>
            <w:tcW w:w="9639" w:type="dxa"/>
            <w:tcBorders>
              <w:top w:val="nil"/>
              <w:left w:val="nil"/>
              <w:bottom w:val="nil"/>
              <w:right w:val="nil"/>
            </w:tcBorders>
            <w:shd w:val="clear" w:color="auto" w:fill="auto"/>
          </w:tcPr>
          <w:p w:rsidR="00846A7D" w:rsidRPr="008322B5" w:rsidRDefault="00846A7D" w:rsidP="007B4F22">
            <w:pPr>
              <w:pStyle w:val="Grille02N"/>
              <w:ind w:left="709" w:right="136" w:hanging="567"/>
              <w:jc w:val="left"/>
            </w:pPr>
            <w:r w:rsidRPr="008322B5">
              <w:t>3.a.</w:t>
            </w:r>
            <w:r w:rsidRPr="008322B5">
              <w:tab/>
              <w:t>Efforts passés et en cours pour sauvegarder l</w:t>
            </w:r>
            <w:r w:rsidR="009B42BE">
              <w:t>’</w:t>
            </w:r>
            <w:r w:rsidRPr="008322B5">
              <w:t>élément</w:t>
            </w:r>
          </w:p>
        </w:tc>
      </w:tr>
      <w:tr w:rsidR="00846A7D" w:rsidRPr="008322B5" w:rsidTr="007B4F22">
        <w:tc>
          <w:tcPr>
            <w:tcW w:w="9639" w:type="dxa"/>
            <w:tcBorders>
              <w:top w:val="nil"/>
              <w:left w:val="nil"/>
              <w:bottom w:val="single" w:sz="4" w:space="0" w:color="auto"/>
              <w:right w:val="nil"/>
            </w:tcBorders>
            <w:shd w:val="clear" w:color="auto" w:fill="auto"/>
          </w:tcPr>
          <w:p w:rsidR="00846A7D" w:rsidRPr="008322B5" w:rsidRDefault="00846A7D" w:rsidP="009B42BE">
            <w:pPr>
              <w:pStyle w:val="Info03"/>
              <w:numPr>
                <w:ilvl w:val="0"/>
                <w:numId w:val="33"/>
              </w:numPr>
              <w:spacing w:before="120" w:line="240" w:lineRule="auto"/>
              <w:ind w:left="567" w:right="136" w:hanging="454"/>
              <w:rPr>
                <w:rFonts w:eastAsia="SimSun"/>
                <w:sz w:val="18"/>
                <w:szCs w:val="18"/>
              </w:rPr>
            </w:pPr>
            <w:r w:rsidRPr="008322B5">
              <w:rPr>
                <w:sz w:val="18"/>
              </w:rPr>
              <w:t>Comment la viabilité de l</w:t>
            </w:r>
            <w:r w:rsidR="009B42BE">
              <w:rPr>
                <w:sz w:val="18"/>
              </w:rPr>
              <w:t>’</w:t>
            </w:r>
            <w:r w:rsidRPr="008322B5">
              <w:rPr>
                <w:sz w:val="18"/>
              </w:rPr>
              <w:t>élément est-elle assurée par les communautés, groupes et, le cas échéant, les individus concernés ? Quelles initiatives passées et en cours ont été prises à cet égard ?</w:t>
            </w:r>
          </w:p>
          <w:p w:rsidR="00846A7D" w:rsidRPr="008322B5" w:rsidRDefault="00846A7D" w:rsidP="007B4F22">
            <w:pPr>
              <w:pStyle w:val="Word"/>
              <w:spacing w:before="120" w:line="240" w:lineRule="auto"/>
              <w:ind w:right="136"/>
              <w:rPr>
                <w:sz w:val="18"/>
                <w:szCs w:val="18"/>
              </w:rPr>
            </w:pPr>
            <w:r w:rsidRPr="008322B5">
              <w:rPr>
                <w:rStyle w:val="Emphasis"/>
                <w:i/>
                <w:color w:val="000000"/>
                <w:sz w:val="18"/>
              </w:rPr>
              <w:t>Minimum 170 mots et maximum 280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46A7D">
            <w:pPr>
              <w:pStyle w:val="formtext"/>
              <w:spacing w:before="0" w:after="120"/>
              <w:jc w:val="both"/>
              <w:rPr>
                <w:noProof/>
              </w:rPr>
            </w:pPr>
            <w:r w:rsidRPr="008322B5">
              <w:t xml:space="preserve">Les organisations concernées déploient différentes activités. </w:t>
            </w:r>
          </w:p>
          <w:p w:rsidR="00846A7D" w:rsidRPr="008322B5" w:rsidRDefault="00846A7D" w:rsidP="00846A7D">
            <w:pPr>
              <w:pStyle w:val="formtext"/>
              <w:keepNext/>
              <w:keepLines/>
              <w:spacing w:before="120" w:after="120"/>
              <w:jc w:val="both"/>
              <w:rPr>
                <w:noProof/>
              </w:rPr>
            </w:pPr>
            <w:r w:rsidRPr="008322B5">
              <w:t>1.</w:t>
            </w:r>
            <w:r w:rsidRPr="008322B5">
              <w:tab/>
              <w:t xml:space="preserve">Formation </w:t>
            </w:r>
          </w:p>
          <w:p w:rsidR="00846A7D" w:rsidRPr="008322B5" w:rsidRDefault="00846A7D" w:rsidP="00846A7D">
            <w:pPr>
              <w:pStyle w:val="formtext"/>
              <w:keepNext/>
              <w:keepLines/>
              <w:spacing w:before="120" w:after="120"/>
              <w:jc w:val="both"/>
              <w:rPr>
                <w:noProof/>
              </w:rPr>
            </w:pPr>
            <w:r w:rsidRPr="008322B5">
              <w:t>La Guilde des meuniers volontaires et la Guilde des meuniers frisons dispensent des cours de formation pour les aspirants meuniers. Depuis 1972, la Guilde des meuniers volontaires a remis une qualification à près de 2</w:t>
            </w:r>
            <w:r w:rsidR="00E325D2" w:rsidRPr="008322B5">
              <w:t> </w:t>
            </w:r>
            <w:r w:rsidRPr="008322B5">
              <w:t>000 personnes. La Guilde des meuniers frisons organise d</w:t>
            </w:r>
            <w:r w:rsidR="00B91E04" w:rsidRPr="008322B5">
              <w:t>es cours de formation depuis 40 </w:t>
            </w:r>
            <w:r w:rsidRPr="008322B5">
              <w:t xml:space="preserve">ans, </w:t>
            </w:r>
            <w:r w:rsidR="00B91E04" w:rsidRPr="008322B5">
              <w:t>qui sont suivis chaque année par</w:t>
            </w:r>
            <w:r w:rsidRPr="008322B5">
              <w:t xml:space="preserve"> 35</w:t>
            </w:r>
            <w:r w:rsidR="00B91E04" w:rsidRPr="008322B5">
              <w:t> </w:t>
            </w:r>
            <w:r w:rsidRPr="008322B5">
              <w:t>apprentis</w:t>
            </w:r>
            <w:r w:rsidR="00B91E04" w:rsidRPr="008322B5">
              <w:t>,</w:t>
            </w:r>
            <w:r w:rsidR="00E325D2" w:rsidRPr="008322B5">
              <w:t xml:space="preserve"> </w:t>
            </w:r>
            <w:r w:rsidR="00B91E04" w:rsidRPr="008322B5">
              <w:t>en moyenne</w:t>
            </w:r>
            <w:r w:rsidRPr="008322B5">
              <w:t xml:space="preserve">. La Guilde des meuniers traditionnels </w:t>
            </w:r>
            <w:r w:rsidR="00B91E04" w:rsidRPr="008322B5">
              <w:t>propose</w:t>
            </w:r>
            <w:r w:rsidRPr="008322B5">
              <w:t xml:space="preserve"> une formation destinée aux meuniers professionnels.</w:t>
            </w:r>
          </w:p>
          <w:p w:rsidR="00846A7D" w:rsidRPr="008322B5" w:rsidRDefault="00846A7D" w:rsidP="00846A7D">
            <w:pPr>
              <w:pStyle w:val="formtext"/>
              <w:keepNext/>
              <w:keepLines/>
              <w:spacing w:before="120" w:after="120"/>
              <w:jc w:val="both"/>
              <w:rPr>
                <w:noProof/>
              </w:rPr>
            </w:pPr>
            <w:r w:rsidRPr="008322B5">
              <w:t>2.</w:t>
            </w:r>
            <w:r w:rsidRPr="008322B5">
              <w:tab/>
              <w:t xml:space="preserve">Soutien et renforcement des capacités </w:t>
            </w:r>
          </w:p>
          <w:p w:rsidR="00846A7D" w:rsidRPr="008322B5" w:rsidRDefault="00846A7D" w:rsidP="00846A7D">
            <w:pPr>
              <w:pStyle w:val="formtext"/>
              <w:keepNext/>
              <w:keepLines/>
              <w:spacing w:before="120" w:after="120"/>
              <w:jc w:val="both"/>
              <w:rPr>
                <w:noProof/>
              </w:rPr>
            </w:pPr>
            <w:r w:rsidRPr="008322B5">
              <w:t>Les guildes organisent des ateliers, des démonstrations et des conférences destinés aux meuniers et proposent également des régimes d</w:t>
            </w:r>
            <w:r w:rsidR="009B42BE">
              <w:t>’</w:t>
            </w:r>
            <w:r w:rsidRPr="008322B5">
              <w:t>assurance collective, par exemple l</w:t>
            </w:r>
            <w:r w:rsidR="009B42BE">
              <w:t>’</w:t>
            </w:r>
            <w:r w:rsidRPr="008322B5">
              <w:t xml:space="preserve">assurance responsabilité civile obligatoire et celle contre les accidents. La Guilde des meuniers traditionnels, qui regroupe les meuniers professionnels, donne </w:t>
            </w:r>
            <w:r w:rsidR="00B91E04" w:rsidRPr="008322B5">
              <w:t xml:space="preserve">à ses membres </w:t>
            </w:r>
            <w:r w:rsidRPr="008322B5">
              <w:t>des informations sur les produits, notamment des conseils pour la boulangerie et des recettes (également dis</w:t>
            </w:r>
            <w:r w:rsidR="00B91E04" w:rsidRPr="008322B5">
              <w:t>ponibles pour le grand public).</w:t>
            </w:r>
          </w:p>
          <w:p w:rsidR="00846A7D" w:rsidRPr="008322B5" w:rsidRDefault="00846A7D" w:rsidP="00846A7D">
            <w:pPr>
              <w:pStyle w:val="formtext"/>
              <w:keepNext/>
              <w:keepLines/>
              <w:spacing w:before="120" w:after="120"/>
              <w:jc w:val="both"/>
              <w:rPr>
                <w:noProof/>
              </w:rPr>
            </w:pPr>
            <w:r w:rsidRPr="008322B5">
              <w:t>3.</w:t>
            </w:r>
            <w:r w:rsidRPr="008322B5">
              <w:tab/>
              <w:t xml:space="preserve">Recrutement et promotion </w:t>
            </w:r>
          </w:p>
          <w:p w:rsidR="00846A7D" w:rsidRPr="008322B5" w:rsidRDefault="00846A7D" w:rsidP="00846A7D">
            <w:pPr>
              <w:pStyle w:val="formtext"/>
              <w:keepNext/>
              <w:keepLines/>
              <w:spacing w:before="120" w:after="120"/>
              <w:jc w:val="both"/>
              <w:rPr>
                <w:noProof/>
              </w:rPr>
            </w:pPr>
            <w:r w:rsidRPr="008322B5">
              <w:t>La Société des moulins néerlandais et les guildes ont mis au point des outils de recrutement et organisent des manifestations de promotion, comme la Journée nationale des moulins (depuis1973), qui attire plus de 100 000 visiteurs chaque année. Quelque 950 meuniers participent aujourd</w:t>
            </w:r>
            <w:r w:rsidR="009B42BE">
              <w:t>’</w:t>
            </w:r>
            <w:r w:rsidRPr="008322B5">
              <w:t>hui à cette manifestation. Chaque année, entre avril et octobre, 19 Journées des moulins, provinciales et régionales, sont organisées.</w:t>
            </w:r>
          </w:p>
          <w:p w:rsidR="00846A7D" w:rsidRPr="008322B5" w:rsidRDefault="00846A7D" w:rsidP="00846A7D">
            <w:pPr>
              <w:pStyle w:val="formtext"/>
              <w:keepNext/>
              <w:keepLines/>
              <w:spacing w:before="120" w:after="120"/>
              <w:jc w:val="both"/>
              <w:rPr>
                <w:noProof/>
              </w:rPr>
            </w:pPr>
            <w:r w:rsidRPr="008322B5">
              <w:t>4.</w:t>
            </w:r>
            <w:r w:rsidRPr="008322B5">
              <w:tab/>
              <w:t xml:space="preserve">Activités pédagogiques </w:t>
            </w:r>
          </w:p>
          <w:p w:rsidR="00846A7D" w:rsidRPr="008322B5" w:rsidRDefault="00846A7D" w:rsidP="009B42BE">
            <w:pPr>
              <w:pStyle w:val="formtext"/>
              <w:spacing w:before="120" w:after="0" w:line="240" w:lineRule="auto"/>
              <w:ind w:right="136"/>
              <w:jc w:val="both"/>
            </w:pPr>
            <w:r w:rsidRPr="008322B5">
              <w:t>La Société des moulins néerlandais a développé le site www.moleneducatief.nl pour les classes d</w:t>
            </w:r>
            <w:r w:rsidR="00B91E04" w:rsidRPr="008322B5">
              <w:t>e l</w:t>
            </w:r>
            <w:r w:rsidR="009B42BE">
              <w:t>’</w:t>
            </w:r>
            <w:r w:rsidRPr="008322B5">
              <w:t>enseignement primaire et secondaire. Des stages sont également proposés dans l</w:t>
            </w:r>
            <w:r w:rsidR="009B42BE">
              <w:t>’</w:t>
            </w:r>
            <w:r w:rsidRPr="008322B5">
              <w:t>enseignement et la formation professionnels. Ces stages facilitent le recrutement de nouveaux apprentis pour la formation des meuniers volontaires. De nombreux meuniers accueillent des groupes scolaires dans leur moulin afin de leur expliquer le fonctionnement des moulins et le travail du meunier.</w:t>
            </w:r>
          </w:p>
        </w:tc>
      </w:tr>
      <w:tr w:rsidR="00846A7D" w:rsidRPr="008322B5" w:rsidTr="007B4F22">
        <w:tc>
          <w:tcPr>
            <w:tcW w:w="9639" w:type="dxa"/>
            <w:tcBorders>
              <w:top w:val="single" w:sz="4" w:space="0" w:color="auto"/>
              <w:left w:val="single" w:sz="4" w:space="0" w:color="auto"/>
              <w:bottom w:val="single" w:sz="4" w:space="0" w:color="auto"/>
              <w:right w:val="single" w:sz="4" w:space="0" w:color="auto"/>
            </w:tcBorders>
            <w:shd w:val="clear" w:color="auto" w:fill="auto"/>
          </w:tcPr>
          <w:p w:rsidR="00846A7D" w:rsidRPr="008322B5" w:rsidRDefault="00846A7D" w:rsidP="007B4F22">
            <w:pPr>
              <w:pStyle w:val="Default"/>
              <w:widowControl/>
              <w:tabs>
                <w:tab w:val="left" w:pos="709"/>
              </w:tabs>
              <w:spacing w:before="120" w:after="120"/>
              <w:ind w:left="113" w:right="136"/>
              <w:jc w:val="both"/>
              <w:rPr>
                <w:rFonts w:ascii="Arial" w:eastAsia="SimSun" w:hAnsi="Arial" w:cs="Arial"/>
                <w:sz w:val="18"/>
                <w:szCs w:val="18"/>
              </w:rPr>
            </w:pPr>
            <w:r w:rsidRPr="008322B5">
              <w:rPr>
                <w:rFonts w:ascii="Arial" w:hAnsi="Arial"/>
                <w:sz w:val="18"/>
              </w:rPr>
              <w:t xml:space="preserve">Cochez une ou plusieurs cases pour identifier les mesures de sauvegarde qui ont été ou sont prises actuellement par les </w:t>
            </w:r>
            <w:r w:rsidRPr="008322B5">
              <w:rPr>
                <w:rFonts w:ascii="Arial" w:hAnsi="Arial"/>
                <w:b/>
                <w:sz w:val="18"/>
              </w:rPr>
              <w:t>communautés, groupes ou individus</w:t>
            </w:r>
            <w:r w:rsidRPr="008322B5">
              <w:rPr>
                <w:rFonts w:ascii="Arial" w:hAnsi="Arial"/>
                <w:sz w:val="18"/>
              </w:rPr>
              <w:t xml:space="preserve"> concernés.</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transmission, essentiellement par l</w:t>
            </w:r>
            <w:r w:rsidR="009B42BE">
              <w:rPr>
                <w:rFonts w:ascii="Arial" w:hAnsi="Arial"/>
                <w:color w:val="auto"/>
                <w:sz w:val="18"/>
              </w:rPr>
              <w:t>’</w:t>
            </w:r>
            <w:r w:rsidR="00846A7D" w:rsidRPr="008322B5">
              <w:rPr>
                <w:rFonts w:ascii="Arial" w:hAnsi="Arial"/>
                <w:color w:val="auto"/>
                <w:sz w:val="18"/>
              </w:rPr>
              <w:t>éducation formelle et non formelle</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identification, documentation, recherche</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préservation, protection </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promotion, mise en valeur</w:t>
            </w:r>
          </w:p>
          <w:p w:rsidR="00846A7D" w:rsidRPr="008322B5" w:rsidRDefault="00685BB2" w:rsidP="007B4F22">
            <w:pPr>
              <w:pStyle w:val="Default"/>
              <w:widowControl/>
              <w:autoSpaceDE/>
              <w:adjustRightInd/>
              <w:spacing w:before="120" w:after="120"/>
              <w:ind w:left="1134" w:right="135" w:hanging="567"/>
            </w:pPr>
            <w:r w:rsidRPr="008322B5">
              <w:rPr>
                <w:rFonts w:ascii="Arial" w:hAnsi="Arial" w:cs="Arial"/>
                <w:color w:val="auto"/>
                <w:sz w:val="18"/>
                <w:szCs w:val="18"/>
              </w:rPr>
              <w:fldChar w:fldCharType="begin">
                <w:ffData>
                  <w:name w:val=""/>
                  <w:enabled/>
                  <w:calcOnExit w:val="0"/>
                  <w:checkBox>
                    <w:sizeAuto/>
                    <w:default w:val="0"/>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revitalisation</w:t>
            </w:r>
          </w:p>
        </w:tc>
      </w:tr>
      <w:tr w:rsidR="00846A7D" w:rsidRPr="008322B5" w:rsidTr="007B4F22">
        <w:tc>
          <w:tcPr>
            <w:tcW w:w="963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846A7D" w:rsidRPr="008322B5" w:rsidRDefault="00846A7D" w:rsidP="009B42BE">
            <w:pPr>
              <w:pStyle w:val="Info03"/>
              <w:numPr>
                <w:ilvl w:val="0"/>
                <w:numId w:val="33"/>
              </w:numPr>
              <w:spacing w:line="240" w:lineRule="auto"/>
              <w:ind w:left="595" w:right="136" w:hanging="567"/>
              <w:rPr>
                <w:rFonts w:eastAsia="SimSun"/>
                <w:sz w:val="18"/>
                <w:szCs w:val="18"/>
              </w:rPr>
            </w:pPr>
            <w:r w:rsidRPr="008322B5">
              <w:rPr>
                <w:sz w:val="18"/>
              </w:rPr>
              <w:lastRenderedPageBreak/>
              <w:t>Comment les États parties concernés ont-ils sauvegardé l</w:t>
            </w:r>
            <w:r w:rsidR="009B42BE">
              <w:rPr>
                <w:sz w:val="18"/>
              </w:rPr>
              <w:t>’</w:t>
            </w:r>
            <w:r w:rsidRPr="008322B5">
              <w:rPr>
                <w:sz w:val="18"/>
              </w:rPr>
              <w:t>élément ? Précisez les contraintes externes ou internes, telles que des ressources limitées. Quels sont les efforts passés et en cours à cet égard ?</w:t>
            </w:r>
          </w:p>
          <w:p w:rsidR="00846A7D" w:rsidRPr="008322B5" w:rsidRDefault="00846A7D" w:rsidP="007B4F22">
            <w:pPr>
              <w:pStyle w:val="formtext"/>
              <w:keepNext/>
              <w:spacing w:before="120" w:after="0" w:line="240" w:lineRule="auto"/>
              <w:ind w:right="136"/>
              <w:jc w:val="right"/>
              <w:rPr>
                <w:i/>
                <w:iCs/>
                <w:color w:val="000000"/>
                <w:sz w:val="18"/>
                <w:szCs w:val="18"/>
              </w:rPr>
            </w:pPr>
            <w:r w:rsidRPr="008322B5">
              <w:rPr>
                <w:rStyle w:val="Emphasis"/>
                <w:color w:val="000000"/>
                <w:sz w:val="18"/>
              </w:rPr>
              <w:t>Minimum 170 mots et maximum 280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46A7D">
            <w:pPr>
              <w:pStyle w:val="formtext"/>
              <w:spacing w:before="0" w:after="120"/>
              <w:jc w:val="both"/>
              <w:rPr>
                <w:noProof/>
              </w:rPr>
            </w:pPr>
            <w:r w:rsidRPr="008322B5">
              <w:t>Le document d</w:t>
            </w:r>
            <w:r w:rsidR="009B42BE">
              <w:t>’</w:t>
            </w:r>
            <w:r w:rsidRPr="008322B5">
              <w:t>orientation « A Future for Mills. Principles for dealing with heritage mills » (2012) définit la politique nationale en matière de sauvegarde des moulins. L</w:t>
            </w:r>
            <w:r w:rsidR="009B42BE">
              <w:t>’</w:t>
            </w:r>
            <w:r w:rsidRPr="008322B5">
              <w:t>objectif premier de cette politique est de trouver un juste équilibre dans la préservation des aspects matériels et immatériels. Le soutien financier à long terme accordé aux organisations du secteur pour la formation des meuniers s</w:t>
            </w:r>
            <w:r w:rsidR="009B42BE">
              <w:t>’</w:t>
            </w:r>
            <w:r w:rsidRPr="008322B5">
              <w:t>inscrit dans cette optique. L</w:t>
            </w:r>
            <w:r w:rsidR="009B42BE">
              <w:t>’</w:t>
            </w:r>
            <w:r w:rsidRPr="008322B5">
              <w:t xml:space="preserve">Agence du patrimoine culturel (Cultural Heritage Agency, http://culturalheritageagency.nl/en) met son expertise et ses conseils au service du secteur meunier et emploie des spécialistes à cette fin. Elle organise également les réunions semestrielles de la </w:t>
            </w:r>
            <w:r w:rsidRPr="008322B5">
              <w:rPr>
                <w:i/>
              </w:rPr>
              <w:t>Molenplatform</w:t>
            </w:r>
            <w:r w:rsidRPr="008322B5">
              <w:t xml:space="preserve"> [plate-forme des moulins], qui permet aux professionnels et aux autres parties concernées de partager leur expertise et leur expérience. </w:t>
            </w:r>
          </w:p>
          <w:p w:rsidR="00846A7D" w:rsidRPr="008322B5" w:rsidRDefault="00846A7D" w:rsidP="00846A7D">
            <w:pPr>
              <w:pStyle w:val="formtext"/>
              <w:spacing w:before="120" w:after="120"/>
              <w:jc w:val="both"/>
              <w:rPr>
                <w:noProof/>
              </w:rPr>
            </w:pPr>
            <w:r w:rsidRPr="008322B5">
              <w:t>Afin d</w:t>
            </w:r>
            <w:r w:rsidR="009B42BE">
              <w:t>’</w:t>
            </w:r>
            <w:r w:rsidRPr="008322B5">
              <w:t xml:space="preserve">améliorer la formation des meuniers, la Guilde a reçu en 2014 un financement du </w:t>
            </w:r>
            <w:r w:rsidRPr="008322B5">
              <w:rPr>
                <w:i/>
              </w:rPr>
              <w:t>Fonds voor Cultuurparticipatie</w:t>
            </w:r>
            <w:r w:rsidRPr="008322B5">
              <w:t xml:space="preserve"> [fonds pour la participation culturelle], qui soutient les projets relatifs au patrimoine culturel immatériel </w:t>
            </w:r>
            <w:r w:rsidR="003E11A3" w:rsidRPr="008322B5">
              <w:t>au nom du</w:t>
            </w:r>
            <w:r w:rsidRPr="008322B5">
              <w:t xml:space="preserve"> ministère néerlandais de l</w:t>
            </w:r>
            <w:r w:rsidR="009B42BE">
              <w:t>’éducation, de la culture et des s</w:t>
            </w:r>
            <w:r w:rsidRPr="008322B5">
              <w:t>ciences.</w:t>
            </w:r>
          </w:p>
          <w:p w:rsidR="00846A7D" w:rsidRPr="008322B5" w:rsidRDefault="00846A7D" w:rsidP="009B42BE">
            <w:pPr>
              <w:pStyle w:val="Default"/>
              <w:widowControl/>
              <w:tabs>
                <w:tab w:val="left" w:pos="709"/>
              </w:tabs>
              <w:spacing w:before="120"/>
              <w:ind w:right="136"/>
              <w:jc w:val="both"/>
              <w:rPr>
                <w:rFonts w:ascii="Arial" w:eastAsia="SimSun" w:hAnsi="Arial" w:cs="Times New Roman"/>
                <w:noProof/>
                <w:color w:val="auto"/>
                <w:sz w:val="22"/>
                <w:szCs w:val="22"/>
              </w:rPr>
            </w:pPr>
            <w:r w:rsidRPr="008322B5">
              <w:rPr>
                <w:rFonts w:ascii="Arial" w:hAnsi="Arial"/>
                <w:noProof/>
                <w:color w:val="auto"/>
                <w:sz w:val="22"/>
              </w:rPr>
              <w:t>La politique du gouvernement s</w:t>
            </w:r>
            <w:r w:rsidR="009B42BE">
              <w:rPr>
                <w:rFonts w:ascii="Arial" w:hAnsi="Arial"/>
                <w:noProof/>
                <w:color w:val="auto"/>
                <w:sz w:val="22"/>
              </w:rPr>
              <w:t>’</w:t>
            </w:r>
            <w:r w:rsidRPr="008322B5">
              <w:rPr>
                <w:rFonts w:ascii="Arial" w:hAnsi="Arial"/>
                <w:noProof/>
                <w:color w:val="auto"/>
                <w:sz w:val="22"/>
              </w:rPr>
              <w:t xml:space="preserve">applique à différents niveaux : national, provincial, municipal et </w:t>
            </w:r>
            <w:r w:rsidR="003E11A3" w:rsidRPr="008322B5">
              <w:rPr>
                <w:rFonts w:ascii="Arial" w:hAnsi="Arial"/>
                <w:noProof/>
                <w:color w:val="auto"/>
                <w:sz w:val="22"/>
              </w:rPr>
              <w:t xml:space="preserve">à celui des </w:t>
            </w:r>
            <w:r w:rsidRPr="008322B5">
              <w:rPr>
                <w:rFonts w:ascii="Arial" w:hAnsi="Arial"/>
                <w:noProof/>
                <w:color w:val="auto"/>
                <w:sz w:val="22"/>
              </w:rPr>
              <w:t>conseils régionaux des eaux. Le gouvernement travaille avec des acteurs privés, comme les propriétaires de moulins (souvent des fondations locales, mais parfois des autorités municipales), et des meuniers volontaires (et leurs organisations représentatives)</w:t>
            </w:r>
            <w:r w:rsidR="003E11A3" w:rsidRPr="008322B5">
              <w:rPr>
                <w:rFonts w:ascii="Arial" w:hAnsi="Arial"/>
                <w:noProof/>
                <w:color w:val="auto"/>
                <w:sz w:val="22"/>
              </w:rPr>
              <w:t>,</w:t>
            </w:r>
            <w:r w:rsidRPr="008322B5">
              <w:rPr>
                <w:rFonts w:ascii="Arial" w:hAnsi="Arial"/>
                <w:noProof/>
                <w:color w:val="auto"/>
                <w:sz w:val="22"/>
              </w:rPr>
              <w:t xml:space="preserve"> qui maintiennent les moulins en fonctionnement. Les autorités prennent en compte le patrimoine culturel et la </w:t>
            </w:r>
            <w:r w:rsidRPr="008322B5">
              <w:rPr>
                <w:rFonts w:ascii="Arial" w:hAnsi="Arial"/>
                <w:i/>
                <w:noProof/>
                <w:color w:val="auto"/>
                <w:sz w:val="22"/>
              </w:rPr>
              <w:t>Monumentenwet</w:t>
            </w:r>
            <w:r w:rsidRPr="008322B5">
              <w:rPr>
                <w:rFonts w:ascii="Arial" w:hAnsi="Arial"/>
                <w:noProof/>
                <w:color w:val="auto"/>
                <w:sz w:val="22"/>
              </w:rPr>
              <w:t xml:space="preserve"> [loi néerlandaise sur les monuments et bâtiments historiques] dans leurs plans de zonage. Sur les quelque 1</w:t>
            </w:r>
            <w:r w:rsidR="008322B5" w:rsidRPr="008322B5">
              <w:rPr>
                <w:rFonts w:ascii="Arial" w:hAnsi="Arial"/>
                <w:noProof/>
                <w:color w:val="auto"/>
                <w:sz w:val="22"/>
              </w:rPr>
              <w:t> </w:t>
            </w:r>
            <w:r w:rsidRPr="008322B5">
              <w:rPr>
                <w:rFonts w:ascii="Arial" w:hAnsi="Arial"/>
                <w:noProof/>
                <w:color w:val="auto"/>
                <w:sz w:val="22"/>
              </w:rPr>
              <w:t>200 moulins, environ 90</w:t>
            </w:r>
            <w:r w:rsidR="003E11A3" w:rsidRPr="008322B5">
              <w:rPr>
                <w:rFonts w:ascii="Arial" w:hAnsi="Arial"/>
                <w:noProof/>
                <w:color w:val="auto"/>
                <w:sz w:val="22"/>
              </w:rPr>
              <w:t> </w:t>
            </w:r>
            <w:r w:rsidRPr="008322B5">
              <w:rPr>
                <w:rFonts w:ascii="Arial" w:hAnsi="Arial"/>
                <w:noProof/>
                <w:color w:val="auto"/>
                <w:sz w:val="22"/>
              </w:rPr>
              <w:t>% sont classés monuments nationaux. Plusieurs sections des guildes reçoivent un financement des autorités provinciales pour la formation des meuniers. De nombreux accords locaux sont également en place.</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9B42BE">
            <w:pPr>
              <w:pStyle w:val="Default"/>
              <w:widowControl/>
              <w:tabs>
                <w:tab w:val="left" w:pos="709"/>
              </w:tabs>
              <w:spacing w:after="120"/>
              <w:ind w:left="113" w:right="136"/>
              <w:jc w:val="both"/>
              <w:rPr>
                <w:rFonts w:ascii="Arial" w:eastAsia="SimSun" w:hAnsi="Arial" w:cs="Arial"/>
                <w:sz w:val="18"/>
                <w:szCs w:val="18"/>
              </w:rPr>
            </w:pPr>
            <w:r w:rsidRPr="008322B5">
              <w:rPr>
                <w:rFonts w:ascii="Arial" w:hAnsi="Arial"/>
                <w:sz w:val="18"/>
              </w:rPr>
              <w:t>Cochez une ou plusieurs cases pour identifier les mesures de sauvegarde qui ont été ou sont prises actuellement par l</w:t>
            </w:r>
            <w:r w:rsidR="009B42BE">
              <w:rPr>
                <w:rFonts w:ascii="Arial" w:hAnsi="Arial"/>
                <w:sz w:val="18"/>
              </w:rPr>
              <w:t>’</w:t>
            </w:r>
            <w:r w:rsidRPr="008322B5">
              <w:rPr>
                <w:rFonts w:ascii="Arial" w:hAnsi="Arial"/>
                <w:sz w:val="18"/>
              </w:rPr>
              <w:t xml:space="preserve">(les) </w:t>
            </w:r>
            <w:r w:rsidRPr="008322B5">
              <w:rPr>
                <w:rFonts w:ascii="Arial" w:hAnsi="Arial"/>
                <w:b/>
                <w:sz w:val="18"/>
              </w:rPr>
              <w:t>État(s) partie(s)</w:t>
            </w:r>
            <w:r w:rsidRPr="008322B5">
              <w:rPr>
                <w:rFonts w:ascii="Arial" w:hAnsi="Arial"/>
                <w:sz w:val="18"/>
              </w:rPr>
              <w:t xml:space="preserve"> eu égard à l</w:t>
            </w:r>
            <w:r w:rsidR="009B42BE">
              <w:rPr>
                <w:rFonts w:ascii="Arial" w:hAnsi="Arial"/>
                <w:sz w:val="18"/>
              </w:rPr>
              <w:t>’</w:t>
            </w:r>
            <w:r w:rsidRPr="008322B5">
              <w:rPr>
                <w:rFonts w:ascii="Arial" w:hAnsi="Arial"/>
                <w:sz w:val="18"/>
              </w:rPr>
              <w:t>élément.</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transmission, essentiellement par l</w:t>
            </w:r>
            <w:r w:rsidR="009B42BE">
              <w:rPr>
                <w:rFonts w:ascii="Arial" w:hAnsi="Arial"/>
                <w:color w:val="auto"/>
                <w:sz w:val="18"/>
              </w:rPr>
              <w:t>’</w:t>
            </w:r>
            <w:r w:rsidR="00846A7D" w:rsidRPr="008322B5">
              <w:rPr>
                <w:rFonts w:ascii="Arial" w:hAnsi="Arial"/>
                <w:color w:val="auto"/>
                <w:sz w:val="18"/>
              </w:rPr>
              <w:t>éducation formelle et non formelle</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identification, documentation, recherche</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préservation, protection</w:t>
            </w:r>
          </w:p>
          <w:p w:rsidR="00846A7D" w:rsidRPr="008322B5" w:rsidRDefault="00685BB2" w:rsidP="007B4F22">
            <w:pPr>
              <w:pStyle w:val="Default"/>
              <w:widowControl/>
              <w:autoSpaceDE/>
              <w:adjustRightInd/>
              <w:spacing w:before="120" w:after="120"/>
              <w:ind w:left="1134" w:right="135"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0"/>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Promotion, mise en valeur</w:t>
            </w:r>
          </w:p>
          <w:p w:rsidR="00846A7D" w:rsidRPr="008322B5" w:rsidRDefault="00685BB2" w:rsidP="009B42BE">
            <w:pPr>
              <w:pStyle w:val="Default"/>
              <w:widowControl/>
              <w:autoSpaceDE/>
              <w:adjustRightInd/>
              <w:spacing w:before="120"/>
              <w:ind w:left="1134" w:right="136" w:hanging="567"/>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0"/>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18"/>
              </w:rPr>
              <w:t xml:space="preserve"> revitalisation</w:t>
            </w:r>
          </w:p>
        </w:tc>
      </w:tr>
      <w:tr w:rsidR="00846A7D" w:rsidRPr="008322B5" w:rsidTr="007B4F22">
        <w:tc>
          <w:tcPr>
            <w:tcW w:w="9639" w:type="dxa"/>
            <w:tcBorders>
              <w:top w:val="single" w:sz="4" w:space="0" w:color="auto"/>
              <w:left w:val="nil"/>
              <w:bottom w:val="nil"/>
              <w:right w:val="nil"/>
            </w:tcBorders>
            <w:shd w:val="clear" w:color="auto" w:fill="auto"/>
          </w:tcPr>
          <w:p w:rsidR="00846A7D" w:rsidRPr="008322B5" w:rsidRDefault="00846A7D" w:rsidP="007B4F22">
            <w:pPr>
              <w:pStyle w:val="Grille02N"/>
              <w:ind w:left="709" w:right="136" w:hanging="567"/>
              <w:jc w:val="left"/>
            </w:pPr>
            <w:r w:rsidRPr="008322B5">
              <w:t>3.b.</w:t>
            </w:r>
            <w:r w:rsidRPr="008322B5">
              <w:tab/>
              <w:t>Mesures de sauvegarde proposées</w:t>
            </w:r>
          </w:p>
          <w:p w:rsidR="00846A7D" w:rsidRPr="008322B5" w:rsidRDefault="00846A7D" w:rsidP="007B4F22">
            <w:pPr>
              <w:pStyle w:val="Info03"/>
              <w:spacing w:before="120" w:line="240" w:lineRule="auto"/>
              <w:ind w:right="136"/>
            </w:pPr>
            <w:r w:rsidRPr="008322B5">
              <w:rPr>
                <w:sz w:val="18"/>
              </w:rPr>
              <w:t>Cette section doit identifier et décrire les mesures de sauvegarde qui seront mises en oeuvre, et tout particulièrement celles qui sont supposées protéger et promouvoir l</w:t>
            </w:r>
            <w:r w:rsidR="009B42BE">
              <w:rPr>
                <w:sz w:val="18"/>
              </w:rPr>
              <w:t>’</w:t>
            </w:r>
            <w:r w:rsidRPr="008322B5">
              <w:rPr>
                <w:sz w:val="18"/>
              </w:rPr>
              <w:t>élément. Les mesures de sauvegarde doivent être décrites en termes d</w:t>
            </w:r>
            <w:r w:rsidR="009B42BE">
              <w:rPr>
                <w:sz w:val="18"/>
              </w:rPr>
              <w:t>’</w:t>
            </w:r>
            <w:r w:rsidRPr="008322B5">
              <w:rPr>
                <w:sz w:val="18"/>
              </w:rPr>
              <w:t>engagement concret des États parties et des communautés et non pas seulement en termes de possibilités et potentialités.</w:t>
            </w:r>
          </w:p>
        </w:tc>
      </w:tr>
      <w:tr w:rsidR="00846A7D" w:rsidRPr="008322B5" w:rsidTr="007B4F22">
        <w:tc>
          <w:tcPr>
            <w:tcW w:w="9639" w:type="dxa"/>
            <w:tcBorders>
              <w:top w:val="nil"/>
              <w:left w:val="nil"/>
              <w:bottom w:val="single" w:sz="4" w:space="0" w:color="auto"/>
              <w:right w:val="nil"/>
            </w:tcBorders>
            <w:shd w:val="clear" w:color="auto" w:fill="auto"/>
          </w:tcPr>
          <w:p w:rsidR="00846A7D" w:rsidRPr="008322B5" w:rsidRDefault="00846A7D" w:rsidP="009B42BE">
            <w:pPr>
              <w:pStyle w:val="Info03"/>
              <w:numPr>
                <w:ilvl w:val="0"/>
                <w:numId w:val="37"/>
              </w:numPr>
              <w:spacing w:after="0" w:line="240" w:lineRule="auto"/>
              <w:ind w:left="567" w:right="136" w:hanging="454"/>
              <w:rPr>
                <w:rFonts w:eastAsia="SimSun"/>
                <w:sz w:val="18"/>
                <w:szCs w:val="18"/>
              </w:rPr>
            </w:pPr>
            <w:r w:rsidRPr="008322B5">
              <w:rPr>
                <w:sz w:val="18"/>
              </w:rPr>
              <w:t>Quelles mesures sont proposées pour faire en sorte que la viabilité de l</w:t>
            </w:r>
            <w:r w:rsidR="009B42BE">
              <w:rPr>
                <w:sz w:val="18"/>
              </w:rPr>
              <w:t>’</w:t>
            </w:r>
            <w:r w:rsidRPr="008322B5">
              <w:rPr>
                <w:sz w:val="18"/>
              </w:rPr>
              <w:t>élément ne soit pas menacée à l</w:t>
            </w:r>
            <w:r w:rsidR="009B42BE">
              <w:rPr>
                <w:sz w:val="18"/>
              </w:rPr>
              <w:t>’</w:t>
            </w:r>
            <w:r w:rsidRPr="008322B5">
              <w:rPr>
                <w:sz w:val="18"/>
              </w:rPr>
              <w:t>avenir, en particulier du fait des conséquences involontaires produites par l</w:t>
            </w:r>
            <w:r w:rsidR="009B42BE">
              <w:rPr>
                <w:sz w:val="18"/>
              </w:rPr>
              <w:t>’</w:t>
            </w:r>
            <w:r w:rsidRPr="008322B5">
              <w:rPr>
                <w:sz w:val="18"/>
              </w:rPr>
              <w:t>inscription ainsi que par la visibilité et l</w:t>
            </w:r>
            <w:r w:rsidR="009B42BE">
              <w:rPr>
                <w:sz w:val="18"/>
              </w:rPr>
              <w:t>’</w:t>
            </w:r>
            <w:r w:rsidRPr="008322B5">
              <w:rPr>
                <w:sz w:val="18"/>
              </w:rPr>
              <w:t>attention particulière du public en résultant ?</w:t>
            </w:r>
          </w:p>
          <w:p w:rsidR="00846A7D" w:rsidRPr="008322B5" w:rsidRDefault="00846A7D" w:rsidP="009B42BE">
            <w:pPr>
              <w:pStyle w:val="Default"/>
              <w:keepNext/>
              <w:widowControl/>
              <w:autoSpaceDE/>
              <w:autoSpaceDN/>
              <w:adjustRightInd/>
              <w:spacing w:after="120"/>
              <w:ind w:left="567" w:right="136" w:hanging="425"/>
              <w:jc w:val="right"/>
              <w:rPr>
                <w:rFonts w:ascii="Arial" w:eastAsia="SimSun" w:hAnsi="Arial" w:cs="Arial"/>
                <w:sz w:val="18"/>
                <w:szCs w:val="18"/>
              </w:rPr>
            </w:pPr>
            <w:r w:rsidRPr="008322B5">
              <w:rPr>
                <w:rStyle w:val="Emphasis"/>
                <w:rFonts w:ascii="Arial" w:hAnsi="Arial"/>
                <w:sz w:val="18"/>
              </w:rPr>
              <w:t>Minimum 570 mots et maximum 860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120"/>
              <w:jc w:val="both"/>
              <w:rPr>
                <w:noProof/>
              </w:rPr>
            </w:pPr>
            <w:r w:rsidRPr="008322B5">
              <w:t>Les organisations concernées souhaitent collaborer plus étroitement dans les années à venir, tout en respectant l</w:t>
            </w:r>
            <w:r w:rsidR="009B42BE">
              <w:t>’</w:t>
            </w:r>
            <w:r w:rsidRPr="008322B5">
              <w:t>existence et l</w:t>
            </w:r>
            <w:r w:rsidR="009B42BE">
              <w:t>’</w:t>
            </w:r>
            <w:r w:rsidRPr="008322B5">
              <w:t>approche spécifique de chacune. Elles travaillent déjà en étroite collaboration sur les questions de sécurité. Les questions sur lesquelles elles devront peut-être se pencher dans les années qui viennent sont : 1. le recrutement de nouveaux meuniers et d</w:t>
            </w:r>
            <w:r w:rsidR="009B42BE">
              <w:t>’</w:t>
            </w:r>
            <w:r w:rsidRPr="008322B5">
              <w:t>instructeurs ; 2. le maintien d</w:t>
            </w:r>
            <w:r w:rsidR="009B42BE">
              <w:t>’</w:t>
            </w:r>
            <w:r w:rsidRPr="008322B5">
              <w:t>un haut niveau de formation ; 3. l</w:t>
            </w:r>
            <w:r w:rsidR="009B42BE">
              <w:t>’</w:t>
            </w:r>
            <w:r w:rsidRPr="008322B5">
              <w:t>éducation culturelle dans les écoles ; 4. la promotion auprès du grand public ; 5. les éventuelles conséquences imprévues de l</w:t>
            </w:r>
            <w:r w:rsidR="009B42BE">
              <w:t>’</w:t>
            </w:r>
            <w:r w:rsidRPr="008322B5">
              <w:t>inscription ; 6. la relation entre patrimoine c</w:t>
            </w:r>
            <w:r w:rsidR="003E11A3" w:rsidRPr="008322B5">
              <w:t>ulturel matériel et immatériel.</w:t>
            </w:r>
          </w:p>
          <w:p w:rsidR="00846A7D" w:rsidRPr="008322B5" w:rsidRDefault="00846A7D" w:rsidP="008B2658">
            <w:pPr>
              <w:pStyle w:val="formtext"/>
              <w:spacing w:before="120" w:after="120"/>
              <w:jc w:val="both"/>
              <w:rPr>
                <w:noProof/>
              </w:rPr>
            </w:pPr>
            <w:r w:rsidRPr="008322B5">
              <w:t>1.</w:t>
            </w:r>
            <w:r w:rsidRPr="008322B5">
              <w:tab/>
              <w:t>Recrutement de nouveaux meuniers et d</w:t>
            </w:r>
            <w:r w:rsidR="009B42BE">
              <w:t>’</w:t>
            </w:r>
            <w:r w:rsidRPr="008322B5">
              <w:t xml:space="preserve">instructeurs </w:t>
            </w:r>
          </w:p>
          <w:p w:rsidR="00846A7D" w:rsidRPr="008322B5" w:rsidRDefault="00846A7D" w:rsidP="008B2658">
            <w:pPr>
              <w:pStyle w:val="formtext"/>
              <w:spacing w:before="120" w:after="120"/>
              <w:jc w:val="both"/>
              <w:rPr>
                <w:noProof/>
              </w:rPr>
            </w:pPr>
            <w:r w:rsidRPr="008322B5">
              <w:t>Étant donné la moyenne d</w:t>
            </w:r>
            <w:r w:rsidR="009B42BE">
              <w:t>’</w:t>
            </w:r>
            <w:r w:rsidRPr="008322B5">
              <w:t xml:space="preserve">âge des membres des différentes guildes, </w:t>
            </w:r>
            <w:r w:rsidR="003E11A3" w:rsidRPr="008322B5">
              <w:t>on</w:t>
            </w:r>
            <w:r w:rsidRPr="008322B5">
              <w:t xml:space="preserve"> devrait </w:t>
            </w:r>
            <w:r w:rsidR="003E11A3" w:rsidRPr="008322B5">
              <w:t>observer</w:t>
            </w:r>
            <w:r w:rsidRPr="008322B5">
              <w:t xml:space="preserve"> une pénurie de meuniers dans une dizaine d</w:t>
            </w:r>
            <w:r w:rsidR="009B42BE">
              <w:t>’</w:t>
            </w:r>
            <w:r w:rsidRPr="008322B5">
              <w:t>années environ. C</w:t>
            </w:r>
            <w:r w:rsidR="009B42BE">
              <w:t>’</w:t>
            </w:r>
            <w:r w:rsidRPr="008322B5">
              <w:t xml:space="preserve">est également le cas pour les instructeurs, dont la moitié a plus de 65 ans. Ce problème exige des activités spécifiques de </w:t>
            </w:r>
            <w:r w:rsidRPr="008322B5">
              <w:lastRenderedPageBreak/>
              <w:t>promotion et de sensibilisation qui soulignent l</w:t>
            </w:r>
            <w:r w:rsidR="009B42BE">
              <w:t>’</w:t>
            </w:r>
            <w:r w:rsidRPr="008322B5">
              <w:t>importance des savoir-faire du meunier. La pénurie de meuniers est régionale. Une étude préliminaire réalisée par les guildes a révélé que les efforts des meuniers locaux étaient le meilleur moyen de recruter de nouveaux meuniers. Dans les quatre années suivant l</w:t>
            </w:r>
            <w:r w:rsidR="009B42BE">
              <w:t>’</w:t>
            </w:r>
            <w:r w:rsidRPr="008322B5">
              <w:t>inscription, les guildes prévoient de développer des outils promotionnels que les meuniers pourront utiliser dans leurs activités locales, notamment des outils spécifiquement axés sur les jeunes. La conférence annuelle organisée par la Guilde des meuniers volontaires pour ses membres s</w:t>
            </w:r>
            <w:r w:rsidR="009B42BE">
              <w:t>’</w:t>
            </w:r>
            <w:r w:rsidRPr="008322B5">
              <w:t>intéressera notamment au recrutement de nouveaux meuniers et à l</w:t>
            </w:r>
            <w:r w:rsidR="009B42BE">
              <w:t>’</w:t>
            </w:r>
            <w:r w:rsidRPr="008322B5">
              <w:t>aide que les meuniers locaux peuvent apporter. Une attention particulière sera portée à l</w:t>
            </w:r>
            <w:r w:rsidR="009B42BE">
              <w:t>’</w:t>
            </w:r>
            <w:r w:rsidRPr="008322B5">
              <w:t>utilisation des réseaux sociaux (par ex. Facebook, Twitter) dans l</w:t>
            </w:r>
            <w:r w:rsidR="009B42BE">
              <w:t>’</w:t>
            </w:r>
            <w:r w:rsidRPr="008322B5">
              <w:t>optique de s</w:t>
            </w:r>
            <w:r w:rsidR="009B42BE">
              <w:t>’</w:t>
            </w:r>
            <w:r w:rsidRPr="008322B5">
              <w:t xml:space="preserve">adresser en priorité aux jeunes. La Guilde des meuniers volontaires a nommé un coordinateur dans ce but. </w:t>
            </w:r>
          </w:p>
          <w:p w:rsidR="00846A7D" w:rsidRPr="008322B5" w:rsidRDefault="00846A7D" w:rsidP="008B2658">
            <w:pPr>
              <w:pStyle w:val="formtext"/>
              <w:spacing w:before="120" w:after="120"/>
              <w:jc w:val="both"/>
              <w:rPr>
                <w:noProof/>
              </w:rPr>
            </w:pPr>
            <w:r w:rsidRPr="008322B5">
              <w:t>2.</w:t>
            </w:r>
            <w:r w:rsidRPr="008322B5">
              <w:tab/>
              <w:t>Maintien d</w:t>
            </w:r>
            <w:r w:rsidR="009B42BE">
              <w:t>’</w:t>
            </w:r>
            <w:r w:rsidRPr="008322B5">
              <w:t xml:space="preserve">un haut niveau de formation </w:t>
            </w:r>
          </w:p>
          <w:p w:rsidR="00846A7D" w:rsidRPr="008322B5" w:rsidRDefault="00846A7D" w:rsidP="008B2658">
            <w:pPr>
              <w:pStyle w:val="formtext"/>
              <w:spacing w:before="120" w:after="120"/>
              <w:jc w:val="both"/>
              <w:rPr>
                <w:noProof/>
              </w:rPr>
            </w:pPr>
            <w:r w:rsidRPr="008322B5">
              <w:t>La formation des meuniers volontaires exige une attention constante. Le gouvernement national, par l</w:t>
            </w:r>
            <w:r w:rsidR="009B42BE">
              <w:t>’</w:t>
            </w:r>
            <w:r w:rsidRPr="008322B5">
              <w:t>intermédiaire de l</w:t>
            </w:r>
            <w:r w:rsidR="009B42BE">
              <w:t>’</w:t>
            </w:r>
            <w:r w:rsidRPr="008322B5">
              <w:t>Agence du patrimoine culturel (ministère de l</w:t>
            </w:r>
            <w:r w:rsidR="009B42BE">
              <w:t>’éducation, de la culture et des s</w:t>
            </w:r>
            <w:r w:rsidRPr="008322B5">
              <w:t>ciences) versera un financement à long terme afin de maintenir la qual</w:t>
            </w:r>
            <w:r w:rsidR="003E11A3" w:rsidRPr="008322B5">
              <w:t>ité des outils d</w:t>
            </w:r>
            <w:r w:rsidR="009B42BE">
              <w:t>’</w:t>
            </w:r>
            <w:r w:rsidR="003E11A3" w:rsidRPr="008322B5">
              <w:t>enseignement.</w:t>
            </w:r>
          </w:p>
          <w:p w:rsidR="00846A7D" w:rsidRPr="008322B5" w:rsidRDefault="00846A7D" w:rsidP="008B2658">
            <w:pPr>
              <w:pStyle w:val="formtext"/>
              <w:spacing w:before="120" w:after="120"/>
              <w:jc w:val="both"/>
              <w:rPr>
                <w:noProof/>
              </w:rPr>
            </w:pPr>
            <w:r w:rsidRPr="008322B5">
              <w:t>3.</w:t>
            </w:r>
            <w:r w:rsidRPr="008322B5">
              <w:tab/>
              <w:t xml:space="preserve">Éducation culturelle dans les écoles </w:t>
            </w:r>
          </w:p>
          <w:p w:rsidR="00846A7D" w:rsidRPr="008322B5" w:rsidRDefault="00846A7D" w:rsidP="008B2658">
            <w:pPr>
              <w:pStyle w:val="formtext"/>
              <w:spacing w:before="120" w:after="120"/>
              <w:jc w:val="both"/>
              <w:rPr>
                <w:noProof/>
              </w:rPr>
            </w:pPr>
            <w:r w:rsidRPr="008322B5">
              <w:t>Le site Internet www.moleneducatief.nl sert déjà de source d</w:t>
            </w:r>
            <w:r w:rsidR="009B42BE">
              <w:t>’</w:t>
            </w:r>
            <w:r w:rsidRPr="008322B5">
              <w:t>expertise et d</w:t>
            </w:r>
            <w:r w:rsidR="009B42BE">
              <w:t>’</w:t>
            </w:r>
            <w:r w:rsidRPr="008322B5">
              <w:t>informations pour les établissements et les enseignants du primaire, du secondaire ou de l</w:t>
            </w:r>
            <w:r w:rsidR="009B42BE">
              <w:t>’</w:t>
            </w:r>
            <w:r w:rsidRPr="008322B5">
              <w:t>enseignement professionnel. Les établissements scolaires seront spécifiquement invités à intégrer des cours sur les moulins et les savoir-faire du meunier dans leur programme, dans des matières telles que l</w:t>
            </w:r>
            <w:r w:rsidR="009B42BE">
              <w:t>’</w:t>
            </w:r>
            <w:r w:rsidRPr="008322B5">
              <w:t>histoire, la géographie ou la technologie, ou dans des cours sur le développement durable. Les guildes tâcheront de collaborer avec les instituts locaux et provinciaux du patrimoine (comme les musées) afin d</w:t>
            </w:r>
            <w:r w:rsidR="009B42BE">
              <w:t>’</w:t>
            </w:r>
            <w:r w:rsidRPr="008322B5">
              <w:t xml:space="preserve">élaborer des programmes scolaires spécifiques </w:t>
            </w:r>
            <w:r w:rsidR="00A522AC" w:rsidRPr="008322B5">
              <w:t>en matière d</w:t>
            </w:r>
            <w:r w:rsidR="009B42BE">
              <w:t>’</w:t>
            </w:r>
            <w:r w:rsidRPr="008322B5">
              <w:t>éducation culturelle. Il est important d</w:t>
            </w:r>
            <w:r w:rsidR="009B42BE">
              <w:t>’</w:t>
            </w:r>
            <w:r w:rsidRPr="008322B5">
              <w:t>encourager les visites des moulins locaux et de proposer des stages dans le cadre de l</w:t>
            </w:r>
            <w:r w:rsidR="009B42BE">
              <w:t>’</w:t>
            </w:r>
            <w:r w:rsidRPr="008322B5">
              <w:t>enseignement et de la formation professionnelle (qui pourraient faciliter le recrutement de nouveaux apprentis pour la formation des meuniers volontaires). Par ailleurs, des initiatives devraient bientôt permettre aux jeunes qui n</w:t>
            </w:r>
            <w:r w:rsidR="009B42BE">
              <w:t>’</w:t>
            </w:r>
            <w:r w:rsidRPr="008322B5">
              <w:t>ont pas encore l</w:t>
            </w:r>
            <w:r w:rsidR="009B42BE">
              <w:t>’</w:t>
            </w:r>
            <w:r w:rsidRPr="008322B5">
              <w:t>âge de suivre la formation d</w:t>
            </w:r>
            <w:r w:rsidR="009B42BE">
              <w:t>’</w:t>
            </w:r>
            <w:r w:rsidRPr="008322B5">
              <w:t xml:space="preserve">effectuer des tâches simples dans les moulins. Des ressources sont également en préparation pour les meuniers eux-mêmes, afin </w:t>
            </w:r>
            <w:r w:rsidR="00A522AC" w:rsidRPr="008322B5">
              <w:t>qu</w:t>
            </w:r>
            <w:r w:rsidR="009B42BE">
              <w:t>’</w:t>
            </w:r>
            <w:r w:rsidR="00A522AC" w:rsidRPr="008322B5">
              <w:t>ils aient des</w:t>
            </w:r>
            <w:r w:rsidRPr="008322B5">
              <w:t xml:space="preserve"> éléments pour organiser des excursions, donner des conférences et promouvoir leurs savoir-faire. Le site Internet sera prochainement remanié et il est prévu </w:t>
            </w:r>
            <w:r w:rsidR="00A522AC" w:rsidRPr="008322B5">
              <w:t>de développer</w:t>
            </w:r>
            <w:r w:rsidRPr="008322B5">
              <w:t xml:space="preserve"> des programmes éducatifs pour les jeunes. </w:t>
            </w:r>
          </w:p>
          <w:p w:rsidR="00846A7D" w:rsidRPr="008322B5" w:rsidRDefault="00846A7D" w:rsidP="008B2658">
            <w:pPr>
              <w:pStyle w:val="formtext"/>
              <w:spacing w:before="120" w:after="120"/>
              <w:jc w:val="both"/>
              <w:rPr>
                <w:noProof/>
              </w:rPr>
            </w:pPr>
            <w:r w:rsidRPr="008322B5">
              <w:t>4.</w:t>
            </w:r>
            <w:r w:rsidRPr="008322B5">
              <w:tab/>
              <w:t xml:space="preserve">Promotion auprès du grand public </w:t>
            </w:r>
          </w:p>
          <w:p w:rsidR="00846A7D" w:rsidRPr="008322B5" w:rsidRDefault="00846A7D" w:rsidP="008B2658">
            <w:pPr>
              <w:pStyle w:val="formtext"/>
              <w:spacing w:before="120" w:after="120"/>
              <w:jc w:val="both"/>
              <w:rPr>
                <w:noProof/>
              </w:rPr>
            </w:pPr>
            <w:r w:rsidRPr="008322B5">
              <w:t>Les activités de promotion ont plus d</w:t>
            </w:r>
            <w:r w:rsidR="009B42BE">
              <w:t>’</w:t>
            </w:r>
            <w:r w:rsidRPr="008322B5">
              <w:t>effet lorsqu</w:t>
            </w:r>
            <w:r w:rsidR="009B42BE">
              <w:t>’</w:t>
            </w:r>
            <w:r w:rsidRPr="008322B5">
              <w:t>elles sont menées à l</w:t>
            </w:r>
            <w:r w:rsidR="009B42BE">
              <w:t>’</w:t>
            </w:r>
            <w:r w:rsidRPr="008322B5">
              <w:t>échelle locale et par les meuniers eux-mêmes. Dans ce contexte, l</w:t>
            </w:r>
            <w:r w:rsidR="009B42BE">
              <w:t>’</w:t>
            </w:r>
            <w:r w:rsidRPr="008322B5">
              <w:t>une des priorités est de faire participer les communautés des villages situés à proximité des moulins. Lorsqu</w:t>
            </w:r>
            <w:r w:rsidR="009B42BE">
              <w:t>’</w:t>
            </w:r>
            <w:r w:rsidRPr="008322B5">
              <w:t>ils sont hôtes/hôtesses, les meuniers volontaires transmettent leur passion aux visiteurs. La formation des meuniers volontaires accordera une plus grande attention à cet aspect et des ateliers, des démonstrations et des cours magistraux seront proposés à l</w:t>
            </w:r>
            <w:r w:rsidR="009B42BE">
              <w:t>’</w:t>
            </w:r>
            <w:r w:rsidRPr="008322B5">
              <w:t>occasion de conférences organisées pour les meuniers. Les organisations entendent collaborer plus étroitement afin de recruter de nouveaux membres. Elles préparent actuellement ensemble des outils de promotion, des films, des brochures et des prospectus. La Journée nationale des moulins est un bon moyen d</w:t>
            </w:r>
            <w:r w:rsidR="009B42BE">
              <w:t>’</w:t>
            </w:r>
            <w:r w:rsidRPr="008322B5">
              <w:t>attirer l</w:t>
            </w:r>
            <w:r w:rsidR="009B42BE">
              <w:t>’</w:t>
            </w:r>
            <w:r w:rsidRPr="008322B5">
              <w:t xml:space="preserve">attention sur les moulins </w:t>
            </w:r>
            <w:r w:rsidR="00A522AC" w:rsidRPr="008322B5">
              <w:t>et les savoir-faire du meunier, tout comme l</w:t>
            </w:r>
            <w:r w:rsidRPr="008322B5">
              <w:t>es Journées régionales des moulins, organisées avec</w:t>
            </w:r>
            <w:r w:rsidR="00A522AC" w:rsidRPr="008322B5">
              <w:t xml:space="preserve"> l</w:t>
            </w:r>
            <w:r w:rsidR="009B42BE">
              <w:t>’</w:t>
            </w:r>
            <w:r w:rsidR="00A522AC" w:rsidRPr="008322B5">
              <w:t>aide de la loterie BankGiro.</w:t>
            </w:r>
          </w:p>
          <w:p w:rsidR="00846A7D" w:rsidRPr="008322B5" w:rsidRDefault="00846A7D" w:rsidP="008B2658">
            <w:pPr>
              <w:pStyle w:val="formtext"/>
              <w:spacing w:before="120" w:after="120"/>
              <w:jc w:val="both"/>
              <w:rPr>
                <w:noProof/>
              </w:rPr>
            </w:pPr>
            <w:r w:rsidRPr="008322B5">
              <w:t>5. Éventuelles conséquences imprévues de l</w:t>
            </w:r>
            <w:r w:rsidR="009B42BE">
              <w:t>’</w:t>
            </w:r>
            <w:r w:rsidRPr="008322B5">
              <w:t>inscription</w:t>
            </w:r>
          </w:p>
          <w:p w:rsidR="00846A7D" w:rsidRPr="008322B5" w:rsidRDefault="00846A7D" w:rsidP="008B2658">
            <w:pPr>
              <w:pStyle w:val="formtext"/>
              <w:spacing w:before="120" w:after="120"/>
              <w:jc w:val="both"/>
              <w:rPr>
                <w:noProof/>
              </w:rPr>
            </w:pPr>
            <w:r w:rsidRPr="008322B5">
              <w:t>L</w:t>
            </w:r>
            <w:r w:rsidR="009B42BE">
              <w:t>’</w:t>
            </w:r>
            <w:r w:rsidRPr="008322B5">
              <w:t>inscription du métier de meunier sur la Liste représentative permettra aux meuniers de s</w:t>
            </w:r>
            <w:r w:rsidR="009B42BE">
              <w:t>’</w:t>
            </w:r>
            <w:r w:rsidRPr="008322B5">
              <w:t>intéresser davantage à l</w:t>
            </w:r>
            <w:r w:rsidR="009B42BE">
              <w:t>’</w:t>
            </w:r>
            <w:r w:rsidRPr="008322B5">
              <w:t>aspect immatériel du patrimoine culturel. Les guildes prévoient une possible augmentation du nombre de visiteurs après l</w:t>
            </w:r>
            <w:r w:rsidR="009B42BE">
              <w:t>’</w:t>
            </w:r>
            <w:r w:rsidRPr="008322B5">
              <w:t>inscription à l</w:t>
            </w:r>
            <w:r w:rsidR="009B42BE">
              <w:t>’</w:t>
            </w:r>
            <w:r w:rsidRPr="008322B5">
              <w:t>UNESCO et fourniront à leurs membres des informations sur la sécurité et la gestion des visiteurs à l</w:t>
            </w:r>
            <w:r w:rsidR="009B42BE">
              <w:t>’</w:t>
            </w:r>
            <w:r w:rsidRPr="008322B5">
              <w:t xml:space="preserve">occasion des Journées régionales et nationales des moulins. </w:t>
            </w:r>
          </w:p>
          <w:p w:rsidR="00846A7D" w:rsidRPr="008322B5" w:rsidRDefault="00846A7D" w:rsidP="008B2658">
            <w:pPr>
              <w:pStyle w:val="formtext"/>
              <w:spacing w:before="120" w:after="120"/>
              <w:jc w:val="both"/>
              <w:rPr>
                <w:noProof/>
              </w:rPr>
            </w:pPr>
            <w:r w:rsidRPr="008322B5">
              <w:t>6.</w:t>
            </w:r>
            <w:r w:rsidRPr="008322B5">
              <w:tab/>
              <w:t xml:space="preserve">Relation entre patrimoine culturel matériel et immatériel </w:t>
            </w:r>
          </w:p>
          <w:p w:rsidR="00846A7D" w:rsidRPr="008322B5" w:rsidRDefault="00846A7D" w:rsidP="008B2658">
            <w:pPr>
              <w:pStyle w:val="formtext"/>
              <w:spacing w:before="120" w:after="0"/>
              <w:jc w:val="both"/>
            </w:pPr>
            <w:r w:rsidRPr="008322B5">
              <w:t>L</w:t>
            </w:r>
            <w:r w:rsidR="009B42BE">
              <w:t>’</w:t>
            </w:r>
            <w:r w:rsidRPr="008322B5">
              <w:t>objectif est de collaborer le plus étroitement possible avec les propriétaires de moulins, les fondations et, dans certains cas, les autorités municipales. Il ne faut pas oublier que sauvegarder les moulins implique de les maintenir en fonctionnement. La Société des moulins néerlandais propose des conditions d</w:t>
            </w:r>
            <w:r w:rsidR="009B42BE">
              <w:t>’</w:t>
            </w:r>
            <w:r w:rsidRPr="008322B5">
              <w:t xml:space="preserve">adhésion spéciales pour les propriétaires de moulins et organise chaque </w:t>
            </w:r>
            <w:r w:rsidRPr="008322B5">
              <w:lastRenderedPageBreak/>
              <w:t>année une journée de rencontre à leur intention afin de les informer et de les conseiller sur la gestion de leurs moulins et la collaboration avec les volontaires qui les exploitent.</w:t>
            </w:r>
          </w:p>
        </w:tc>
      </w:tr>
      <w:tr w:rsidR="00846A7D" w:rsidRPr="008322B5" w:rsidTr="007B4F22">
        <w:tc>
          <w:tcPr>
            <w:tcW w:w="9639" w:type="dxa"/>
            <w:tcBorders>
              <w:top w:val="nil"/>
              <w:left w:val="nil"/>
              <w:bottom w:val="single" w:sz="4" w:space="0" w:color="auto"/>
              <w:right w:val="nil"/>
            </w:tcBorders>
            <w:shd w:val="clear" w:color="auto" w:fill="auto"/>
          </w:tcPr>
          <w:p w:rsidR="00846A7D" w:rsidRPr="008322B5" w:rsidRDefault="00846A7D" w:rsidP="009B42BE">
            <w:pPr>
              <w:pStyle w:val="Info03"/>
              <w:numPr>
                <w:ilvl w:val="0"/>
                <w:numId w:val="37"/>
              </w:numPr>
              <w:spacing w:before="120" w:after="0" w:line="240" w:lineRule="auto"/>
              <w:ind w:left="567" w:right="136" w:hanging="454"/>
              <w:rPr>
                <w:rFonts w:eastAsia="SimSun"/>
                <w:sz w:val="18"/>
                <w:szCs w:val="18"/>
              </w:rPr>
            </w:pPr>
            <w:r w:rsidRPr="008322B5">
              <w:rPr>
                <w:sz w:val="18"/>
              </w:rPr>
              <w:lastRenderedPageBreak/>
              <w:t>Comment les États parties concernés soutiendront-ils la mise en œuvre des mesures de sauvegarde proposées ?</w:t>
            </w:r>
          </w:p>
          <w:p w:rsidR="00846A7D" w:rsidRPr="008322B5" w:rsidRDefault="00846A7D" w:rsidP="009B42BE">
            <w:pPr>
              <w:pStyle w:val="Default"/>
              <w:keepNext/>
              <w:widowControl/>
              <w:autoSpaceDE/>
              <w:autoSpaceDN/>
              <w:adjustRightInd/>
              <w:spacing w:before="120" w:after="120"/>
              <w:ind w:left="567" w:right="136" w:hanging="425"/>
              <w:jc w:val="right"/>
              <w:rPr>
                <w:rFonts w:ascii="Arial" w:hAnsi="Arial" w:cs="Arial"/>
                <w:i/>
                <w:sz w:val="18"/>
                <w:szCs w:val="18"/>
              </w:rPr>
            </w:pPr>
            <w:r w:rsidRPr="008322B5">
              <w:rPr>
                <w:rStyle w:val="Emphasis"/>
                <w:rFonts w:ascii="Arial" w:hAnsi="Arial"/>
                <w:sz w:val="18"/>
              </w:rPr>
              <w:t>Minimum 170 mots et maximum 280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120"/>
              <w:jc w:val="both"/>
              <w:rPr>
                <w:noProof/>
              </w:rPr>
            </w:pPr>
            <w:r w:rsidRPr="008322B5">
              <w:t>L</w:t>
            </w:r>
            <w:r w:rsidR="009B42BE">
              <w:t>’</w:t>
            </w:r>
            <w:r w:rsidRPr="008322B5">
              <w:t xml:space="preserve">Agence du patrimoine culturel et le Centre néerlandais du patrimoine culturel immatériel soutiendront les organisations de meuniers dans </w:t>
            </w:r>
            <w:r w:rsidR="00A522AC" w:rsidRPr="008322B5">
              <w:t>l</w:t>
            </w:r>
            <w:r w:rsidR="009B42BE">
              <w:t>’</w:t>
            </w:r>
            <w:r w:rsidR="00A522AC" w:rsidRPr="008322B5">
              <w:t>application</w:t>
            </w:r>
            <w:r w:rsidRPr="008322B5">
              <w:t xml:space="preserve"> des mesures de sauvegarde proposées dans ce dossier de candidature à travers un plan d</w:t>
            </w:r>
            <w:r w:rsidR="009B42BE">
              <w:t>’</w:t>
            </w:r>
            <w:r w:rsidRPr="008322B5">
              <w:t>action concret. Ils se chargeront également de suivre ce processus. L</w:t>
            </w:r>
            <w:r w:rsidR="009B42BE">
              <w:t>’</w:t>
            </w:r>
            <w:r w:rsidRPr="008322B5">
              <w:t xml:space="preserve">Agence et le Centre aideront les organisations du secteur </w:t>
            </w:r>
            <w:r w:rsidR="00A522AC" w:rsidRPr="008322B5">
              <w:t xml:space="preserve">meunier </w:t>
            </w:r>
            <w:r w:rsidRPr="008322B5">
              <w:t>à organiser des « journées de l</w:t>
            </w:r>
            <w:r w:rsidR="009B42BE">
              <w:t>’</w:t>
            </w:r>
            <w:r w:rsidRPr="008322B5">
              <w:t>inspiration » sur des thèmes spécifiques, tels que la promotion ou l</w:t>
            </w:r>
            <w:r w:rsidR="009B42BE">
              <w:t>’</w:t>
            </w:r>
            <w:r w:rsidRPr="008322B5">
              <w:t>éducation.</w:t>
            </w:r>
          </w:p>
          <w:p w:rsidR="00846A7D" w:rsidRPr="008322B5" w:rsidRDefault="00846A7D" w:rsidP="008B2658">
            <w:pPr>
              <w:pStyle w:val="formtext"/>
              <w:spacing w:before="120" w:after="0"/>
              <w:jc w:val="both"/>
            </w:pPr>
            <w:r w:rsidRPr="008322B5">
              <w:t>Les Pays-Bas entendent collaborer avec d</w:t>
            </w:r>
            <w:r w:rsidR="009B42BE">
              <w:t>’</w:t>
            </w:r>
            <w:r w:rsidRPr="008322B5">
              <w:t>autres pays afin de développer un réseau international d</w:t>
            </w:r>
            <w:r w:rsidR="009B42BE">
              <w:t>’</w:t>
            </w:r>
            <w:r w:rsidRPr="008322B5">
              <w:t>organisations de meuniers et de promouvoir l</w:t>
            </w:r>
            <w:r w:rsidR="009B42BE">
              <w:t>’</w:t>
            </w:r>
            <w:r w:rsidRPr="008322B5">
              <w:t>échange international de connaissances. Les guildes sont déjà en contact avec des sociétés allemandes, britanniques, danoises, belges et françaises de ce secteur, mais il n</w:t>
            </w:r>
            <w:r w:rsidR="009B42BE">
              <w:t>’</w:t>
            </w:r>
            <w:r w:rsidRPr="008322B5">
              <w:t>existe pas, pour le moment, de structure internationale. L</w:t>
            </w:r>
            <w:r w:rsidR="009B42BE">
              <w:t>’</w:t>
            </w:r>
            <w:r w:rsidRPr="008322B5">
              <w:t>Agence du patrimoine culturel et le Centre néerlandais du patrimoine culturel immatériel examineront le travail des sociétés et des fondations qui œuvrent pour le maintien des moulins et des savoir-faire du meunier dans d</w:t>
            </w:r>
            <w:r w:rsidR="009B42BE">
              <w:t>’</w:t>
            </w:r>
            <w:r w:rsidRPr="008322B5">
              <w:t>autres pays ainsi que les mesures de sauvegarde qui y sont mises en œuvre. L</w:t>
            </w:r>
            <w:r w:rsidR="009B42BE">
              <w:t>’</w:t>
            </w:r>
            <w:r w:rsidRPr="008322B5">
              <w:t>Agence et le Centre collaboreront avec les guildes et la Société des moulins néerlandais afin d</w:t>
            </w:r>
            <w:r w:rsidR="009B42BE">
              <w:t>’</w:t>
            </w:r>
            <w:r w:rsidRPr="008322B5">
              <w:t>organiser en 2020 une conférence internationale de plusieurs jours à laquelle seront conviées des sociétés de meuniers du monde entier qui s</w:t>
            </w:r>
            <w:r w:rsidR="009B42BE">
              <w:t>’</w:t>
            </w:r>
            <w:r w:rsidRPr="008322B5">
              <w:t xml:space="preserve">efforcent de sauvegarder les moulins et le patrimoine culturel immatériel qui y est associé. Les Pays-Bas </w:t>
            </w:r>
            <w:r w:rsidR="00F519F8" w:rsidRPr="008322B5">
              <w:t>s</w:t>
            </w:r>
            <w:r w:rsidR="009B42BE">
              <w:t>’</w:t>
            </w:r>
            <w:r w:rsidR="00F519F8" w:rsidRPr="008322B5">
              <w:t>intéresseront</w:t>
            </w:r>
            <w:r w:rsidRPr="008322B5">
              <w:t xml:space="preserve"> spécifiquement </w:t>
            </w:r>
            <w:r w:rsidR="00F519F8" w:rsidRPr="008322B5">
              <w:t>a</w:t>
            </w:r>
            <w:r w:rsidRPr="008322B5">
              <w:t xml:space="preserve">u travail avec les volontaires </w:t>
            </w:r>
            <w:r w:rsidR="00F519F8" w:rsidRPr="008322B5">
              <w:t>afin de</w:t>
            </w:r>
            <w:r w:rsidRPr="008322B5">
              <w:t xml:space="preserve"> préserver les savoir-faire du meunier et </w:t>
            </w:r>
            <w:r w:rsidR="00F519F8" w:rsidRPr="008322B5">
              <w:t>à</w:t>
            </w:r>
            <w:r w:rsidRPr="008322B5">
              <w:t xml:space="preserve"> la relation entre patrimoine culturel matériel et immatériel.</w:t>
            </w:r>
          </w:p>
        </w:tc>
      </w:tr>
      <w:tr w:rsidR="00846A7D" w:rsidRPr="008322B5" w:rsidTr="007B4F22">
        <w:tc>
          <w:tcPr>
            <w:tcW w:w="9639" w:type="dxa"/>
            <w:tcBorders>
              <w:top w:val="nil"/>
              <w:left w:val="nil"/>
              <w:bottom w:val="single" w:sz="4" w:space="0" w:color="auto"/>
              <w:right w:val="nil"/>
            </w:tcBorders>
            <w:shd w:val="clear" w:color="auto" w:fill="auto"/>
          </w:tcPr>
          <w:p w:rsidR="00846A7D" w:rsidRPr="008322B5" w:rsidRDefault="00846A7D" w:rsidP="009B42BE">
            <w:pPr>
              <w:pStyle w:val="Info03"/>
              <w:numPr>
                <w:ilvl w:val="0"/>
                <w:numId w:val="37"/>
              </w:numPr>
              <w:spacing w:before="120" w:after="0" w:line="240" w:lineRule="auto"/>
              <w:ind w:left="567" w:right="136" w:hanging="454"/>
              <w:rPr>
                <w:rFonts w:eastAsia="SimSun"/>
                <w:sz w:val="18"/>
                <w:szCs w:val="18"/>
              </w:rPr>
            </w:pPr>
            <w:r w:rsidRPr="008322B5">
              <w:rPr>
                <w:sz w:val="18"/>
              </w:rPr>
              <w:t>Comment les communautés, groupes ou individus ont-ils été impliqués dans la planification des mesures de sauvegarde proposées, y compris en terme de rôle du genre, et comment seront-ils impliqués dans leur mise en œuvre ?</w:t>
            </w:r>
          </w:p>
          <w:p w:rsidR="00846A7D" w:rsidRPr="008322B5" w:rsidRDefault="00846A7D" w:rsidP="009B42BE">
            <w:pPr>
              <w:pStyle w:val="Default"/>
              <w:keepNext/>
              <w:widowControl/>
              <w:autoSpaceDE/>
              <w:autoSpaceDN/>
              <w:adjustRightInd/>
              <w:spacing w:after="120"/>
              <w:ind w:left="567" w:right="136" w:hanging="425"/>
              <w:jc w:val="right"/>
              <w:rPr>
                <w:rFonts w:ascii="Arial" w:hAnsi="Arial" w:cs="Arial"/>
                <w:i/>
                <w:sz w:val="18"/>
                <w:szCs w:val="18"/>
              </w:rPr>
            </w:pPr>
            <w:r w:rsidRPr="008322B5">
              <w:rPr>
                <w:rStyle w:val="Emphasis"/>
                <w:rFonts w:ascii="Arial" w:hAnsi="Arial"/>
                <w:sz w:val="18"/>
              </w:rPr>
              <w:t>Minimum 170 mots et maximum 280 mots</w:t>
            </w:r>
          </w:p>
        </w:tc>
      </w:tr>
      <w:tr w:rsidR="00846A7D" w:rsidRPr="008322B5" w:rsidTr="007B4F22">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0" w:line="240" w:lineRule="auto"/>
              <w:jc w:val="both"/>
            </w:pPr>
            <w:r w:rsidRPr="008322B5">
              <w:t xml:space="preserve">Les principaux acteurs de la sauvegarde des savoir-faire du meunier sont les meuniers eux-mêmes et leurs organisations : la Guilde des meuniers volontaires, la Guilde des meuniers frisons et (pour les meuniers professionnels) la Guilde des meuniers traditionnels. La Société des moulins néerlandais a pour objectif de maintenir en fonctionnement les moulins à vent et les moulins à eau du pays. Ces quatre organisations ont participé à la planification et à la mise en œuvre des mesures de sauvegarde proposées. Elles ont en fait joué un rôle de premier plan, comme cela </w:t>
            </w:r>
            <w:r w:rsidR="00F519F8" w:rsidRPr="008322B5">
              <w:t>apparaît</w:t>
            </w:r>
            <w:r w:rsidRPr="008322B5">
              <w:t xml:space="preserve"> clairement dans le présent formulaire de candidature. </w:t>
            </w:r>
            <w:r w:rsidR="00F519F8" w:rsidRPr="008322B5">
              <w:t>C</w:t>
            </w:r>
            <w:r w:rsidRPr="008322B5">
              <w:t>es quatre organisations ont également soutenu la candidature des savoir-faire du meunier à l</w:t>
            </w:r>
            <w:r w:rsidR="009B42BE">
              <w:t>’</w:t>
            </w:r>
            <w:r w:rsidRPr="008322B5">
              <w:t>Inventaire national du patrimoine culturel immatériel des Pays-Bas et ont donné leur consentement libre, préalable et éclairé à cette candidature internationale, en créant pour cela un groupe de travail spécial composé de représentants. Ces associations communautaires ont donc joué un rôle important dans la conception et la planification des mesures de sauvegarde et se partagent aussi la responsabilité de leur mise en œuvre.</w:t>
            </w:r>
          </w:p>
        </w:tc>
      </w:tr>
      <w:tr w:rsidR="00846A7D" w:rsidRPr="008322B5" w:rsidTr="007B4F22">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846A7D" w:rsidRPr="008322B5" w:rsidRDefault="00846A7D" w:rsidP="007B4F22">
            <w:pPr>
              <w:pStyle w:val="Grille02N"/>
              <w:ind w:left="709" w:right="136" w:hanging="567"/>
              <w:jc w:val="left"/>
              <w:rPr>
                <w:i/>
                <w:iCs/>
              </w:rPr>
            </w:pPr>
            <w:r w:rsidRPr="008322B5">
              <w:t>3.c.</w:t>
            </w:r>
            <w:r w:rsidRPr="008322B5">
              <w:tab/>
              <w:t>Organisme(s) compétent(s) impliqué(s) dans la sauvegarde</w:t>
            </w:r>
          </w:p>
          <w:p w:rsidR="00846A7D" w:rsidRPr="008322B5" w:rsidRDefault="00846A7D" w:rsidP="007B4F22">
            <w:pPr>
              <w:pStyle w:val="Info03"/>
              <w:spacing w:before="120" w:line="240" w:lineRule="auto"/>
              <w:ind w:right="135"/>
              <w:rPr>
                <w:sz w:val="18"/>
                <w:szCs w:val="18"/>
              </w:rPr>
            </w:pPr>
            <w:r w:rsidRPr="008322B5">
              <w:rPr>
                <w:sz w:val="18"/>
              </w:rPr>
              <w:t>Indiquez le nom, l</w:t>
            </w:r>
            <w:r w:rsidR="009B42BE">
              <w:rPr>
                <w:sz w:val="18"/>
              </w:rPr>
              <w:t>’</w:t>
            </w:r>
            <w:r w:rsidRPr="008322B5">
              <w:rPr>
                <w:sz w:val="18"/>
              </w:rPr>
              <w:t>adresse et les coordonnées de/des organisme(s) compétent(s), et le cas échéant, le nom et le titre de la (des) personne(s) qui est/sont chargée(s) au niveau local de la gestion et de la sauvegarde de l</w:t>
            </w:r>
            <w:r w:rsidR="009B42BE">
              <w:rPr>
                <w:sz w:val="18"/>
              </w:rPr>
              <w:t>’</w:t>
            </w:r>
            <w:r w:rsidRPr="008322B5">
              <w:rPr>
                <w:sz w:val="18"/>
              </w:rPr>
              <w:t>élément.</w:t>
            </w:r>
          </w:p>
        </w:tc>
      </w:tr>
      <w:tr w:rsidR="00846A7D" w:rsidRPr="008322B5" w:rsidTr="007B4F22">
        <w:tblPrEx>
          <w:tblBorders>
            <w:insideV w:val="none" w:sz="0" w:space="0" w:color="auto"/>
          </w:tblBorders>
        </w:tblPrEx>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3573"/>
              <w:gridCol w:w="5820"/>
            </w:tblGrid>
            <w:tr w:rsidR="00846A7D" w:rsidRPr="00603F68" w:rsidTr="009B42BE">
              <w:tc>
                <w:tcPr>
                  <w:tcW w:w="3573" w:type="dxa"/>
                </w:tcPr>
                <w:p w:rsidR="00846A7D" w:rsidRPr="008322B5" w:rsidRDefault="00846A7D" w:rsidP="009B42BE">
                  <w:pPr>
                    <w:pStyle w:val="formtext"/>
                    <w:tabs>
                      <w:tab w:val="left" w:pos="567"/>
                      <w:tab w:val="left" w:pos="1134"/>
                      <w:tab w:val="left" w:pos="1701"/>
                    </w:tabs>
                    <w:spacing w:line="240" w:lineRule="auto"/>
                    <w:ind w:right="136"/>
                    <w:jc w:val="right"/>
                    <w:rPr>
                      <w:sz w:val="20"/>
                      <w:szCs w:val="20"/>
                    </w:rPr>
                  </w:pPr>
                  <w:r w:rsidRPr="008322B5">
                    <w:rPr>
                      <w:sz w:val="20"/>
                    </w:rPr>
                    <w:t>Nom de l</w:t>
                  </w:r>
                  <w:r w:rsidR="009B42BE">
                    <w:rPr>
                      <w:sz w:val="20"/>
                    </w:rPr>
                    <w:t>’</w:t>
                  </w:r>
                  <w:r w:rsidRPr="008322B5">
                    <w:rPr>
                      <w:sz w:val="20"/>
                    </w:rPr>
                    <w:t>organisme :</w:t>
                  </w:r>
                </w:p>
              </w:tc>
              <w:tc>
                <w:tcPr>
                  <w:tcW w:w="5820" w:type="dxa"/>
                </w:tcPr>
                <w:p w:rsidR="00846A7D" w:rsidRPr="008322B5" w:rsidRDefault="00846A7D" w:rsidP="009B42BE">
                  <w:pPr>
                    <w:spacing w:before="80"/>
                    <w:rPr>
                      <w:sz w:val="22"/>
                      <w:szCs w:val="22"/>
                      <w:lang w:val="en-US"/>
                    </w:rPr>
                  </w:pPr>
                  <w:r w:rsidRPr="008322B5">
                    <w:rPr>
                      <w:sz w:val="22"/>
                      <w:lang w:val="en-US"/>
                    </w:rPr>
                    <w:t>Dutch Centre for Intangible Cultural Heritage</w:t>
                  </w:r>
                </w:p>
              </w:tc>
            </w:tr>
            <w:tr w:rsidR="00846A7D" w:rsidRPr="008322B5" w:rsidTr="009B42BE">
              <w:tc>
                <w:tcPr>
                  <w:tcW w:w="3573" w:type="dxa"/>
                </w:tcPr>
                <w:p w:rsidR="00846A7D" w:rsidRPr="008322B5" w:rsidRDefault="00846A7D" w:rsidP="009B42BE">
                  <w:pPr>
                    <w:pStyle w:val="formtext"/>
                    <w:tabs>
                      <w:tab w:val="left" w:pos="567"/>
                      <w:tab w:val="left" w:pos="1134"/>
                      <w:tab w:val="left" w:pos="1701"/>
                    </w:tabs>
                    <w:spacing w:line="240" w:lineRule="auto"/>
                    <w:ind w:right="136"/>
                    <w:jc w:val="right"/>
                    <w:rPr>
                      <w:sz w:val="20"/>
                      <w:szCs w:val="20"/>
                    </w:rPr>
                  </w:pPr>
                  <w:r w:rsidRPr="008322B5">
                    <w:rPr>
                      <w:sz w:val="20"/>
                    </w:rPr>
                    <w:t>Nom et titre de la personne à contacter :</w:t>
                  </w:r>
                </w:p>
              </w:tc>
              <w:tc>
                <w:tcPr>
                  <w:tcW w:w="5820" w:type="dxa"/>
                </w:tcPr>
                <w:p w:rsidR="00846A7D" w:rsidRPr="008322B5" w:rsidRDefault="00846A7D" w:rsidP="009B42BE">
                  <w:pPr>
                    <w:spacing w:before="80"/>
                    <w:rPr>
                      <w:sz w:val="22"/>
                      <w:szCs w:val="22"/>
                    </w:rPr>
                  </w:pPr>
                  <w:r w:rsidRPr="008322B5">
                    <w:rPr>
                      <w:sz w:val="22"/>
                    </w:rPr>
                    <w:t>Albert van der Zeijden</w:t>
                  </w:r>
                </w:p>
              </w:tc>
            </w:tr>
            <w:tr w:rsidR="00846A7D" w:rsidRPr="008322B5" w:rsidTr="009B42BE">
              <w:tc>
                <w:tcPr>
                  <w:tcW w:w="3573" w:type="dxa"/>
                </w:tcPr>
                <w:p w:rsidR="00846A7D" w:rsidRPr="008322B5" w:rsidRDefault="00846A7D" w:rsidP="009B42BE">
                  <w:pPr>
                    <w:pStyle w:val="formtext"/>
                    <w:tabs>
                      <w:tab w:val="left" w:pos="567"/>
                      <w:tab w:val="left" w:pos="1134"/>
                      <w:tab w:val="left" w:pos="1701"/>
                    </w:tabs>
                    <w:spacing w:line="240" w:lineRule="auto"/>
                    <w:ind w:right="136"/>
                    <w:jc w:val="right"/>
                    <w:rPr>
                      <w:sz w:val="20"/>
                      <w:szCs w:val="20"/>
                    </w:rPr>
                  </w:pPr>
                  <w:r w:rsidRPr="008322B5">
                    <w:rPr>
                      <w:sz w:val="20"/>
                    </w:rPr>
                    <w:t>Adresse :</w:t>
                  </w:r>
                </w:p>
              </w:tc>
              <w:tc>
                <w:tcPr>
                  <w:tcW w:w="5820" w:type="dxa"/>
                </w:tcPr>
                <w:p w:rsidR="00846A7D" w:rsidRPr="008322B5" w:rsidRDefault="00846A7D" w:rsidP="009B42BE">
                  <w:pPr>
                    <w:spacing w:before="80"/>
                    <w:rPr>
                      <w:sz w:val="22"/>
                      <w:szCs w:val="22"/>
                    </w:rPr>
                  </w:pPr>
                  <w:r w:rsidRPr="008322B5">
                    <w:rPr>
                      <w:sz w:val="22"/>
                    </w:rPr>
                    <w:t xml:space="preserve">Multatulilaan 12; 4103 NM Culemborg; The Netherlands </w:t>
                  </w:r>
                </w:p>
              </w:tc>
            </w:tr>
            <w:tr w:rsidR="00846A7D" w:rsidRPr="008322B5" w:rsidTr="009B42BE">
              <w:tc>
                <w:tcPr>
                  <w:tcW w:w="3573" w:type="dxa"/>
                </w:tcPr>
                <w:p w:rsidR="00846A7D" w:rsidRPr="008322B5" w:rsidRDefault="00846A7D" w:rsidP="009B42BE">
                  <w:pPr>
                    <w:pStyle w:val="formtext"/>
                    <w:tabs>
                      <w:tab w:val="left" w:pos="567"/>
                      <w:tab w:val="left" w:pos="1134"/>
                      <w:tab w:val="left" w:pos="1701"/>
                    </w:tabs>
                    <w:spacing w:line="240" w:lineRule="auto"/>
                    <w:ind w:right="136"/>
                    <w:jc w:val="right"/>
                    <w:rPr>
                      <w:sz w:val="20"/>
                      <w:szCs w:val="20"/>
                    </w:rPr>
                  </w:pPr>
                  <w:r w:rsidRPr="008322B5">
                    <w:rPr>
                      <w:sz w:val="20"/>
                    </w:rPr>
                    <w:t>Numéro de téléphone :</w:t>
                  </w:r>
                </w:p>
              </w:tc>
              <w:tc>
                <w:tcPr>
                  <w:tcW w:w="5820" w:type="dxa"/>
                </w:tcPr>
                <w:p w:rsidR="00846A7D" w:rsidRPr="008322B5" w:rsidRDefault="00846A7D" w:rsidP="009B42BE">
                  <w:pPr>
                    <w:spacing w:before="80"/>
                    <w:rPr>
                      <w:sz w:val="22"/>
                      <w:szCs w:val="22"/>
                    </w:rPr>
                  </w:pPr>
                  <w:r w:rsidRPr="008322B5">
                    <w:rPr>
                      <w:sz w:val="22"/>
                    </w:rPr>
                    <w:t>00 31 30 2760244</w:t>
                  </w:r>
                </w:p>
              </w:tc>
            </w:tr>
            <w:tr w:rsidR="00846A7D" w:rsidRPr="008322B5" w:rsidTr="009B42BE">
              <w:tc>
                <w:tcPr>
                  <w:tcW w:w="3573" w:type="dxa"/>
                </w:tcPr>
                <w:p w:rsidR="00846A7D" w:rsidRPr="008322B5" w:rsidRDefault="00846A7D" w:rsidP="009B42BE">
                  <w:pPr>
                    <w:pStyle w:val="formtext"/>
                    <w:tabs>
                      <w:tab w:val="left" w:pos="567"/>
                      <w:tab w:val="left" w:pos="1134"/>
                      <w:tab w:val="left" w:pos="1701"/>
                    </w:tabs>
                    <w:spacing w:line="240" w:lineRule="auto"/>
                    <w:ind w:right="136"/>
                    <w:jc w:val="right"/>
                    <w:rPr>
                      <w:sz w:val="20"/>
                      <w:szCs w:val="20"/>
                    </w:rPr>
                  </w:pPr>
                  <w:r w:rsidRPr="008322B5">
                    <w:rPr>
                      <w:sz w:val="20"/>
                    </w:rPr>
                    <w:t>Adresse électronique :</w:t>
                  </w:r>
                </w:p>
              </w:tc>
              <w:tc>
                <w:tcPr>
                  <w:tcW w:w="5820" w:type="dxa"/>
                </w:tcPr>
                <w:p w:rsidR="00846A7D" w:rsidRPr="008322B5" w:rsidRDefault="00846A7D" w:rsidP="00A42C35">
                  <w:pPr>
                    <w:spacing w:before="120"/>
                    <w:rPr>
                      <w:sz w:val="22"/>
                      <w:szCs w:val="22"/>
                    </w:rPr>
                  </w:pPr>
                  <w:r w:rsidRPr="008322B5">
                    <w:rPr>
                      <w:sz w:val="22"/>
                    </w:rPr>
                    <w:t>info@immaterieelerfgoed. nl</w:t>
                  </w:r>
                </w:p>
              </w:tc>
            </w:tr>
            <w:tr w:rsidR="00846A7D" w:rsidRPr="008322B5" w:rsidTr="009B42BE">
              <w:tc>
                <w:tcPr>
                  <w:tcW w:w="3573" w:type="dxa"/>
                </w:tcPr>
                <w:p w:rsidR="00846A7D" w:rsidRPr="008322B5" w:rsidRDefault="00846A7D" w:rsidP="009B42BE">
                  <w:pPr>
                    <w:pStyle w:val="formtext"/>
                    <w:tabs>
                      <w:tab w:val="left" w:pos="567"/>
                      <w:tab w:val="left" w:pos="1134"/>
                      <w:tab w:val="left" w:pos="1701"/>
                    </w:tabs>
                    <w:spacing w:after="0" w:line="240" w:lineRule="auto"/>
                    <w:ind w:right="136"/>
                    <w:jc w:val="right"/>
                    <w:rPr>
                      <w:sz w:val="20"/>
                      <w:szCs w:val="20"/>
                    </w:rPr>
                  </w:pPr>
                  <w:r w:rsidRPr="008322B5">
                    <w:rPr>
                      <w:sz w:val="20"/>
                    </w:rPr>
                    <w:t>Autres informations pertinentes :</w:t>
                  </w:r>
                </w:p>
              </w:tc>
              <w:tc>
                <w:tcPr>
                  <w:tcW w:w="5820" w:type="dxa"/>
                </w:tcPr>
                <w:p w:rsidR="00846A7D" w:rsidRPr="008322B5" w:rsidRDefault="00846A7D" w:rsidP="00A42C35">
                  <w:pPr>
                    <w:spacing w:before="120"/>
                    <w:rPr>
                      <w:sz w:val="22"/>
                      <w:szCs w:val="22"/>
                    </w:rPr>
                  </w:pPr>
                  <w:r w:rsidRPr="008322B5">
                    <w:rPr>
                      <w:sz w:val="22"/>
                    </w:rPr>
                    <w:t>www.immaterieelerfgoed.nl</w:t>
                  </w:r>
                </w:p>
              </w:tc>
            </w:tr>
          </w:tbl>
          <w:p w:rsidR="00846A7D" w:rsidRPr="008322B5" w:rsidRDefault="00846A7D" w:rsidP="007B4F22">
            <w:pPr>
              <w:pStyle w:val="formtext"/>
              <w:tabs>
                <w:tab w:val="left" w:pos="567"/>
                <w:tab w:val="left" w:pos="1134"/>
                <w:tab w:val="left" w:pos="1701"/>
              </w:tabs>
              <w:spacing w:before="120" w:after="120" w:line="240" w:lineRule="auto"/>
              <w:ind w:right="135"/>
            </w:pPr>
          </w:p>
        </w:tc>
      </w:tr>
      <w:tr w:rsidR="00846A7D" w:rsidRPr="008322B5" w:rsidTr="007B4F22">
        <w:tc>
          <w:tcPr>
            <w:tcW w:w="9639" w:type="dxa"/>
            <w:tcBorders>
              <w:top w:val="nil"/>
              <w:left w:val="nil"/>
              <w:bottom w:val="nil"/>
              <w:right w:val="nil"/>
            </w:tcBorders>
            <w:shd w:val="clear" w:color="auto" w:fill="D9D9D9"/>
          </w:tcPr>
          <w:p w:rsidR="00846A7D" w:rsidRPr="008322B5" w:rsidRDefault="00846A7D" w:rsidP="009B42BE">
            <w:pPr>
              <w:pStyle w:val="Grille01N"/>
              <w:spacing w:line="240" w:lineRule="auto"/>
              <w:ind w:left="709" w:right="136" w:hanging="567"/>
              <w:jc w:val="left"/>
              <w:rPr>
                <w:rFonts w:eastAsia="SimSun" w:cs="Arial"/>
                <w:bCs/>
                <w:smallCaps w:val="0"/>
                <w:sz w:val="24"/>
              </w:rPr>
            </w:pPr>
            <w:r w:rsidRPr="008322B5">
              <w:rPr>
                <w:smallCaps w:val="0"/>
                <w:sz w:val="24"/>
              </w:rPr>
              <w:lastRenderedPageBreak/>
              <w:t>4.</w:t>
            </w:r>
            <w:r w:rsidRPr="008322B5">
              <w:tab/>
            </w:r>
            <w:r w:rsidRPr="008322B5">
              <w:rPr>
                <w:smallCaps w:val="0"/>
                <w:sz w:val="24"/>
              </w:rPr>
              <w:t>Participation et consentement des communautés dans le processus de candidature</w:t>
            </w:r>
          </w:p>
        </w:tc>
      </w:tr>
      <w:tr w:rsidR="00846A7D" w:rsidRPr="008322B5" w:rsidTr="007B4F22">
        <w:tc>
          <w:tcPr>
            <w:tcW w:w="9639" w:type="dxa"/>
            <w:tcBorders>
              <w:top w:val="nil"/>
              <w:left w:val="nil"/>
              <w:bottom w:val="nil"/>
              <w:right w:val="nil"/>
            </w:tcBorders>
            <w:shd w:val="clear" w:color="auto" w:fill="auto"/>
          </w:tcPr>
          <w:p w:rsidR="00846A7D" w:rsidRPr="008322B5" w:rsidRDefault="00846A7D" w:rsidP="007B4F22">
            <w:pPr>
              <w:pStyle w:val="Info03"/>
              <w:spacing w:before="120" w:line="240" w:lineRule="auto"/>
              <w:ind w:right="135"/>
              <w:rPr>
                <w:szCs w:val="20"/>
              </w:rPr>
            </w:pPr>
            <w:r w:rsidRPr="008322B5">
              <w:rPr>
                <w:sz w:val="18"/>
              </w:rPr>
              <w:t xml:space="preserve">Pour le </w:t>
            </w:r>
            <w:r w:rsidRPr="008322B5">
              <w:rPr>
                <w:b/>
                <w:sz w:val="18"/>
              </w:rPr>
              <w:t>critère R.4</w:t>
            </w:r>
            <w:r w:rsidRPr="008322B5">
              <w:rPr>
                <w:sz w:val="18"/>
              </w:rPr>
              <w:t xml:space="preserve">, les États </w:t>
            </w:r>
            <w:r w:rsidRPr="008322B5">
              <w:rPr>
                <w:b/>
                <w:sz w:val="18"/>
              </w:rPr>
              <w:t>doivent démontrer que « l</w:t>
            </w:r>
            <w:r w:rsidR="009B42BE">
              <w:rPr>
                <w:b/>
                <w:sz w:val="18"/>
              </w:rPr>
              <w:t>’</w:t>
            </w:r>
            <w:r w:rsidRPr="008322B5">
              <w:rPr>
                <w:b/>
                <w:sz w:val="18"/>
              </w:rPr>
              <w:t>élément a été soumis au terme de la participation la plus large possible de la communauté, du groupe ou, le cas échéant, des individus concernés et avec leur consentement libre, préalable et éclairé »</w:t>
            </w:r>
            <w:r w:rsidRPr="008322B5">
              <w:rPr>
                <w:sz w:val="18"/>
              </w:rPr>
              <w:t>.</w:t>
            </w:r>
          </w:p>
        </w:tc>
      </w:tr>
      <w:tr w:rsidR="00846A7D" w:rsidRPr="008322B5" w:rsidTr="007B4F22">
        <w:tc>
          <w:tcPr>
            <w:tcW w:w="9639" w:type="dxa"/>
            <w:tcBorders>
              <w:top w:val="nil"/>
              <w:left w:val="nil"/>
              <w:right w:val="nil"/>
            </w:tcBorders>
            <w:shd w:val="clear" w:color="auto" w:fill="auto"/>
          </w:tcPr>
          <w:p w:rsidR="00846A7D" w:rsidRPr="008322B5" w:rsidRDefault="00846A7D" w:rsidP="007B4F22">
            <w:pPr>
              <w:pStyle w:val="Grille02N"/>
              <w:ind w:left="709" w:right="135" w:hanging="567"/>
              <w:jc w:val="left"/>
            </w:pPr>
            <w:r w:rsidRPr="008322B5">
              <w:t>4.a.</w:t>
            </w:r>
            <w:r w:rsidRPr="008322B5">
              <w:tab/>
              <w:t>Participation des communautés, groupes et individus concernés dans le processus de candidature</w:t>
            </w:r>
          </w:p>
          <w:p w:rsidR="00846A7D" w:rsidRPr="008322B5" w:rsidRDefault="00846A7D" w:rsidP="007B4F22">
            <w:pPr>
              <w:pStyle w:val="Info03"/>
              <w:spacing w:before="120" w:line="240" w:lineRule="auto"/>
              <w:ind w:right="135"/>
              <w:rPr>
                <w:rFonts w:eastAsia="SimSun"/>
                <w:sz w:val="18"/>
                <w:szCs w:val="18"/>
              </w:rPr>
            </w:pPr>
            <w:r w:rsidRPr="008322B5">
              <w:rPr>
                <w:sz w:val="18"/>
              </w:rPr>
              <w:t>Décrivez comment la communauté, le groupe et, le cas échéant, les individus concernés ont participé activement à la préparation et à l</w:t>
            </w:r>
            <w:r w:rsidR="009B42BE">
              <w:rPr>
                <w:sz w:val="18"/>
              </w:rPr>
              <w:t>’</w:t>
            </w:r>
            <w:r w:rsidRPr="008322B5">
              <w:rPr>
                <w:sz w:val="18"/>
              </w:rPr>
              <w:t>élaboration de la candidature à toutes les étapes, y compris le rôle du genre.</w:t>
            </w:r>
          </w:p>
          <w:p w:rsidR="00846A7D" w:rsidRPr="008322B5" w:rsidRDefault="00846A7D" w:rsidP="007B4F22">
            <w:pPr>
              <w:pStyle w:val="Info03"/>
              <w:spacing w:before="120" w:after="0" w:line="240" w:lineRule="auto"/>
              <w:ind w:right="136"/>
              <w:rPr>
                <w:rFonts w:eastAsia="SimSun"/>
                <w:sz w:val="18"/>
                <w:szCs w:val="18"/>
              </w:rPr>
            </w:pPr>
            <w:r w:rsidRPr="008322B5">
              <w:rPr>
                <w:sz w:val="18"/>
              </w:rPr>
              <w:t>Les États parties sont encouragés à préparer les candidatures avec la participation de nombreuses autres parties concernées, notamment, s</w:t>
            </w:r>
            <w:r w:rsidR="009B42BE">
              <w:rPr>
                <w:sz w:val="18"/>
              </w:rPr>
              <w:t>’</w:t>
            </w:r>
            <w:r w:rsidRPr="008322B5">
              <w:rPr>
                <w:sz w:val="18"/>
              </w:rPr>
              <w:t>il y a lieu, les collectivités locales et régionales, les communautés, les ONG, les instituts de recherche, les centres d</w:t>
            </w:r>
            <w:r w:rsidR="009B42BE">
              <w:rPr>
                <w:sz w:val="18"/>
              </w:rPr>
              <w:t>’</w:t>
            </w:r>
            <w:r w:rsidRPr="008322B5">
              <w:rPr>
                <w:sz w:val="18"/>
              </w:rPr>
              <w:t>expertise et autres. Il est rappelé aux États parties que les communautés, groupes et, le cas échéant, les individus dont le patrimoine culturel immatériel est concerné sont des acteurs essentiels dans toutes les étapes de la conception et de l</w:t>
            </w:r>
            <w:r w:rsidR="009B42BE">
              <w:rPr>
                <w:sz w:val="18"/>
              </w:rPr>
              <w:t>’</w:t>
            </w:r>
            <w:r w:rsidRPr="008322B5">
              <w:rPr>
                <w:sz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9B42BE">
              <w:rPr>
                <w:sz w:val="18"/>
              </w:rPr>
              <w:t>’</w:t>
            </w:r>
            <w:r w:rsidRPr="008322B5">
              <w:rPr>
                <w:sz w:val="18"/>
              </w:rPr>
              <w:t>article 15 de la Convention.</w:t>
            </w:r>
          </w:p>
          <w:p w:rsidR="00846A7D" w:rsidRPr="008322B5" w:rsidRDefault="00846A7D" w:rsidP="007B4F22">
            <w:pPr>
              <w:pStyle w:val="Info03"/>
              <w:tabs>
                <w:tab w:val="clear" w:pos="567"/>
              </w:tabs>
              <w:spacing w:line="240" w:lineRule="auto"/>
              <w:ind w:left="794" w:right="136"/>
              <w:jc w:val="right"/>
              <w:rPr>
                <w:i w:val="0"/>
                <w:sz w:val="18"/>
                <w:szCs w:val="18"/>
              </w:rPr>
            </w:pPr>
            <w:r w:rsidRPr="008322B5">
              <w:rPr>
                <w:rStyle w:val="Emphasis"/>
                <w:i/>
                <w:color w:val="000000"/>
                <w:sz w:val="18"/>
              </w:rPr>
              <w:t>Minimum 340 mots et maximum 570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120"/>
              <w:jc w:val="both"/>
              <w:rPr>
                <w:noProof/>
              </w:rPr>
            </w:pPr>
            <w:r w:rsidRPr="008322B5">
              <w:t>Les meuniers et d</w:t>
            </w:r>
            <w:r w:rsidR="009B42BE">
              <w:t>’</w:t>
            </w:r>
            <w:r w:rsidRPr="008322B5">
              <w:t>autres parties concernées par les savoir-faire du meunier ont participé au processus de candidature dès le début. Dès qu</w:t>
            </w:r>
            <w:r w:rsidR="009B42BE">
              <w:t>’</w:t>
            </w:r>
            <w:r w:rsidRPr="008322B5">
              <w:t>il a été sûr que le gouvernement néerlandais souhaitait présenter la candidature des savoir-faire du meunier pour inscription sur la Liste représentative de l</w:t>
            </w:r>
            <w:r w:rsidR="009B42BE">
              <w:t>’</w:t>
            </w:r>
            <w:r w:rsidRPr="008322B5">
              <w:t>UNESCO, les associations communautaires en ont été informées et ont été invitées à donner leur consentement. Les quatre organisations qui avaient présenté la candidature des savoir-faire du meunier à la liste nationale du patrimoine culturel immatériel des Pays-Bas en 2013 ont participé à la rédaction de cette candidature internationale et ont donné leur consentement libre, préalable et éclairé. Il s</w:t>
            </w:r>
            <w:r w:rsidR="009B42BE">
              <w:t>’</w:t>
            </w:r>
            <w:r w:rsidRPr="008322B5">
              <w:t>agit des trois guildes (associations communautaires de meuniers) et de la Société des moulins néerlandais, qui s</w:t>
            </w:r>
            <w:r w:rsidR="009B42BE">
              <w:t>’</w:t>
            </w:r>
            <w:r w:rsidRPr="008322B5">
              <w:t>efforcent de sauvegarder les moulins et les savoir-faire du meunier aux Pays-Bas. La Guilde des meuniers volontaires, la Guilde des meuniers frisons, la Guilde des meuniers traditionnels et la Société des moulins néerlandais ont tou</w:t>
            </w:r>
            <w:r w:rsidR="00F519F8" w:rsidRPr="008322B5">
              <w:t>te</w:t>
            </w:r>
            <w:r w:rsidRPr="008322B5">
              <w:t>s délégué des me</w:t>
            </w:r>
            <w:r w:rsidR="00F519F8" w:rsidRPr="008322B5">
              <w:t>mbres à destination d</w:t>
            </w:r>
            <w:r w:rsidRPr="008322B5">
              <w:t>u groupe de travail qui a préparé cette candidature internationale. Les guildes et la Société des moulins néerlandais ont participé au choix des photographies et à la réalisation du film, et ont également suggéré les personnes à interviewer pour le film. Elles ont tenu leurs membres informés de l</w:t>
            </w:r>
            <w:r w:rsidR="009B42BE">
              <w:t>’</w:t>
            </w:r>
            <w:r w:rsidRPr="008322B5">
              <w:t>avancé</w:t>
            </w:r>
            <w:r w:rsidR="00F519F8" w:rsidRPr="008322B5">
              <w:t>e du processus de candidature.</w:t>
            </w:r>
          </w:p>
          <w:p w:rsidR="00846A7D" w:rsidRPr="008322B5" w:rsidRDefault="00846A7D" w:rsidP="008B2658">
            <w:pPr>
              <w:pStyle w:val="formtext"/>
              <w:spacing w:before="120" w:after="120"/>
              <w:jc w:val="both"/>
              <w:rPr>
                <w:noProof/>
              </w:rPr>
            </w:pPr>
            <w:r w:rsidRPr="008322B5">
              <w:t>Le Centre néerlandais du patrimoine culturel immatériel a supervisé la candidature. Il accomplit des tâches liées à la Convention de l</w:t>
            </w:r>
            <w:r w:rsidR="009B42BE">
              <w:t>’</w:t>
            </w:r>
            <w:r w:rsidRPr="008322B5">
              <w:t>UNESCO pour la sauvegarde du patrimoine culturel immatériel et aide les communautés à sauvegarder leur patrimoine culturel. Ce Centre coordonne également l</w:t>
            </w:r>
            <w:r w:rsidR="009B42BE">
              <w:t>’</w:t>
            </w:r>
            <w:r w:rsidRPr="008322B5">
              <w:t>Inventaire national du patrimoine culturel immatériel des Pays-Bas et fait office de centre d</w:t>
            </w:r>
            <w:r w:rsidR="009B42BE">
              <w:t>’</w:t>
            </w:r>
            <w:r w:rsidRPr="008322B5">
              <w:t>expertise en matière de patrimoine culturel immatériel. L</w:t>
            </w:r>
            <w:r w:rsidR="009B42BE">
              <w:t>’</w:t>
            </w:r>
            <w:r w:rsidRPr="008322B5">
              <w:t>Agence du patrimoine culturel et le ministère néerlandais de l</w:t>
            </w:r>
            <w:r w:rsidR="009B42BE">
              <w:t>’éducation, de la culture et des s</w:t>
            </w:r>
            <w:r w:rsidRPr="008322B5">
              <w:t>ciences étaient également représentés dans le groupe de travail. L</w:t>
            </w:r>
            <w:r w:rsidR="009B42BE">
              <w:t>’</w:t>
            </w:r>
            <w:r w:rsidRPr="008322B5">
              <w:t>Agence du patrimoine culturel est rattachée au ministère néerlandais de l</w:t>
            </w:r>
            <w:r w:rsidR="009B42BE">
              <w:t>’éducation, de la culture et des s</w:t>
            </w:r>
            <w:r w:rsidRPr="008322B5">
              <w:t>ciences et est sous l</w:t>
            </w:r>
            <w:r w:rsidR="009B42BE">
              <w:t>’</w:t>
            </w:r>
            <w:r w:rsidRPr="008322B5">
              <w:t>autorité directe du ministre. Elle est chargée d</w:t>
            </w:r>
            <w:r w:rsidR="009B42BE">
              <w:t>’</w:t>
            </w:r>
            <w:r w:rsidRPr="008322B5">
              <w:t xml:space="preserve">appliquer la législation et les politiques relatives au patrimoine qui sont rédigées en coopération avec le ministère. </w:t>
            </w:r>
          </w:p>
          <w:p w:rsidR="00846A7D" w:rsidRPr="008322B5" w:rsidRDefault="00846A7D" w:rsidP="009B42BE">
            <w:pPr>
              <w:pStyle w:val="formtext"/>
              <w:spacing w:before="120" w:after="0" w:line="240" w:lineRule="auto"/>
              <w:jc w:val="both"/>
            </w:pPr>
            <w:r w:rsidRPr="008322B5">
              <w:t>Le groupe de travail était composé de dix personnes, dont trois femmes.</w:t>
            </w:r>
          </w:p>
        </w:tc>
      </w:tr>
      <w:tr w:rsidR="00846A7D" w:rsidRPr="008322B5" w:rsidTr="007B4F22">
        <w:tc>
          <w:tcPr>
            <w:tcW w:w="9639" w:type="dxa"/>
            <w:tcBorders>
              <w:top w:val="nil"/>
              <w:left w:val="nil"/>
              <w:right w:val="nil"/>
            </w:tcBorders>
            <w:shd w:val="clear" w:color="auto" w:fill="auto"/>
          </w:tcPr>
          <w:p w:rsidR="00846A7D" w:rsidRPr="008322B5" w:rsidRDefault="00846A7D" w:rsidP="009B42BE">
            <w:pPr>
              <w:pStyle w:val="Grille02N"/>
              <w:keepNext w:val="0"/>
              <w:ind w:left="709" w:right="136" w:hanging="567"/>
              <w:jc w:val="left"/>
            </w:pPr>
            <w:r w:rsidRPr="008322B5">
              <w:t>4.b.</w:t>
            </w:r>
            <w:r w:rsidRPr="008322B5">
              <w:tab/>
              <w:t>Consentement libre, préalable et éclairé à la candidature</w:t>
            </w:r>
          </w:p>
          <w:p w:rsidR="00846A7D" w:rsidRPr="008322B5" w:rsidRDefault="00846A7D" w:rsidP="007B4F22">
            <w:pPr>
              <w:pStyle w:val="Info03"/>
              <w:spacing w:before="120" w:line="240" w:lineRule="auto"/>
              <w:ind w:right="135"/>
              <w:rPr>
                <w:rFonts w:eastAsia="SimSun"/>
                <w:sz w:val="18"/>
                <w:szCs w:val="18"/>
              </w:rPr>
            </w:pPr>
            <w:r w:rsidRPr="008322B5">
              <w:rPr>
                <w:sz w:val="18"/>
              </w:rPr>
              <w:t>Le consentement libre, préalable et éclairé de la communauté, du groupe ou, le cas échéant, des individus concernés par la proposition de l</w:t>
            </w:r>
            <w:r w:rsidR="009B42BE">
              <w:rPr>
                <w:sz w:val="18"/>
              </w:rPr>
              <w:t>’</w:t>
            </w:r>
            <w:r w:rsidRPr="008322B5">
              <w:rPr>
                <w:sz w:val="18"/>
              </w:rPr>
              <w:t>élément pour inscription peut être démontré par une déclaration écrite ou enregistrée, ou par tout autre moyen, selon le régime juridique de l</w:t>
            </w:r>
            <w:r w:rsidR="009B42BE">
              <w:rPr>
                <w:sz w:val="18"/>
              </w:rPr>
              <w:t>’</w:t>
            </w:r>
            <w:r w:rsidRPr="008322B5">
              <w:rPr>
                <w:sz w:val="18"/>
              </w:rPr>
              <w:t>État partie et l</w:t>
            </w:r>
            <w:r w:rsidR="009B42BE">
              <w:rPr>
                <w:sz w:val="18"/>
              </w:rPr>
              <w:t>’</w:t>
            </w:r>
            <w:r w:rsidRPr="008322B5">
              <w:rPr>
                <w:sz w:val="18"/>
              </w:rPr>
              <w:t>infinie variété des communautés et groupes concernés. Le Comité accueillera favorablement une diversité de manifestations ou d</w:t>
            </w:r>
            <w:r w:rsidR="009B42BE">
              <w:rPr>
                <w:sz w:val="18"/>
              </w:rPr>
              <w:t>’</w:t>
            </w:r>
            <w:r w:rsidRPr="008322B5">
              <w:rPr>
                <w:sz w:val="18"/>
              </w:rPr>
              <w:t>attestations de consentement des communautés au lieu de déclarations standard et uniformes. Les preuves du consentement libre, préalable et éclairé doivent être fournies dans l</w:t>
            </w:r>
            <w:r w:rsidR="009B42BE">
              <w:rPr>
                <w:sz w:val="18"/>
              </w:rPr>
              <w:t>’</w:t>
            </w:r>
            <w:r w:rsidRPr="008322B5">
              <w:rPr>
                <w:sz w:val="18"/>
              </w:rPr>
              <w:t>une des langues de travail du Comité (anglais ou français), ainsi que dans la langue de la communauté concernée si ses membres parlent des langues différentes de l</w:t>
            </w:r>
            <w:r w:rsidR="009B42BE">
              <w:rPr>
                <w:sz w:val="18"/>
              </w:rPr>
              <w:t>’</w:t>
            </w:r>
            <w:r w:rsidRPr="008322B5">
              <w:rPr>
                <w:sz w:val="18"/>
              </w:rPr>
              <w:t>anglais ou du français.</w:t>
            </w:r>
          </w:p>
          <w:p w:rsidR="00846A7D" w:rsidRPr="008322B5" w:rsidRDefault="00846A7D" w:rsidP="007B4F22">
            <w:pPr>
              <w:pStyle w:val="Info03"/>
              <w:keepNext w:val="0"/>
              <w:spacing w:before="120" w:after="0" w:line="240" w:lineRule="auto"/>
              <w:ind w:right="136"/>
              <w:rPr>
                <w:rFonts w:eastAsia="SimSun"/>
                <w:sz w:val="18"/>
                <w:szCs w:val="18"/>
              </w:rPr>
            </w:pPr>
            <w:r w:rsidRPr="008322B5">
              <w:rPr>
                <w:sz w:val="18"/>
              </w:rPr>
              <w:t>Joignez au formulaire de candidature les informations faisant état d</w:t>
            </w:r>
            <w:r w:rsidR="009B42BE">
              <w:rPr>
                <w:sz w:val="18"/>
              </w:rPr>
              <w:t>’</w:t>
            </w:r>
            <w:r w:rsidRPr="008322B5">
              <w:rPr>
                <w:sz w:val="18"/>
              </w:rPr>
              <w:t>un tel consentement en indiquant ci-dessous quels documents vous fournissez, comment ils ont été obtenus et quelles formes ils revêtent. Indiquez aussi le genre des personnes donnant leur consentement.</w:t>
            </w:r>
          </w:p>
          <w:p w:rsidR="00846A7D" w:rsidRPr="008322B5" w:rsidRDefault="00846A7D" w:rsidP="009B42BE">
            <w:pPr>
              <w:pStyle w:val="Info03"/>
              <w:spacing w:line="240" w:lineRule="auto"/>
              <w:ind w:right="136"/>
              <w:jc w:val="right"/>
            </w:pPr>
            <w:r w:rsidRPr="008322B5">
              <w:rPr>
                <w:rStyle w:val="Emphasis"/>
                <w:i/>
                <w:color w:val="000000"/>
                <w:sz w:val="18"/>
              </w:rPr>
              <w:t>Minimum 170 mots et maximum 280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Rponse"/>
              <w:keepNext/>
              <w:keepLines/>
              <w:spacing w:before="0" w:after="0"/>
            </w:pPr>
            <w:r w:rsidRPr="008322B5">
              <w:lastRenderedPageBreak/>
              <w:t>Les organisations de meuniers ont toutes été directement impliquées dans la préparation de cette candidature pour l</w:t>
            </w:r>
            <w:r w:rsidR="009B42BE">
              <w:t>’</w:t>
            </w:r>
            <w:r w:rsidRPr="008322B5">
              <w:t>UNESCO et ont donné leur consentement libre, préalable et éclairé au moyen de lettres envoyées par voie électronique. Les six premières émanent de représentants de la Guilde des meuniers volontaires, de la Guilde des meuniers frisons, de la Guilde des meuniers traditionnels et de la Société des moulins néerlandais, qui ont participé au groupe de travail qui a préparé cette candidature internationale. Les conseils de ces organisations ont informé leurs membres au sujet de la candidature. Les neuf autres lettres témoignent d</w:t>
            </w:r>
            <w:r w:rsidR="009B42BE">
              <w:t>’</w:t>
            </w:r>
            <w:r w:rsidRPr="008322B5">
              <w:t>une implication plus large de communautés et de groupes divers qui ressentent une affinité avec les savoir-faire du meunier. Ces lettres proviennent de tout le pays et concernent des meuniers qui travaillent dans des moulins de tout type, à titre volontaire ou professionnel, et des personnes liées à cette activité d</w:t>
            </w:r>
            <w:r w:rsidR="009B42BE">
              <w:t>’</w:t>
            </w:r>
            <w:r w:rsidRPr="008322B5">
              <w:t>une quelque autre manière, notamment comme apprentis meuniers, meuniers-instructeurs et hôtesses dans des moulins. Ces lettres de consentement des communautés ont été collectées par les quatre organisations de meuniers citées plus haut. Elles sont au nombre de quinze, dont cinq écrites par des femmes.</w:t>
            </w:r>
          </w:p>
        </w:tc>
      </w:tr>
      <w:tr w:rsidR="00846A7D" w:rsidRPr="008322B5" w:rsidTr="007B4F22">
        <w:trPr>
          <w:trHeight w:val="709"/>
        </w:trPr>
        <w:tc>
          <w:tcPr>
            <w:tcW w:w="9639" w:type="dxa"/>
            <w:tcBorders>
              <w:top w:val="nil"/>
              <w:left w:val="nil"/>
              <w:right w:val="nil"/>
            </w:tcBorders>
            <w:shd w:val="clear" w:color="auto" w:fill="auto"/>
          </w:tcPr>
          <w:p w:rsidR="00846A7D" w:rsidRPr="008322B5" w:rsidRDefault="00846A7D" w:rsidP="007B4F22">
            <w:pPr>
              <w:pStyle w:val="Grille02N"/>
              <w:ind w:left="709" w:right="136" w:hanging="567"/>
              <w:jc w:val="left"/>
            </w:pPr>
            <w:r w:rsidRPr="008322B5">
              <w:t>4.c.</w:t>
            </w:r>
            <w:r w:rsidRPr="008322B5">
              <w:tab/>
              <w:t>Respect des pratiques coutumières en matière d</w:t>
            </w:r>
            <w:r w:rsidR="009B42BE">
              <w:t>’</w:t>
            </w:r>
            <w:r w:rsidRPr="008322B5">
              <w:t>accès à l</w:t>
            </w:r>
            <w:r w:rsidR="009B42BE">
              <w:t>’</w:t>
            </w:r>
            <w:r w:rsidRPr="008322B5">
              <w:t>élément</w:t>
            </w:r>
          </w:p>
          <w:p w:rsidR="00846A7D" w:rsidRPr="008322B5" w:rsidRDefault="00846A7D" w:rsidP="007B4F22">
            <w:pPr>
              <w:pStyle w:val="Info03"/>
              <w:spacing w:before="120" w:line="240" w:lineRule="auto"/>
              <w:ind w:right="135"/>
              <w:rPr>
                <w:rFonts w:eastAsia="SimSun"/>
                <w:sz w:val="18"/>
                <w:szCs w:val="18"/>
              </w:rPr>
            </w:pPr>
            <w:r w:rsidRPr="008322B5">
              <w:rPr>
                <w:sz w:val="18"/>
              </w:rPr>
              <w:t>L</w:t>
            </w:r>
            <w:r w:rsidR="009B42BE">
              <w:rPr>
                <w:sz w:val="18"/>
              </w:rPr>
              <w:t>’</w:t>
            </w:r>
            <w:r w:rsidRPr="008322B5">
              <w:rPr>
                <w:sz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9B42BE">
              <w:rPr>
                <w:sz w:val="18"/>
              </w:rPr>
              <w:t>’</w:t>
            </w:r>
            <w:r w:rsidRPr="008322B5">
              <w:rPr>
                <w:sz w:val="18"/>
              </w:rPr>
              <w:t>inscription de l</w:t>
            </w:r>
            <w:r w:rsidR="009B42BE">
              <w:rPr>
                <w:sz w:val="18"/>
              </w:rPr>
              <w:t>’</w:t>
            </w:r>
            <w:r w:rsidRPr="008322B5">
              <w:rPr>
                <w:sz w:val="18"/>
              </w:rPr>
              <w:t>élément et la mise en œuvre des mesures de sauvegarde respecteraient pleinement de telles pratiques coutumières qui régissent l</w:t>
            </w:r>
            <w:r w:rsidR="009B42BE">
              <w:rPr>
                <w:sz w:val="18"/>
              </w:rPr>
              <w:t>’</w:t>
            </w:r>
            <w:r w:rsidRPr="008322B5">
              <w:rPr>
                <w:sz w:val="18"/>
              </w:rPr>
              <w:t>accès à des aspects spécifiques de ce patrimoine (cf. article 13 de la Convention). Décrivez toute mesure spécifique qui pourrait être nécessaire pour garantir ce respect.</w:t>
            </w:r>
          </w:p>
          <w:p w:rsidR="00846A7D" w:rsidRPr="008322B5" w:rsidRDefault="00846A7D" w:rsidP="007B4F22">
            <w:pPr>
              <w:pStyle w:val="Info03"/>
              <w:spacing w:before="120" w:after="0" w:line="240" w:lineRule="auto"/>
              <w:ind w:right="136"/>
              <w:rPr>
                <w:rFonts w:eastAsia="SimSun"/>
                <w:sz w:val="18"/>
                <w:szCs w:val="18"/>
              </w:rPr>
            </w:pPr>
            <w:r w:rsidRPr="008322B5">
              <w:rPr>
                <w:sz w:val="18"/>
              </w:rPr>
              <w:t>Si de telles pratiques n</w:t>
            </w:r>
            <w:r w:rsidR="009B42BE">
              <w:rPr>
                <w:sz w:val="18"/>
              </w:rPr>
              <w:t>’</w:t>
            </w:r>
            <w:r w:rsidRPr="008322B5">
              <w:rPr>
                <w:sz w:val="18"/>
              </w:rPr>
              <w:t>existent pas, veuillez fournir une déclaration claire de plus de 60 mots spécifiant qu</w:t>
            </w:r>
            <w:r w:rsidR="009B42BE">
              <w:rPr>
                <w:sz w:val="18"/>
              </w:rPr>
              <w:t>’</w:t>
            </w:r>
            <w:r w:rsidRPr="008322B5">
              <w:rPr>
                <w:sz w:val="18"/>
              </w:rPr>
              <w:t>il n</w:t>
            </w:r>
            <w:r w:rsidR="009B42BE">
              <w:rPr>
                <w:sz w:val="18"/>
              </w:rPr>
              <w:t>’</w:t>
            </w:r>
            <w:r w:rsidRPr="008322B5">
              <w:rPr>
                <w:sz w:val="18"/>
              </w:rPr>
              <w:t>y a pas de pratiques coutumières régissant l</w:t>
            </w:r>
            <w:r w:rsidR="009B42BE">
              <w:rPr>
                <w:sz w:val="18"/>
              </w:rPr>
              <w:t>’</w:t>
            </w:r>
            <w:r w:rsidRPr="008322B5">
              <w:rPr>
                <w:sz w:val="18"/>
              </w:rPr>
              <w:t>accès à cet élément.</w:t>
            </w:r>
          </w:p>
          <w:p w:rsidR="00846A7D" w:rsidRPr="008322B5" w:rsidRDefault="00846A7D" w:rsidP="009B42BE">
            <w:pPr>
              <w:pStyle w:val="Info03"/>
              <w:spacing w:line="240" w:lineRule="auto"/>
              <w:ind w:right="136"/>
              <w:jc w:val="right"/>
              <w:rPr>
                <w:i w:val="0"/>
                <w:sz w:val="18"/>
                <w:szCs w:val="18"/>
              </w:rPr>
            </w:pPr>
            <w:r w:rsidRPr="008322B5">
              <w:rPr>
                <w:rStyle w:val="Emphasis"/>
                <w:i/>
                <w:color w:val="000000"/>
                <w:sz w:val="18"/>
              </w:rPr>
              <w:t>Minimum 60 mots et maximum 280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0" w:line="240" w:lineRule="auto"/>
              <w:jc w:val="both"/>
              <w:rPr>
                <w:rFonts w:cs="Arial"/>
                <w:noProof/>
              </w:rPr>
            </w:pPr>
            <w:r w:rsidRPr="008322B5">
              <w:t>La formation aux savoir-faire du meunier est ouverte à tous, indépendamment de l</w:t>
            </w:r>
            <w:r w:rsidR="009B42BE">
              <w:t>’</w:t>
            </w:r>
            <w:r w:rsidRPr="008322B5">
              <w:t>origine ou du sexe de la personne. Il n</w:t>
            </w:r>
            <w:r w:rsidR="009B42BE">
              <w:t>’</w:t>
            </w:r>
            <w:r w:rsidRPr="008322B5">
              <w:t>existe donc pas de pratique coutumière susceptible d</w:t>
            </w:r>
            <w:r w:rsidR="009B42BE">
              <w:t>’</w:t>
            </w:r>
            <w:r w:rsidRPr="008322B5">
              <w:t>empêcher l</w:t>
            </w:r>
            <w:r w:rsidR="009B42BE">
              <w:t>’</w:t>
            </w:r>
            <w:r w:rsidRPr="008322B5">
              <w:t>accès à ces savoir-faire. C</w:t>
            </w:r>
            <w:r w:rsidR="009B42BE">
              <w:t>’</w:t>
            </w:r>
            <w:r w:rsidRPr="008322B5">
              <w:t>est également vrai pour les visiteurs et les personnes qui achètent les produits artisanaux, notamment de nombreuses personnes d</w:t>
            </w:r>
            <w:r w:rsidR="009B42BE">
              <w:t>’</w:t>
            </w:r>
            <w:r w:rsidRPr="008322B5">
              <w:t>origine turque, marocaine et érythréenne qui se rendent dans les moulins faute de trouver les produits artisanaux qu</w:t>
            </w:r>
            <w:r w:rsidR="009B42BE">
              <w:t>’</w:t>
            </w:r>
            <w:r w:rsidRPr="008322B5">
              <w:t>elles recherchent dans les magasins ordinaires. Cependant, parmi les pratiques coutumières qui régissent l</w:t>
            </w:r>
            <w:r w:rsidR="009B42BE">
              <w:t>’</w:t>
            </w:r>
            <w:r w:rsidRPr="008322B5">
              <w:t>accès à l</w:t>
            </w:r>
            <w:r w:rsidR="009B42BE">
              <w:t>’</w:t>
            </w:r>
            <w:r w:rsidRPr="008322B5">
              <w:t>élément, des règles de sécurité strictes doivent être respectées par tous ceux qui visitent les moulins ou qui y travaillent. Les écharpes ou les manteaux longs y sont par exemple interdits et les jeunes enfants doivent être accompagnés par un adulte (minimum un adulte pour cinq enfants. Certains meuniers exigent la présence d</w:t>
            </w:r>
            <w:r w:rsidR="009B42BE">
              <w:t>’</w:t>
            </w:r>
            <w:r w:rsidRPr="008322B5">
              <w:t>un adulte pour trois enfants, selon l</w:t>
            </w:r>
            <w:r w:rsidR="009B42BE">
              <w:t>’</w:t>
            </w:r>
            <w:r w:rsidRPr="008322B5">
              <w:t>âge des enfants). L</w:t>
            </w:r>
            <w:r w:rsidR="009B42BE">
              <w:t>’</w:t>
            </w:r>
            <w:r w:rsidRPr="008322B5">
              <w:t>accès à la partie haute du moulin est bloqué tant que ce dernier est en fonctionnement. Les parties rotatives du moulin sont délimitées par un grillage ou un filet afin de maintenir les visiteurs à bonne distance des voiles.</w:t>
            </w:r>
          </w:p>
        </w:tc>
      </w:tr>
      <w:tr w:rsidR="00846A7D" w:rsidRPr="008322B5" w:rsidTr="007B4F22">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846A7D" w:rsidRPr="008322B5" w:rsidRDefault="00846A7D" w:rsidP="007B4F22">
            <w:pPr>
              <w:pStyle w:val="Grille02N"/>
              <w:ind w:left="709" w:right="136" w:hanging="567"/>
              <w:jc w:val="left"/>
            </w:pPr>
            <w:r w:rsidRPr="008322B5">
              <w:t>4.d.</w:t>
            </w:r>
            <w:r w:rsidRPr="008322B5">
              <w:tab/>
              <w:t>Organisme(s) communautaire(s) ou représentant(s) des communautés concerné(s)</w:t>
            </w:r>
          </w:p>
          <w:p w:rsidR="00846A7D" w:rsidRPr="008322B5" w:rsidRDefault="00846A7D" w:rsidP="007B4F22">
            <w:pPr>
              <w:pStyle w:val="Info03"/>
              <w:spacing w:before="120" w:line="240" w:lineRule="auto"/>
              <w:ind w:right="135"/>
              <w:rPr>
                <w:rFonts w:eastAsia="SimSun"/>
                <w:sz w:val="18"/>
                <w:szCs w:val="18"/>
              </w:rPr>
            </w:pPr>
            <w:r w:rsidRPr="008322B5">
              <w:rPr>
                <w:sz w:val="18"/>
              </w:rPr>
              <w:t>Indiquez les coordonnées complètes de chaque organisme communautaire ou représentant des communautés, ou organisation non gouvernementale qui est concerné par l</w:t>
            </w:r>
            <w:r w:rsidR="009B42BE">
              <w:rPr>
                <w:sz w:val="18"/>
              </w:rPr>
              <w:t>’</w:t>
            </w:r>
            <w:r w:rsidRPr="008322B5">
              <w:rPr>
                <w:sz w:val="18"/>
              </w:rPr>
              <w:t>élément, telles qu</w:t>
            </w:r>
            <w:r w:rsidR="009B42BE">
              <w:rPr>
                <w:sz w:val="18"/>
              </w:rPr>
              <w:t>’</w:t>
            </w:r>
            <w:r w:rsidRPr="008322B5">
              <w:rPr>
                <w:sz w:val="18"/>
              </w:rPr>
              <w:t>associations, organisations, clubs, guildes, comités directeurs, etc. :</w:t>
            </w:r>
          </w:p>
          <w:p w:rsidR="00846A7D" w:rsidRPr="008322B5" w:rsidRDefault="00846A7D" w:rsidP="009B42BE">
            <w:pPr>
              <w:pStyle w:val="Info03"/>
              <w:numPr>
                <w:ilvl w:val="0"/>
                <w:numId w:val="34"/>
              </w:numPr>
              <w:tabs>
                <w:tab w:val="clear" w:pos="567"/>
                <w:tab w:val="clear" w:pos="2268"/>
                <w:tab w:val="num" w:pos="794"/>
              </w:tabs>
              <w:spacing w:before="60" w:after="60" w:line="240" w:lineRule="auto"/>
              <w:ind w:left="794" w:hanging="397"/>
              <w:rPr>
                <w:sz w:val="18"/>
                <w:szCs w:val="18"/>
              </w:rPr>
            </w:pPr>
            <w:r w:rsidRPr="008322B5">
              <w:rPr>
                <w:sz w:val="18"/>
              </w:rPr>
              <w:t>Nom de l</w:t>
            </w:r>
            <w:r w:rsidR="009B42BE">
              <w:rPr>
                <w:sz w:val="18"/>
              </w:rPr>
              <w:t>’</w:t>
            </w:r>
            <w:r w:rsidRPr="008322B5">
              <w:rPr>
                <w:sz w:val="18"/>
              </w:rPr>
              <w:t>entité</w:t>
            </w:r>
          </w:p>
          <w:p w:rsidR="00846A7D" w:rsidRPr="008322B5" w:rsidRDefault="00846A7D" w:rsidP="009B42BE">
            <w:pPr>
              <w:pStyle w:val="Info03"/>
              <w:numPr>
                <w:ilvl w:val="0"/>
                <w:numId w:val="34"/>
              </w:numPr>
              <w:tabs>
                <w:tab w:val="clear" w:pos="567"/>
                <w:tab w:val="clear" w:pos="2268"/>
                <w:tab w:val="num" w:pos="794"/>
              </w:tabs>
              <w:spacing w:before="60" w:after="60" w:line="240" w:lineRule="auto"/>
              <w:ind w:left="794" w:hanging="397"/>
              <w:rPr>
                <w:rFonts w:eastAsia="SimSun"/>
                <w:sz w:val="18"/>
                <w:szCs w:val="18"/>
              </w:rPr>
            </w:pPr>
            <w:r w:rsidRPr="008322B5">
              <w:rPr>
                <w:sz w:val="18"/>
              </w:rPr>
              <w:t>Nom et titre de la personne contact</w:t>
            </w:r>
          </w:p>
          <w:p w:rsidR="00846A7D" w:rsidRPr="008322B5" w:rsidRDefault="00846A7D" w:rsidP="009B42BE">
            <w:pPr>
              <w:pStyle w:val="Info03"/>
              <w:numPr>
                <w:ilvl w:val="0"/>
                <w:numId w:val="34"/>
              </w:numPr>
              <w:tabs>
                <w:tab w:val="clear" w:pos="567"/>
                <w:tab w:val="clear" w:pos="2268"/>
                <w:tab w:val="num" w:pos="794"/>
              </w:tabs>
              <w:spacing w:before="60" w:after="60" w:line="240" w:lineRule="auto"/>
              <w:ind w:left="794" w:hanging="397"/>
              <w:rPr>
                <w:rFonts w:eastAsia="SimSun"/>
                <w:sz w:val="18"/>
                <w:szCs w:val="18"/>
              </w:rPr>
            </w:pPr>
            <w:r w:rsidRPr="008322B5">
              <w:rPr>
                <w:sz w:val="18"/>
              </w:rPr>
              <w:t>Adresse</w:t>
            </w:r>
          </w:p>
          <w:p w:rsidR="00846A7D" w:rsidRPr="008322B5" w:rsidRDefault="00846A7D" w:rsidP="009B42BE">
            <w:pPr>
              <w:pStyle w:val="Info03"/>
              <w:numPr>
                <w:ilvl w:val="0"/>
                <w:numId w:val="34"/>
              </w:numPr>
              <w:tabs>
                <w:tab w:val="clear" w:pos="567"/>
                <w:tab w:val="clear" w:pos="2268"/>
                <w:tab w:val="num" w:pos="794"/>
              </w:tabs>
              <w:spacing w:before="60" w:after="60" w:line="240" w:lineRule="auto"/>
              <w:ind w:left="794" w:hanging="397"/>
              <w:rPr>
                <w:rFonts w:eastAsia="SimSun"/>
                <w:sz w:val="18"/>
                <w:szCs w:val="18"/>
              </w:rPr>
            </w:pPr>
            <w:r w:rsidRPr="008322B5">
              <w:rPr>
                <w:sz w:val="18"/>
              </w:rPr>
              <w:t>Numéro de téléphone</w:t>
            </w:r>
          </w:p>
          <w:p w:rsidR="00846A7D" w:rsidRPr="008322B5" w:rsidRDefault="00846A7D" w:rsidP="009B42BE">
            <w:pPr>
              <w:pStyle w:val="Info03"/>
              <w:numPr>
                <w:ilvl w:val="0"/>
                <w:numId w:val="34"/>
              </w:numPr>
              <w:tabs>
                <w:tab w:val="clear" w:pos="567"/>
                <w:tab w:val="clear" w:pos="2268"/>
                <w:tab w:val="num" w:pos="794"/>
              </w:tabs>
              <w:spacing w:before="60" w:after="60" w:line="240" w:lineRule="auto"/>
              <w:ind w:left="794" w:hanging="397"/>
              <w:rPr>
                <w:rFonts w:eastAsia="SimSun"/>
                <w:sz w:val="18"/>
                <w:szCs w:val="18"/>
              </w:rPr>
            </w:pPr>
            <w:r w:rsidRPr="008322B5">
              <w:rPr>
                <w:sz w:val="18"/>
              </w:rPr>
              <w:t>Adresse électronique</w:t>
            </w:r>
          </w:p>
          <w:p w:rsidR="00846A7D" w:rsidRPr="008322B5" w:rsidRDefault="00846A7D" w:rsidP="009B42BE">
            <w:pPr>
              <w:pStyle w:val="Info03"/>
              <w:numPr>
                <w:ilvl w:val="0"/>
                <w:numId w:val="34"/>
              </w:numPr>
              <w:tabs>
                <w:tab w:val="clear" w:pos="567"/>
                <w:tab w:val="clear" w:pos="2268"/>
                <w:tab w:val="num" w:pos="794"/>
              </w:tabs>
              <w:spacing w:before="60" w:after="60" w:line="240" w:lineRule="auto"/>
              <w:ind w:left="794" w:hanging="397"/>
              <w:rPr>
                <w:sz w:val="18"/>
                <w:szCs w:val="18"/>
              </w:rPr>
            </w:pPr>
            <w:r w:rsidRPr="008322B5">
              <w:rPr>
                <w:sz w:val="18"/>
              </w:rPr>
              <w:t>Autres informations pertinentes</w:t>
            </w:r>
          </w:p>
        </w:tc>
      </w:tr>
      <w:tr w:rsidR="00846A7D" w:rsidRPr="00603F68" w:rsidTr="00687CDF">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1. Gilde van Vrijwillige Molenaars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Bas de Deugd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Dirk Karsstraat 47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NL-4143 AX Leerdam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+31 6-42517806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bwonderwijs@gmail.com </w:t>
            </w:r>
          </w:p>
          <w:p w:rsidR="00846A7D" w:rsidRPr="008322B5" w:rsidRDefault="00846A7D" w:rsidP="00A42C35">
            <w:pPr>
              <w:pStyle w:val="formtext"/>
              <w:tabs>
                <w:tab w:val="left" w:pos="567"/>
                <w:tab w:val="left" w:pos="1134"/>
                <w:tab w:val="left" w:pos="1701"/>
              </w:tabs>
              <w:spacing w:before="0"/>
              <w:jc w:val="both"/>
              <w:rPr>
                <w:noProof/>
              </w:rPr>
            </w:pPr>
            <w:r w:rsidRPr="008322B5">
              <w:rPr>
                <w:noProof/>
              </w:rPr>
              <w:t>+31 6-42517806  -  http://www.vrijwilligemolenaars.nl/</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2. Gild Fryske Mounders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lastRenderedPageBreak/>
              <w:t xml:space="preserve">Frits Bloem / Albert Wester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H.W. Van Glinstrastraat 35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NL-9251 CL Burgum </w:t>
            </w:r>
          </w:p>
          <w:p w:rsidR="00846A7D" w:rsidRPr="008322B5" w:rsidRDefault="00846A7D" w:rsidP="00A42C35">
            <w:pPr>
              <w:pStyle w:val="formtext"/>
              <w:tabs>
                <w:tab w:val="left" w:pos="567"/>
                <w:tab w:val="left" w:pos="1134"/>
                <w:tab w:val="left" w:pos="1701"/>
              </w:tabs>
              <w:spacing w:before="0" w:after="0"/>
              <w:jc w:val="both"/>
              <w:rPr>
                <w:noProof/>
              </w:rPr>
            </w:pPr>
            <w:r w:rsidRPr="008322B5">
              <w:rPr>
                <w:noProof/>
              </w:rPr>
              <w:t xml:space="preserve">+31 511-464654 and +31 519-332758 </w:t>
            </w:r>
          </w:p>
          <w:p w:rsidR="00846A7D" w:rsidRPr="008322B5" w:rsidRDefault="00846A7D" w:rsidP="00A42C35">
            <w:pPr>
              <w:pStyle w:val="formtext"/>
              <w:tabs>
                <w:tab w:val="left" w:pos="567"/>
                <w:tab w:val="left" w:pos="1134"/>
                <w:tab w:val="left" w:pos="1701"/>
              </w:tabs>
              <w:spacing w:before="0"/>
              <w:jc w:val="both"/>
              <w:rPr>
                <w:noProof/>
                <w:lang w:val="en-US"/>
              </w:rPr>
            </w:pPr>
            <w:r w:rsidRPr="008322B5">
              <w:rPr>
                <w:noProof/>
                <w:lang w:val="en-US"/>
              </w:rPr>
              <w:t xml:space="preserve">fbloem@gmail.com and </w:t>
            </w:r>
            <w:hyperlink r:id="rId8">
              <w:r w:rsidRPr="008322B5">
                <w:rPr>
                  <w:rStyle w:val="Hyperlink"/>
                  <w:noProof/>
                  <w:lang w:val="en-US"/>
                </w:rPr>
                <w:t>alb.wester@gmail.com</w:t>
              </w:r>
            </w:hyperlink>
            <w:r w:rsidRPr="008322B5">
              <w:rPr>
                <w:noProof/>
                <w:lang w:val="en-US"/>
              </w:rPr>
              <w:t xml:space="preserve">  -  http://molenaarworden.nl/</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3. Ambachtelijk Korenmolenaars Gilde </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Maarten Dolman </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Walkade 73 </w:t>
            </w:r>
          </w:p>
          <w:p w:rsidR="00846A7D" w:rsidRPr="008322B5" w:rsidRDefault="00846A7D" w:rsidP="00A42C35">
            <w:pPr>
              <w:pStyle w:val="formtext"/>
              <w:tabs>
                <w:tab w:val="left" w:pos="567"/>
                <w:tab w:val="left" w:pos="1134"/>
                <w:tab w:val="left" w:pos="1701"/>
              </w:tabs>
              <w:spacing w:before="0" w:after="0"/>
              <w:jc w:val="both"/>
              <w:rPr>
                <w:noProof/>
                <w:lang w:val="de-DE"/>
              </w:rPr>
            </w:pPr>
            <w:r w:rsidRPr="008322B5">
              <w:rPr>
                <w:noProof/>
                <w:lang w:val="de-DE"/>
              </w:rPr>
              <w:t xml:space="preserve">NL-3401 DR IJsselstein </w:t>
            </w:r>
          </w:p>
          <w:p w:rsidR="00846A7D" w:rsidRPr="008322B5" w:rsidRDefault="00846A7D" w:rsidP="00A42C35">
            <w:pPr>
              <w:pStyle w:val="formtext"/>
              <w:tabs>
                <w:tab w:val="left" w:pos="567"/>
                <w:tab w:val="left" w:pos="1134"/>
                <w:tab w:val="left" w:pos="1701"/>
              </w:tabs>
              <w:spacing w:before="0" w:after="0"/>
              <w:jc w:val="both"/>
              <w:rPr>
                <w:noProof/>
                <w:lang w:val="de-DE"/>
              </w:rPr>
            </w:pPr>
            <w:r w:rsidRPr="008322B5">
              <w:rPr>
                <w:noProof/>
                <w:lang w:val="de-DE"/>
              </w:rPr>
              <w:t xml:space="preserve">+31 30-6888881 </w:t>
            </w:r>
          </w:p>
          <w:p w:rsidR="00846A7D" w:rsidRPr="008322B5" w:rsidRDefault="00603F68" w:rsidP="00A42C35">
            <w:pPr>
              <w:pStyle w:val="formtext"/>
              <w:tabs>
                <w:tab w:val="left" w:pos="567"/>
                <w:tab w:val="left" w:pos="1134"/>
                <w:tab w:val="left" w:pos="1701"/>
              </w:tabs>
              <w:spacing w:before="0" w:after="120"/>
              <w:jc w:val="both"/>
              <w:rPr>
                <w:noProof/>
                <w:lang w:val="de-DE"/>
              </w:rPr>
            </w:pPr>
            <w:hyperlink r:id="rId9">
              <w:r w:rsidR="00846A7D" w:rsidRPr="008322B5">
                <w:rPr>
                  <w:rStyle w:val="Hyperlink"/>
                  <w:noProof/>
                  <w:lang w:val="de-DE"/>
                </w:rPr>
                <w:t>meel@windotter.nl</w:t>
              </w:r>
            </w:hyperlink>
            <w:r w:rsidR="00846A7D" w:rsidRPr="008322B5">
              <w:rPr>
                <w:noProof/>
                <w:lang w:val="de-DE"/>
              </w:rPr>
              <w:t xml:space="preserve">  -  http://molenaarsgilde.nl/</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4. Vereniging De Hollandsche Molen </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Ingeborg Pouwels </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Zeeburgerdijk 139 </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NL-1095 AA Amsterdam </w:t>
            </w:r>
          </w:p>
          <w:p w:rsidR="00846A7D" w:rsidRPr="008322B5" w:rsidRDefault="00846A7D" w:rsidP="00A42C35">
            <w:pPr>
              <w:pStyle w:val="formtext"/>
              <w:tabs>
                <w:tab w:val="left" w:pos="567"/>
                <w:tab w:val="left" w:pos="1134"/>
                <w:tab w:val="left" w:pos="1701"/>
              </w:tabs>
              <w:spacing w:before="0" w:after="0"/>
              <w:jc w:val="both"/>
              <w:rPr>
                <w:noProof/>
                <w:lang w:val="nl-NL"/>
              </w:rPr>
            </w:pPr>
            <w:r w:rsidRPr="008322B5">
              <w:rPr>
                <w:noProof/>
                <w:lang w:val="nl-NL"/>
              </w:rPr>
              <w:t xml:space="preserve">+31 20-6238703 </w:t>
            </w:r>
          </w:p>
          <w:p w:rsidR="00846A7D" w:rsidRPr="008322B5" w:rsidRDefault="00603F68" w:rsidP="00A42C35">
            <w:pPr>
              <w:pStyle w:val="formtext"/>
              <w:tabs>
                <w:tab w:val="left" w:pos="567"/>
                <w:tab w:val="left" w:pos="1134"/>
                <w:tab w:val="left" w:pos="1701"/>
              </w:tabs>
              <w:spacing w:before="0" w:after="0" w:line="240" w:lineRule="auto"/>
              <w:jc w:val="both"/>
              <w:rPr>
                <w:noProof/>
                <w:lang w:val="nl-NL"/>
              </w:rPr>
            </w:pPr>
            <w:hyperlink r:id="rId10">
              <w:r w:rsidR="00846A7D" w:rsidRPr="008322B5">
                <w:rPr>
                  <w:rStyle w:val="Hyperlink"/>
                  <w:noProof/>
                  <w:lang w:val="nl-NL"/>
                </w:rPr>
                <w:t>i.pouwels@molens.nl</w:t>
              </w:r>
            </w:hyperlink>
            <w:r w:rsidR="00846A7D" w:rsidRPr="008322B5">
              <w:rPr>
                <w:noProof/>
                <w:lang w:val="nl-NL"/>
              </w:rPr>
              <w:t xml:space="preserve">  -  http://molens.nl/</w:t>
            </w:r>
          </w:p>
        </w:tc>
      </w:tr>
      <w:tr w:rsidR="00846A7D" w:rsidRPr="008322B5" w:rsidTr="007B4F22">
        <w:trPr>
          <w:trHeight w:val="684"/>
        </w:trPr>
        <w:tc>
          <w:tcPr>
            <w:tcW w:w="9639" w:type="dxa"/>
            <w:tcBorders>
              <w:top w:val="single" w:sz="4" w:space="0" w:color="auto"/>
              <w:left w:val="nil"/>
              <w:bottom w:val="nil"/>
              <w:right w:val="nil"/>
            </w:tcBorders>
            <w:shd w:val="clear" w:color="auto" w:fill="D9D9D9"/>
          </w:tcPr>
          <w:p w:rsidR="00846A7D" w:rsidRPr="008322B5" w:rsidRDefault="00846A7D" w:rsidP="007B4F22">
            <w:pPr>
              <w:pStyle w:val="Grille01N"/>
              <w:spacing w:before="240" w:line="240" w:lineRule="auto"/>
              <w:ind w:left="709" w:right="136" w:hanging="567"/>
              <w:jc w:val="left"/>
              <w:rPr>
                <w:rFonts w:eastAsia="SimSun" w:cs="Arial"/>
                <w:bCs/>
                <w:smallCaps w:val="0"/>
                <w:sz w:val="24"/>
                <w:shd w:val="pct15" w:color="auto" w:fill="FFFFFF"/>
              </w:rPr>
            </w:pPr>
            <w:r w:rsidRPr="008322B5">
              <w:rPr>
                <w:smallCaps w:val="0"/>
                <w:sz w:val="24"/>
              </w:rPr>
              <w:lastRenderedPageBreak/>
              <w:t>5.</w:t>
            </w:r>
            <w:r w:rsidRPr="008322B5">
              <w:tab/>
            </w:r>
            <w:r w:rsidRPr="008322B5">
              <w:rPr>
                <w:smallCaps w:val="0"/>
                <w:sz w:val="24"/>
              </w:rPr>
              <w:t>Inclusion de l</w:t>
            </w:r>
            <w:r w:rsidR="009B42BE">
              <w:rPr>
                <w:smallCaps w:val="0"/>
                <w:sz w:val="24"/>
              </w:rPr>
              <w:t>’</w:t>
            </w:r>
            <w:r w:rsidRPr="008322B5">
              <w:rPr>
                <w:smallCaps w:val="0"/>
                <w:sz w:val="24"/>
              </w:rPr>
              <w:t>élément dans un inventaire</w:t>
            </w:r>
          </w:p>
        </w:tc>
      </w:tr>
      <w:tr w:rsidR="00846A7D" w:rsidRPr="008322B5" w:rsidTr="007B4F22">
        <w:trPr>
          <w:trHeight w:val="1770"/>
        </w:trPr>
        <w:tc>
          <w:tcPr>
            <w:tcW w:w="9639" w:type="dxa"/>
            <w:tcBorders>
              <w:top w:val="nil"/>
              <w:left w:val="nil"/>
              <w:bottom w:val="single" w:sz="4" w:space="0" w:color="auto"/>
              <w:right w:val="nil"/>
            </w:tcBorders>
            <w:shd w:val="clear" w:color="auto" w:fill="auto"/>
          </w:tcPr>
          <w:p w:rsidR="00846A7D" w:rsidRPr="008322B5" w:rsidRDefault="00846A7D" w:rsidP="007B4F22">
            <w:pPr>
              <w:pStyle w:val="Info03"/>
              <w:spacing w:before="120"/>
              <w:ind w:right="136"/>
              <w:rPr>
                <w:rFonts w:eastAsia="SimSun"/>
                <w:sz w:val="18"/>
                <w:szCs w:val="18"/>
              </w:rPr>
            </w:pPr>
            <w:r w:rsidRPr="008322B5">
              <w:rPr>
                <w:sz w:val="18"/>
              </w:rPr>
              <w:t xml:space="preserve">Pour le </w:t>
            </w:r>
            <w:r w:rsidRPr="008322B5">
              <w:rPr>
                <w:b/>
                <w:sz w:val="18"/>
              </w:rPr>
              <w:t>critère R.5</w:t>
            </w:r>
            <w:r w:rsidRPr="008322B5">
              <w:rPr>
                <w:sz w:val="18"/>
              </w:rPr>
              <w:t xml:space="preserve">, les États </w:t>
            </w:r>
            <w:r w:rsidRPr="008322B5">
              <w:rPr>
                <w:b/>
                <w:sz w:val="18"/>
              </w:rPr>
              <w:t>doivent démontrer que « l</w:t>
            </w:r>
            <w:r w:rsidR="009B42BE">
              <w:rPr>
                <w:b/>
                <w:sz w:val="18"/>
              </w:rPr>
              <w:t>’</w:t>
            </w:r>
            <w:r w:rsidRPr="008322B5">
              <w:rPr>
                <w:b/>
                <w:sz w:val="18"/>
              </w:rPr>
              <w:t>élément figure dans un inventaire du patrimoine culturel immatériel présent sur le(s) territoire(s) de(s) (l</w:t>
            </w:r>
            <w:r w:rsidR="009B42BE">
              <w:rPr>
                <w:b/>
                <w:sz w:val="18"/>
              </w:rPr>
              <w:t>’</w:t>
            </w:r>
            <w:r w:rsidRPr="008322B5">
              <w:rPr>
                <w:b/>
                <w:sz w:val="18"/>
              </w:rPr>
              <w:t>)État(s) partie(s) soumissionnaire(s)</w:t>
            </w:r>
            <w:r w:rsidRPr="008322B5">
              <w:rPr>
                <w:sz w:val="18"/>
              </w:rPr>
              <w:t xml:space="preserve"> tel que défini dans les articles 11 et 12 de la Convention ». </w:t>
            </w:r>
          </w:p>
          <w:p w:rsidR="00846A7D" w:rsidRPr="008322B5" w:rsidRDefault="00846A7D" w:rsidP="0093570A">
            <w:pPr>
              <w:pStyle w:val="Info03"/>
              <w:numPr>
                <w:ilvl w:val="0"/>
                <w:numId w:val="35"/>
              </w:numPr>
              <w:tabs>
                <w:tab w:val="clear" w:pos="567"/>
                <w:tab w:val="clear" w:pos="2268"/>
                <w:tab w:val="left" w:pos="709"/>
              </w:tabs>
              <w:spacing w:before="120" w:line="240" w:lineRule="auto"/>
              <w:ind w:left="709"/>
              <w:rPr>
                <w:rFonts w:eastAsia="SimSun"/>
                <w:sz w:val="18"/>
                <w:szCs w:val="18"/>
              </w:rPr>
            </w:pPr>
            <w:r w:rsidRPr="008322B5">
              <w:rPr>
                <w:sz w:val="18"/>
              </w:rPr>
              <w:t>Indiquez ci-dessous :</w:t>
            </w:r>
          </w:p>
          <w:p w:rsidR="00846A7D" w:rsidRPr="008322B5" w:rsidRDefault="00846A7D" w:rsidP="0093570A">
            <w:pPr>
              <w:pStyle w:val="Info03"/>
              <w:numPr>
                <w:ilvl w:val="0"/>
                <w:numId w:val="36"/>
              </w:numPr>
              <w:tabs>
                <w:tab w:val="clear" w:pos="1134"/>
                <w:tab w:val="clear" w:pos="2268"/>
                <w:tab w:val="left" w:pos="993"/>
              </w:tabs>
              <w:spacing w:before="120" w:line="240" w:lineRule="auto"/>
              <w:ind w:left="993" w:hanging="283"/>
              <w:rPr>
                <w:rFonts w:eastAsia="SimSun"/>
                <w:sz w:val="18"/>
                <w:szCs w:val="18"/>
              </w:rPr>
            </w:pPr>
            <w:r w:rsidRPr="008322B5">
              <w:rPr>
                <w:sz w:val="18"/>
              </w:rPr>
              <w:t>quand l</w:t>
            </w:r>
            <w:r w:rsidR="009B42BE">
              <w:rPr>
                <w:sz w:val="18"/>
              </w:rPr>
              <w:t>’</w:t>
            </w:r>
            <w:r w:rsidRPr="008322B5">
              <w:rPr>
                <w:sz w:val="18"/>
              </w:rPr>
              <w:t>élément a été inclus dans l</w:t>
            </w:r>
            <w:r w:rsidR="009B42BE">
              <w:rPr>
                <w:sz w:val="18"/>
              </w:rPr>
              <w:t>’</w:t>
            </w:r>
            <w:r w:rsidRPr="008322B5">
              <w:rPr>
                <w:sz w:val="18"/>
              </w:rPr>
              <w:t>inventaire, qui devrait être avant la soumission de la candidature au Secrétariat (31 mars),</w:t>
            </w:r>
          </w:p>
          <w:p w:rsidR="00846A7D" w:rsidRPr="008322B5" w:rsidRDefault="00846A7D" w:rsidP="0093570A">
            <w:pPr>
              <w:pStyle w:val="Info03"/>
              <w:numPr>
                <w:ilvl w:val="0"/>
                <w:numId w:val="36"/>
              </w:numPr>
              <w:tabs>
                <w:tab w:val="clear" w:pos="1134"/>
                <w:tab w:val="clear" w:pos="2268"/>
                <w:tab w:val="left" w:pos="993"/>
              </w:tabs>
              <w:spacing w:before="120" w:line="240" w:lineRule="auto"/>
              <w:ind w:left="993" w:hanging="283"/>
              <w:rPr>
                <w:rFonts w:eastAsia="SimSun"/>
                <w:sz w:val="18"/>
                <w:szCs w:val="18"/>
              </w:rPr>
            </w:pPr>
            <w:r w:rsidRPr="008322B5">
              <w:rPr>
                <w:sz w:val="18"/>
              </w:rPr>
              <w:t>sa référence,</w:t>
            </w:r>
          </w:p>
          <w:p w:rsidR="00846A7D" w:rsidRPr="008322B5" w:rsidRDefault="00846A7D" w:rsidP="0093570A">
            <w:pPr>
              <w:pStyle w:val="Info03"/>
              <w:numPr>
                <w:ilvl w:val="0"/>
                <w:numId w:val="36"/>
              </w:numPr>
              <w:tabs>
                <w:tab w:val="clear" w:pos="1134"/>
                <w:tab w:val="clear" w:pos="2268"/>
                <w:tab w:val="left" w:pos="993"/>
              </w:tabs>
              <w:spacing w:before="120" w:line="240" w:lineRule="auto"/>
              <w:ind w:left="993" w:hanging="283"/>
              <w:rPr>
                <w:rFonts w:eastAsia="SimSun"/>
                <w:sz w:val="18"/>
                <w:szCs w:val="18"/>
              </w:rPr>
            </w:pPr>
            <w:r w:rsidRPr="008322B5">
              <w:rPr>
                <w:sz w:val="18"/>
              </w:rPr>
              <w:t>l</w:t>
            </w:r>
            <w:r w:rsidR="009B42BE">
              <w:rPr>
                <w:sz w:val="18"/>
              </w:rPr>
              <w:t>’</w:t>
            </w:r>
            <w:r w:rsidRPr="008322B5">
              <w:rPr>
                <w:sz w:val="18"/>
              </w:rPr>
              <w:t>inventaire dans lequel l</w:t>
            </w:r>
            <w:r w:rsidR="009B42BE">
              <w:rPr>
                <w:sz w:val="18"/>
              </w:rPr>
              <w:t>’</w:t>
            </w:r>
            <w:r w:rsidRPr="008322B5">
              <w:rPr>
                <w:sz w:val="18"/>
              </w:rPr>
              <w:t xml:space="preserve">élément a été inclus, </w:t>
            </w:r>
          </w:p>
          <w:p w:rsidR="00846A7D" w:rsidRPr="008322B5" w:rsidRDefault="00846A7D" w:rsidP="0093570A">
            <w:pPr>
              <w:pStyle w:val="Info03"/>
              <w:numPr>
                <w:ilvl w:val="0"/>
                <w:numId w:val="36"/>
              </w:numPr>
              <w:tabs>
                <w:tab w:val="clear" w:pos="1134"/>
                <w:tab w:val="clear" w:pos="2268"/>
                <w:tab w:val="left" w:pos="993"/>
              </w:tabs>
              <w:spacing w:before="120" w:line="240" w:lineRule="auto"/>
              <w:ind w:left="993" w:hanging="283"/>
              <w:rPr>
                <w:rFonts w:eastAsia="SimSun"/>
                <w:sz w:val="18"/>
                <w:szCs w:val="18"/>
              </w:rPr>
            </w:pPr>
            <w:r w:rsidRPr="008322B5">
              <w:rPr>
                <w:sz w:val="18"/>
              </w:rPr>
              <w:t>le bureau, l</w:t>
            </w:r>
            <w:r w:rsidR="009B42BE">
              <w:rPr>
                <w:sz w:val="18"/>
              </w:rPr>
              <w:t>’</w:t>
            </w:r>
            <w:r w:rsidRPr="008322B5">
              <w:rPr>
                <w:sz w:val="18"/>
              </w:rPr>
              <w:t>agence, l</w:t>
            </w:r>
            <w:r w:rsidR="009B42BE">
              <w:rPr>
                <w:sz w:val="18"/>
              </w:rPr>
              <w:t>’</w:t>
            </w:r>
            <w:r w:rsidRPr="008322B5">
              <w:rPr>
                <w:sz w:val="18"/>
              </w:rPr>
              <w:t>organisation ou l</w:t>
            </w:r>
            <w:r w:rsidR="009B42BE">
              <w:rPr>
                <w:sz w:val="18"/>
              </w:rPr>
              <w:t>’</w:t>
            </w:r>
            <w:r w:rsidRPr="008322B5">
              <w:rPr>
                <w:sz w:val="18"/>
              </w:rPr>
              <w:t>organisme responsable de sa mise à jour,</w:t>
            </w:r>
          </w:p>
          <w:p w:rsidR="00846A7D" w:rsidRPr="008322B5" w:rsidRDefault="00846A7D" w:rsidP="0093570A">
            <w:pPr>
              <w:pStyle w:val="Info03"/>
              <w:numPr>
                <w:ilvl w:val="0"/>
                <w:numId w:val="36"/>
              </w:numPr>
              <w:tabs>
                <w:tab w:val="clear" w:pos="1134"/>
                <w:tab w:val="clear" w:pos="2268"/>
                <w:tab w:val="left" w:pos="993"/>
              </w:tabs>
              <w:spacing w:before="120" w:line="240" w:lineRule="auto"/>
              <w:ind w:left="993" w:hanging="283"/>
              <w:rPr>
                <w:rFonts w:eastAsia="SimSun"/>
                <w:sz w:val="18"/>
                <w:szCs w:val="18"/>
              </w:rPr>
            </w:pPr>
            <w:r w:rsidRPr="008322B5">
              <w:rPr>
                <w:sz w:val="18"/>
              </w:rPr>
              <w:t>comment l</w:t>
            </w:r>
            <w:r w:rsidR="009B42BE">
              <w:rPr>
                <w:sz w:val="18"/>
              </w:rPr>
              <w:t>’</w:t>
            </w:r>
            <w:r w:rsidRPr="008322B5">
              <w:rPr>
                <w:sz w:val="18"/>
              </w:rPr>
              <w:t>inventaire a été dressé « avec la participation des communautés, des groupes et des organisations non gouvernementales pertinentes », (l</w:t>
            </w:r>
            <w:r w:rsidR="009B42BE">
              <w:rPr>
                <w:sz w:val="18"/>
              </w:rPr>
              <w:t>’</w:t>
            </w:r>
            <w:r w:rsidRPr="008322B5">
              <w:rPr>
                <w:sz w:val="18"/>
              </w:rPr>
              <w:t>article 11(b) de la Convention),</w:t>
            </w:r>
          </w:p>
          <w:p w:rsidR="00846A7D" w:rsidRPr="008322B5" w:rsidRDefault="00846A7D" w:rsidP="0093570A">
            <w:pPr>
              <w:pStyle w:val="Info03"/>
              <w:numPr>
                <w:ilvl w:val="0"/>
                <w:numId w:val="36"/>
              </w:numPr>
              <w:tabs>
                <w:tab w:val="clear" w:pos="1134"/>
                <w:tab w:val="clear" w:pos="2268"/>
                <w:tab w:val="left" w:pos="993"/>
              </w:tabs>
              <w:spacing w:before="120" w:line="240" w:lineRule="auto"/>
              <w:ind w:left="993" w:hanging="283"/>
              <w:rPr>
                <w:rFonts w:eastAsia="SimSun"/>
                <w:sz w:val="18"/>
                <w:szCs w:val="18"/>
              </w:rPr>
            </w:pPr>
            <w:r w:rsidRPr="008322B5">
              <w:rPr>
                <w:sz w:val="18"/>
              </w:rPr>
              <w:t>comment l</w:t>
            </w:r>
            <w:r w:rsidR="009B42BE">
              <w:rPr>
                <w:sz w:val="18"/>
              </w:rPr>
              <w:t>’</w:t>
            </w:r>
            <w:r w:rsidRPr="008322B5">
              <w:rPr>
                <w:sz w:val="18"/>
              </w:rPr>
              <w:t>inventaire est régulièrement mis à jour (l</w:t>
            </w:r>
            <w:r w:rsidR="009B42BE">
              <w:rPr>
                <w:sz w:val="18"/>
              </w:rPr>
              <w:t>’</w:t>
            </w:r>
            <w:r w:rsidRPr="008322B5">
              <w:rPr>
                <w:sz w:val="18"/>
              </w:rPr>
              <w:t>article12 de la Convention).</w:t>
            </w:r>
          </w:p>
          <w:p w:rsidR="00846A7D" w:rsidRPr="008322B5" w:rsidRDefault="00846A7D" w:rsidP="0093570A">
            <w:pPr>
              <w:keepNext/>
              <w:numPr>
                <w:ilvl w:val="0"/>
                <w:numId w:val="35"/>
              </w:numPr>
              <w:ind w:left="709"/>
              <w:jc w:val="both"/>
              <w:rPr>
                <w:rFonts w:eastAsia="SimSun"/>
                <w:i/>
                <w:sz w:val="18"/>
                <w:szCs w:val="18"/>
              </w:rPr>
            </w:pPr>
            <w:r w:rsidRPr="008322B5">
              <w:rPr>
                <w:i/>
                <w:sz w:val="18"/>
              </w:rPr>
              <w:t>Doit également être fournie en annexe la preuve documentaire faisant état de l</w:t>
            </w:r>
            <w:r w:rsidR="009B42BE">
              <w:rPr>
                <w:i/>
                <w:sz w:val="18"/>
              </w:rPr>
              <w:t>’</w:t>
            </w:r>
            <w:r w:rsidRPr="008322B5">
              <w:rPr>
                <w:i/>
                <w:sz w:val="18"/>
              </w:rPr>
              <w:t>inclusion de l</w:t>
            </w:r>
            <w:r w:rsidR="009B42BE">
              <w:rPr>
                <w:i/>
                <w:sz w:val="18"/>
              </w:rPr>
              <w:t>’</w:t>
            </w:r>
            <w:r w:rsidRPr="008322B5">
              <w:rPr>
                <w:i/>
                <w:sz w:val="18"/>
              </w:rPr>
              <w:t>élément dans un inventaire du patrimoine culturel immatériel présent sur le(s) territoire(s) de l</w:t>
            </w:r>
            <w:r w:rsidR="009B42BE">
              <w:rPr>
                <w:i/>
                <w:sz w:val="18"/>
              </w:rPr>
              <w:t>’</w:t>
            </w:r>
            <w:r w:rsidRPr="008322B5">
              <w:rPr>
                <w:i/>
                <w:sz w:val="18"/>
              </w:rPr>
              <w:t xml:space="preserve">(des) État(s) soumissionnaire(s), tel que défini dans les articles 11 et 12 de la Convention ; </w:t>
            </w:r>
            <w:r w:rsidRPr="008322B5">
              <w:rPr>
                <w:b/>
                <w:i/>
                <w:sz w:val="18"/>
              </w:rPr>
              <w:t>cette preuve doit inclure un extrait pertinent de l</w:t>
            </w:r>
            <w:r w:rsidR="009B42BE">
              <w:rPr>
                <w:b/>
                <w:i/>
                <w:sz w:val="18"/>
              </w:rPr>
              <w:t>’</w:t>
            </w:r>
            <w:r w:rsidRPr="008322B5">
              <w:rPr>
                <w:b/>
                <w:i/>
                <w:sz w:val="18"/>
              </w:rPr>
              <w:t>(des) inventaire(s) en anglais ou en français ainsi que dans la langue originale si elle est différente.</w:t>
            </w:r>
            <w:r w:rsidRPr="008322B5">
              <w:rPr>
                <w:i/>
                <w:sz w:val="18"/>
              </w:rPr>
              <w:t xml:space="preserve"> L</w:t>
            </w:r>
            <w:r w:rsidR="009B42BE">
              <w:rPr>
                <w:i/>
                <w:sz w:val="18"/>
              </w:rPr>
              <w:t>’</w:t>
            </w:r>
            <w:r w:rsidRPr="008322B5">
              <w:rPr>
                <w:i/>
                <w:sz w:val="18"/>
              </w:rPr>
              <w:t>extrait, devrait être, par exemple, la fiche d</w:t>
            </w:r>
            <w:r w:rsidR="009B42BE">
              <w:rPr>
                <w:i/>
                <w:sz w:val="18"/>
              </w:rPr>
              <w:t>’</w:t>
            </w:r>
            <w:r w:rsidRPr="008322B5">
              <w:rPr>
                <w:i/>
                <w:sz w:val="18"/>
              </w:rPr>
              <w:t>inventaire de l</w:t>
            </w:r>
            <w:r w:rsidR="009B42BE">
              <w:rPr>
                <w:i/>
                <w:sz w:val="18"/>
              </w:rPr>
              <w:t>’</w:t>
            </w:r>
            <w:r w:rsidRPr="008322B5">
              <w:rPr>
                <w:i/>
                <w:sz w:val="18"/>
              </w:rPr>
              <w:t>élément proposé pour inscription, avec sa description, sa localisation, les communautés, sa viabilité, etc. Il peut être complété par l</w:t>
            </w:r>
            <w:r w:rsidR="009B42BE">
              <w:rPr>
                <w:i/>
                <w:sz w:val="18"/>
              </w:rPr>
              <w:t>’</w:t>
            </w:r>
            <w:r w:rsidRPr="008322B5">
              <w:rPr>
                <w:i/>
                <w:sz w:val="18"/>
              </w:rPr>
              <w:t>indication ci-dessous d</w:t>
            </w:r>
            <w:r w:rsidR="009B42BE">
              <w:rPr>
                <w:i/>
                <w:sz w:val="18"/>
              </w:rPr>
              <w:t>’</w:t>
            </w:r>
            <w:r w:rsidRPr="008322B5">
              <w:rPr>
                <w:i/>
                <w:sz w:val="18"/>
              </w:rPr>
              <w:t>un lien hypertexte opérationnel au travers duquel un tel inventaire peut être accessible ; l</w:t>
            </w:r>
            <w:r w:rsidR="009B42BE">
              <w:rPr>
                <w:i/>
                <w:sz w:val="18"/>
              </w:rPr>
              <w:t>’</w:t>
            </w:r>
            <w:r w:rsidRPr="008322B5">
              <w:rPr>
                <w:i/>
                <w:sz w:val="18"/>
              </w:rPr>
              <w:t>indication d</w:t>
            </w:r>
            <w:r w:rsidR="009B42BE">
              <w:rPr>
                <w:i/>
                <w:sz w:val="18"/>
              </w:rPr>
              <w:t>’</w:t>
            </w:r>
            <w:r w:rsidRPr="008322B5">
              <w:rPr>
                <w:i/>
                <w:sz w:val="18"/>
              </w:rPr>
              <w:t>un lien seulement n</w:t>
            </w:r>
            <w:r w:rsidR="009B42BE">
              <w:rPr>
                <w:i/>
                <w:sz w:val="18"/>
              </w:rPr>
              <w:t>’</w:t>
            </w:r>
            <w:r w:rsidRPr="008322B5">
              <w:rPr>
                <w:i/>
                <w:sz w:val="18"/>
              </w:rPr>
              <w:t>est cependant pas suffisante.</w:t>
            </w:r>
          </w:p>
          <w:p w:rsidR="00846A7D" w:rsidRPr="008322B5" w:rsidRDefault="00846A7D" w:rsidP="009B42BE">
            <w:pPr>
              <w:pStyle w:val="Info03"/>
              <w:spacing w:before="120" w:after="0" w:line="240" w:lineRule="auto"/>
              <w:rPr>
                <w:rFonts w:eastAsia="SimSun"/>
                <w:sz w:val="18"/>
                <w:szCs w:val="18"/>
              </w:rPr>
            </w:pPr>
            <w:r w:rsidRPr="008322B5">
              <w:rPr>
                <w:sz w:val="18"/>
              </w:rPr>
              <w:t>L</w:t>
            </w:r>
            <w:r w:rsidR="009B42BE">
              <w:rPr>
                <w:sz w:val="18"/>
              </w:rPr>
              <w:t>’</w:t>
            </w:r>
            <w:r w:rsidRPr="008322B5">
              <w:rPr>
                <w:sz w:val="18"/>
              </w:rPr>
              <w:t>inclusion de l</w:t>
            </w:r>
            <w:r w:rsidR="009B42BE">
              <w:rPr>
                <w:sz w:val="18"/>
              </w:rPr>
              <w:t>’</w:t>
            </w:r>
            <w:r w:rsidRPr="008322B5">
              <w:rPr>
                <w:sz w:val="18"/>
              </w:rPr>
              <w:t>élément proposé dans un inventaire ne doit en aucun cas impliquer ou nécessiter que l</w:t>
            </w:r>
            <w:r w:rsidR="009B42BE">
              <w:rPr>
                <w:sz w:val="18"/>
              </w:rPr>
              <w:t>’</w:t>
            </w:r>
            <w:r w:rsidRPr="008322B5">
              <w:rPr>
                <w:sz w:val="18"/>
              </w:rPr>
              <w:t xml:space="preserve">(les) inventaire(s) soit(soient) complété(s) avant le dépôt de candidature. Un État partie soumissionnaire peut être en train de compléter ou de mettre à jour un ou plusieurs inventaires, mais doit avoir déjà </w:t>
            </w:r>
            <w:r w:rsidRPr="008322B5">
              <w:rPr>
                <w:rStyle w:val="Emphasis"/>
                <w:i/>
                <w:color w:val="000000"/>
                <w:sz w:val="18"/>
              </w:rPr>
              <w:t>dûment</w:t>
            </w:r>
            <w:r w:rsidRPr="008322B5">
              <w:rPr>
                <w:sz w:val="18"/>
              </w:rPr>
              <w:t xml:space="preserve"> intégré l</w:t>
            </w:r>
            <w:r w:rsidR="009B42BE">
              <w:rPr>
                <w:sz w:val="18"/>
              </w:rPr>
              <w:t>’</w:t>
            </w:r>
            <w:r w:rsidRPr="008322B5">
              <w:rPr>
                <w:sz w:val="18"/>
              </w:rPr>
              <w:t>élément dans un inventaire en cours.</w:t>
            </w:r>
          </w:p>
          <w:p w:rsidR="00846A7D" w:rsidRPr="008322B5" w:rsidRDefault="00846A7D" w:rsidP="007B4F22">
            <w:pPr>
              <w:pStyle w:val="Info03"/>
              <w:spacing w:line="240" w:lineRule="auto"/>
              <w:ind w:right="136"/>
              <w:jc w:val="right"/>
            </w:pPr>
            <w:r w:rsidRPr="008322B5">
              <w:rPr>
                <w:rStyle w:val="Emphasis"/>
                <w:i/>
                <w:color w:val="000000"/>
                <w:sz w:val="18"/>
              </w:rPr>
              <w:t>Minimum 170 mots et maximum 280 mots</w:t>
            </w:r>
          </w:p>
        </w:tc>
      </w:tr>
      <w:tr w:rsidR="00846A7D" w:rsidRPr="008322B5" w:rsidTr="007B4F22">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8B2658">
            <w:pPr>
              <w:pStyle w:val="formtext"/>
              <w:spacing w:before="0" w:after="120"/>
              <w:jc w:val="both"/>
              <w:rPr>
                <w:noProof/>
              </w:rPr>
            </w:pPr>
            <w:r w:rsidRPr="008322B5">
              <w:t>Les savoir-faire du meunier ont été inscrits sur l</w:t>
            </w:r>
            <w:r w:rsidR="009B42BE">
              <w:t>’</w:t>
            </w:r>
            <w:r w:rsidRPr="008322B5">
              <w:t>Inventaire national du patrimoine culturel immatériel des Pays-Bas le 4 juin 2013. Le Centre néerlandais du patrimoine culturel immatériel coordonne cet inventaire national, créé en 2012 conformément à l</w:t>
            </w:r>
            <w:r w:rsidR="009B42BE">
              <w:t>’</w:t>
            </w:r>
            <w:r w:rsidRPr="008322B5">
              <w:t>obligation imposée par la Convention d</w:t>
            </w:r>
            <w:r w:rsidR="009B42BE">
              <w:t>’</w:t>
            </w:r>
            <w:r w:rsidRPr="008322B5">
              <w:t>identifier et de définir les éléments du patrimoine culturel immatériel présents sur le territoire national en coopération avec les communautés locales. Les communautés et/ou les associations communautaires peuvent présenter la candidature d</w:t>
            </w:r>
            <w:r w:rsidR="009B42BE">
              <w:t>’</w:t>
            </w:r>
            <w:r w:rsidRPr="008322B5">
              <w:t>éléments à l</w:t>
            </w:r>
            <w:r w:rsidR="009B42BE">
              <w:t>’</w:t>
            </w:r>
            <w:r w:rsidRPr="008322B5">
              <w:t>inscription sur cet inventaire national. Les communautés doivent soumettre un plan de sauvegarde avec leur candidature. La candidature des savoir-faire du meunier a été soumise par la Guilde des meuniers volontaires, la Société des moulins néerlandais, la Guilde des meuniers frisons et la Guilde des meuniers traditionnels. Ces quatre organisations ont également donné leur consentement libre, préalable et éclairé à cette candidature internationale.</w:t>
            </w:r>
          </w:p>
          <w:p w:rsidR="00846A7D" w:rsidRPr="008322B5" w:rsidRDefault="00846A7D" w:rsidP="008B2658">
            <w:pPr>
              <w:pStyle w:val="formtext"/>
              <w:keepNext/>
              <w:spacing w:before="120" w:after="0"/>
              <w:jc w:val="both"/>
            </w:pPr>
            <w:r w:rsidRPr="008322B5">
              <w:lastRenderedPageBreak/>
              <w:t>L</w:t>
            </w:r>
            <w:r w:rsidR="009B42BE">
              <w:t>’</w:t>
            </w:r>
            <w:r w:rsidRPr="008322B5">
              <w:t>Inventaire national est mis à jour régulièrement de deux façons. Depuis 2012, environ 100 éléments du patrimoine culturel immatériel y ont été inscrits. C</w:t>
            </w:r>
            <w:r w:rsidR="009B42BE">
              <w:t>’</w:t>
            </w:r>
            <w:r w:rsidRPr="008322B5">
              <w:t>est un inventaire ouvert auquel de nouveaux éléments viennent s</w:t>
            </w:r>
            <w:r w:rsidR="009B42BE">
              <w:t>’</w:t>
            </w:r>
            <w:r w:rsidRPr="008322B5">
              <w:t>ajouter en permanence. Un système a été mis au point en 2015 afin d</w:t>
            </w:r>
            <w:r w:rsidR="009B42BE">
              <w:t>’</w:t>
            </w:r>
            <w:r w:rsidRPr="008322B5">
              <w:t>évaluer tous les trois ans l</w:t>
            </w:r>
            <w:r w:rsidR="009B42BE">
              <w:t>’</w:t>
            </w:r>
            <w:r w:rsidR="00E0710C" w:rsidRPr="008322B5">
              <w:t>ensemble d</w:t>
            </w:r>
            <w:r w:rsidRPr="008322B5">
              <w:t>es éléments de l</w:t>
            </w:r>
            <w:r w:rsidR="009B42BE">
              <w:t>’</w:t>
            </w:r>
            <w:r w:rsidRPr="008322B5">
              <w:t>Inventaire national suivant trois critères : cet élément représente-t-il toujours une tradition vivante ? Qu</w:t>
            </w:r>
            <w:r w:rsidR="009B42BE">
              <w:t>’</w:t>
            </w:r>
            <w:r w:rsidRPr="008322B5">
              <w:t>est-ce qui est fait pour sauvegarder cet élément du patrimoine culturel immatériel ? Les plans de sauvegarde doivent-ils être mis à jour ? Les éléments inscrits entre 2013 et 2015 seront évalués en 2016.</w:t>
            </w:r>
          </w:p>
        </w:tc>
      </w:tr>
      <w:tr w:rsidR="00846A7D" w:rsidRPr="008322B5" w:rsidTr="007B4F22">
        <w:tblPrEx>
          <w:tblBorders>
            <w:insideV w:val="none" w:sz="0" w:space="0" w:color="auto"/>
          </w:tblBorders>
        </w:tblPrEx>
        <w:trPr>
          <w:cantSplit/>
        </w:trPr>
        <w:tc>
          <w:tcPr>
            <w:tcW w:w="9639" w:type="dxa"/>
            <w:tcBorders>
              <w:top w:val="nil"/>
              <w:left w:val="nil"/>
              <w:bottom w:val="nil"/>
              <w:right w:val="nil"/>
            </w:tcBorders>
            <w:shd w:val="clear" w:color="auto" w:fill="D9D9D9"/>
          </w:tcPr>
          <w:p w:rsidR="00846A7D" w:rsidRPr="008322B5" w:rsidRDefault="00846A7D" w:rsidP="009B42BE">
            <w:pPr>
              <w:pStyle w:val="Grille01N"/>
              <w:spacing w:line="240" w:lineRule="auto"/>
              <w:ind w:left="709" w:right="136" w:hanging="567"/>
              <w:jc w:val="left"/>
              <w:rPr>
                <w:rFonts w:eastAsia="SimSun" w:cs="Arial"/>
                <w:bCs/>
                <w:smallCaps w:val="0"/>
                <w:sz w:val="24"/>
                <w:shd w:val="pct15" w:color="auto" w:fill="FFFFFF"/>
              </w:rPr>
            </w:pPr>
            <w:r w:rsidRPr="008322B5">
              <w:rPr>
                <w:smallCaps w:val="0"/>
                <w:sz w:val="24"/>
              </w:rPr>
              <w:lastRenderedPageBreak/>
              <w:t>6.</w:t>
            </w:r>
            <w:r w:rsidRPr="008322B5">
              <w:tab/>
            </w:r>
            <w:r w:rsidRPr="008322B5">
              <w:rPr>
                <w:smallCaps w:val="0"/>
                <w:sz w:val="24"/>
              </w:rPr>
              <w:t>Documentation</w:t>
            </w:r>
          </w:p>
        </w:tc>
      </w:tr>
      <w:tr w:rsidR="00846A7D" w:rsidRPr="008322B5" w:rsidTr="007B4F22">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846A7D" w:rsidRPr="008322B5" w:rsidRDefault="00846A7D" w:rsidP="007B4F22">
            <w:pPr>
              <w:pStyle w:val="Grille02N"/>
              <w:ind w:left="709" w:right="135" w:hanging="567"/>
              <w:jc w:val="left"/>
            </w:pPr>
            <w:r w:rsidRPr="008322B5">
              <w:t>6.a.</w:t>
            </w:r>
            <w:r w:rsidRPr="008322B5">
              <w:tab/>
              <w:t>Documentation annexée (obligatoire)</w:t>
            </w:r>
          </w:p>
          <w:p w:rsidR="00846A7D" w:rsidRPr="008322B5" w:rsidRDefault="00846A7D" w:rsidP="007B4F22">
            <w:pPr>
              <w:pStyle w:val="Info03"/>
              <w:spacing w:before="120" w:line="240" w:lineRule="auto"/>
              <w:ind w:right="135"/>
              <w:rPr>
                <w:rFonts w:eastAsia="SimSun"/>
                <w:sz w:val="18"/>
                <w:szCs w:val="18"/>
              </w:rPr>
            </w:pPr>
            <w:r w:rsidRPr="008322B5">
              <w:rPr>
                <w:sz w:val="18"/>
              </w:rPr>
              <w:t>Les documents ci-dessous sont obligatoires et seront utilisés dans le processus d</w:t>
            </w:r>
            <w:r w:rsidR="009B42BE">
              <w:rPr>
                <w:sz w:val="18"/>
              </w:rPr>
              <w:t>’</w:t>
            </w:r>
            <w:r w:rsidRPr="008322B5">
              <w:rPr>
                <w:sz w:val="18"/>
              </w:rPr>
              <w:t>évaluation et d</w:t>
            </w:r>
            <w:r w:rsidR="009B42BE">
              <w:rPr>
                <w:sz w:val="18"/>
              </w:rPr>
              <w:t>’</w:t>
            </w:r>
            <w:r w:rsidRPr="008322B5">
              <w:rPr>
                <w:sz w:val="18"/>
              </w:rPr>
              <w:t>examen de la candidature. Les photos et le film pourront également être utiles pour d</w:t>
            </w:r>
            <w:r w:rsidR="009B42BE">
              <w:rPr>
                <w:sz w:val="18"/>
              </w:rPr>
              <w:t>’</w:t>
            </w:r>
            <w:r w:rsidRPr="008322B5">
              <w:rPr>
                <w:sz w:val="18"/>
              </w:rPr>
              <w:t>éventuelles activités de visibilité si l</w:t>
            </w:r>
            <w:r w:rsidR="009B42BE">
              <w:rPr>
                <w:sz w:val="18"/>
              </w:rPr>
              <w:t>’</w:t>
            </w:r>
            <w:r w:rsidRPr="008322B5">
              <w:rPr>
                <w:sz w:val="18"/>
              </w:rPr>
              <w:t>élément est inscrit. Cochez les cases suivantes pour confirmer que les documents en question sont inclus avec la candidature et qu</w:t>
            </w:r>
            <w:r w:rsidR="009B42BE">
              <w:rPr>
                <w:sz w:val="18"/>
              </w:rPr>
              <w:t>’</w:t>
            </w:r>
            <w:r w:rsidRPr="008322B5">
              <w:rPr>
                <w:sz w:val="18"/>
              </w:rPr>
              <w:t>ils sont conformes aux instructions. Les documents supplémentaires, en dehors de ceux spécifiés ci-dessous ne pourront pas être acceptés et ne seront pas retournés.</w:t>
            </w:r>
          </w:p>
        </w:tc>
      </w:tr>
      <w:tr w:rsidR="00846A7D" w:rsidRPr="008322B5" w:rsidTr="007B4F22">
        <w:tblPrEx>
          <w:tblBorders>
            <w:insideV w:val="none" w:sz="0" w:space="0" w:color="auto"/>
          </w:tblBorders>
        </w:tblPrEx>
        <w:trPr>
          <w:cantSplit/>
        </w:trPr>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846A7D" w:rsidRPr="008322B5" w:rsidRDefault="00685BB2" w:rsidP="009B42BE">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8322B5">
              <w:rPr>
                <w:rFonts w:ascii="Arial" w:hAnsi="Arial" w:cs="Arial"/>
                <w:color w:val="auto"/>
                <w:sz w:val="20"/>
                <w:szCs w:val="20"/>
              </w:rPr>
              <w:fldChar w:fldCharType="begin">
                <w:ffData>
                  <w:name w:val="CaseACocher6"/>
                  <w:enabled/>
                  <w:calcOnExit w:val="0"/>
                  <w:checkBox>
                    <w:sizeAuto/>
                    <w:default w:val="1"/>
                  </w:checkBox>
                </w:ffData>
              </w:fldChar>
            </w:r>
            <w:bookmarkStart w:id="4" w:name="CaseACocher6"/>
            <w:r w:rsidR="00846A7D" w:rsidRPr="008322B5">
              <w:rPr>
                <w:rFonts w:ascii="Arial" w:hAnsi="Arial" w:cs="Arial"/>
                <w:color w:val="auto"/>
                <w:sz w:val="20"/>
                <w:szCs w:val="20"/>
              </w:rPr>
              <w:instrText xml:space="preserve"> FORMCHECKBOX </w:instrText>
            </w:r>
            <w:r w:rsidR="00603F68">
              <w:rPr>
                <w:rFonts w:ascii="Arial" w:hAnsi="Arial" w:cs="Arial"/>
                <w:color w:val="auto"/>
                <w:sz w:val="20"/>
                <w:szCs w:val="20"/>
              </w:rPr>
            </w:r>
            <w:r w:rsidR="00603F68">
              <w:rPr>
                <w:rFonts w:ascii="Arial" w:hAnsi="Arial" w:cs="Arial"/>
                <w:color w:val="auto"/>
                <w:sz w:val="20"/>
                <w:szCs w:val="20"/>
              </w:rPr>
              <w:fldChar w:fldCharType="separate"/>
            </w:r>
            <w:r w:rsidRPr="008322B5">
              <w:rPr>
                <w:rFonts w:ascii="Arial" w:hAnsi="Arial" w:cs="Arial"/>
                <w:color w:val="auto"/>
                <w:sz w:val="20"/>
                <w:szCs w:val="20"/>
              </w:rPr>
              <w:fldChar w:fldCharType="end"/>
            </w:r>
            <w:bookmarkEnd w:id="4"/>
            <w:r w:rsidR="00846A7D" w:rsidRPr="008322B5">
              <w:rPr>
                <w:rFonts w:ascii="Arial" w:hAnsi="Arial"/>
                <w:color w:val="auto"/>
                <w:sz w:val="20"/>
              </w:rPr>
              <w:t xml:space="preserve"> preuve du consentement des communautés, avec une traduction en anglais ou en français si la langue de la communauté concernée est différente de l</w:t>
            </w:r>
            <w:r w:rsidR="009B42BE">
              <w:rPr>
                <w:rFonts w:ascii="Arial" w:hAnsi="Arial"/>
                <w:color w:val="auto"/>
                <w:sz w:val="20"/>
              </w:rPr>
              <w:t>’</w:t>
            </w:r>
            <w:r w:rsidR="00846A7D" w:rsidRPr="008322B5">
              <w:rPr>
                <w:rFonts w:ascii="Arial" w:hAnsi="Arial"/>
                <w:color w:val="auto"/>
                <w:sz w:val="20"/>
              </w:rPr>
              <w:t>anglais ou du français</w:t>
            </w:r>
          </w:p>
          <w:p w:rsidR="00846A7D" w:rsidRPr="008322B5" w:rsidRDefault="00685BB2" w:rsidP="007B4F22">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8322B5">
              <w:rPr>
                <w:rFonts w:ascii="Arial" w:hAnsi="Arial" w:cs="Arial"/>
                <w:color w:val="auto"/>
                <w:sz w:val="20"/>
                <w:szCs w:val="20"/>
              </w:rPr>
              <w:fldChar w:fldCharType="begin">
                <w:ffData>
                  <w:name w:val=""/>
                  <w:enabled/>
                  <w:calcOnExit w:val="0"/>
                  <w:checkBox>
                    <w:sizeAuto/>
                    <w:default w:val="1"/>
                  </w:checkBox>
                </w:ffData>
              </w:fldChar>
            </w:r>
            <w:r w:rsidR="00846A7D" w:rsidRPr="008322B5">
              <w:rPr>
                <w:rFonts w:ascii="Arial" w:hAnsi="Arial" w:cs="Arial"/>
                <w:color w:val="auto"/>
                <w:sz w:val="20"/>
                <w:szCs w:val="20"/>
              </w:rPr>
              <w:instrText xml:space="preserve"> FORMCHECKBOX </w:instrText>
            </w:r>
            <w:r w:rsidR="00603F68">
              <w:rPr>
                <w:rFonts w:ascii="Arial" w:hAnsi="Arial" w:cs="Arial"/>
                <w:color w:val="auto"/>
                <w:sz w:val="20"/>
                <w:szCs w:val="20"/>
              </w:rPr>
            </w:r>
            <w:r w:rsidR="00603F68">
              <w:rPr>
                <w:rFonts w:ascii="Arial" w:hAnsi="Arial" w:cs="Arial"/>
                <w:color w:val="auto"/>
                <w:sz w:val="20"/>
                <w:szCs w:val="20"/>
              </w:rPr>
              <w:fldChar w:fldCharType="separate"/>
            </w:r>
            <w:r w:rsidRPr="008322B5">
              <w:rPr>
                <w:rFonts w:ascii="Arial" w:hAnsi="Arial" w:cs="Arial"/>
                <w:color w:val="auto"/>
                <w:sz w:val="20"/>
                <w:szCs w:val="20"/>
              </w:rPr>
              <w:fldChar w:fldCharType="end"/>
            </w:r>
            <w:r w:rsidR="00846A7D" w:rsidRPr="008322B5">
              <w:rPr>
                <w:rFonts w:ascii="Arial" w:hAnsi="Arial"/>
                <w:color w:val="auto"/>
                <w:sz w:val="20"/>
              </w:rPr>
              <w:t xml:space="preserve"> document attestant de l</w:t>
            </w:r>
            <w:r w:rsidR="009B42BE">
              <w:rPr>
                <w:rFonts w:ascii="Arial" w:hAnsi="Arial"/>
                <w:color w:val="auto"/>
                <w:sz w:val="20"/>
              </w:rPr>
              <w:t>’</w:t>
            </w:r>
            <w:r w:rsidR="00846A7D" w:rsidRPr="008322B5">
              <w:rPr>
                <w:rFonts w:ascii="Arial" w:hAnsi="Arial"/>
                <w:color w:val="auto"/>
                <w:sz w:val="20"/>
              </w:rPr>
              <w:t>inclusion de l</w:t>
            </w:r>
            <w:r w:rsidR="009B42BE">
              <w:rPr>
                <w:rFonts w:ascii="Arial" w:hAnsi="Arial"/>
                <w:color w:val="auto"/>
                <w:sz w:val="20"/>
              </w:rPr>
              <w:t>’</w:t>
            </w:r>
            <w:r w:rsidR="00846A7D" w:rsidRPr="008322B5">
              <w:rPr>
                <w:rFonts w:ascii="Arial" w:hAnsi="Arial"/>
                <w:color w:val="auto"/>
                <w:sz w:val="20"/>
              </w:rPr>
              <w:t>élément dans un inventaire du patrimoine culturel immatériel présent sur le(s) territoire(s) de l</w:t>
            </w:r>
            <w:r w:rsidR="009B42BE">
              <w:rPr>
                <w:rFonts w:ascii="Arial" w:hAnsi="Arial"/>
                <w:color w:val="auto"/>
                <w:sz w:val="20"/>
              </w:rPr>
              <w:t>’</w:t>
            </w:r>
            <w:r w:rsidR="00846A7D" w:rsidRPr="008322B5">
              <w:rPr>
                <w:rFonts w:ascii="Arial" w:hAnsi="Arial"/>
                <w:color w:val="auto"/>
                <w:sz w:val="20"/>
              </w:rPr>
              <w:t>(des) État(s) soumissionnaire(s), tel que défini dans les articles 11 et 12 de la Convention ; ces preuves doivent inclure un extrait pertinent de l</w:t>
            </w:r>
            <w:r w:rsidR="009B42BE">
              <w:rPr>
                <w:rFonts w:ascii="Arial" w:hAnsi="Arial"/>
                <w:color w:val="auto"/>
                <w:sz w:val="20"/>
              </w:rPr>
              <w:t>’</w:t>
            </w:r>
            <w:r w:rsidR="00846A7D" w:rsidRPr="008322B5">
              <w:rPr>
                <w:rFonts w:ascii="Arial" w:hAnsi="Arial"/>
                <w:color w:val="auto"/>
                <w:sz w:val="20"/>
              </w:rPr>
              <w:t>(des) inventaire(s) en anglais ou en français ainsi que dans la langue originale si elle est différente</w:t>
            </w:r>
          </w:p>
          <w:p w:rsidR="00846A7D" w:rsidRPr="008322B5" w:rsidRDefault="00685BB2" w:rsidP="007B4F2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20"/>
              </w:rPr>
              <w:t>10 photos récentes en haute résolution</w:t>
            </w:r>
          </w:p>
          <w:p w:rsidR="00846A7D" w:rsidRPr="008322B5" w:rsidRDefault="00685BB2" w:rsidP="007B4F2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20"/>
              </w:rPr>
              <w:t>cession(s) de droits correspondant aux photos (formulaire ICH-07-photo)</w:t>
            </w:r>
          </w:p>
          <w:p w:rsidR="00846A7D" w:rsidRPr="008322B5" w:rsidRDefault="00685BB2" w:rsidP="007B4F22">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8322B5">
              <w:rPr>
                <w:rFonts w:ascii="Arial" w:hAnsi="Arial" w:cs="Arial"/>
                <w:color w:val="auto"/>
                <w:sz w:val="18"/>
                <w:szCs w:val="18"/>
              </w:rPr>
              <w:fldChar w:fldCharType="begin">
                <w:ffData>
                  <w:name w:val="CaseACocher7"/>
                  <w:enabled/>
                  <w:calcOnExit w:val="0"/>
                  <w:checkBox>
                    <w:sizeAuto/>
                    <w:default w:val="1"/>
                  </w:checkBox>
                </w:ffData>
              </w:fldChar>
            </w:r>
            <w:bookmarkStart w:id="5" w:name="CaseACocher7"/>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bookmarkEnd w:id="5"/>
            <w:r w:rsidR="00846A7D" w:rsidRPr="008322B5">
              <w:tab/>
            </w:r>
            <w:r w:rsidR="00846A7D" w:rsidRPr="008322B5">
              <w:rPr>
                <w:rFonts w:ascii="Arial" w:hAnsi="Arial"/>
                <w:color w:val="auto"/>
                <w:sz w:val="20"/>
              </w:rPr>
              <w:t>film vidéo monté (de 5 à 10 minutes), sous-titré dans l</w:t>
            </w:r>
            <w:r w:rsidR="009B42BE">
              <w:rPr>
                <w:rFonts w:ascii="Arial" w:hAnsi="Arial"/>
                <w:color w:val="auto"/>
                <w:sz w:val="20"/>
              </w:rPr>
              <w:t>’</w:t>
            </w:r>
            <w:r w:rsidR="00846A7D" w:rsidRPr="008322B5">
              <w:rPr>
                <w:rFonts w:ascii="Arial" w:hAnsi="Arial"/>
                <w:color w:val="auto"/>
                <w:sz w:val="20"/>
              </w:rPr>
              <w:t>une des langues de travail du Comité (anglais ou français) si la langue utilisée n</w:t>
            </w:r>
            <w:r w:rsidR="009B42BE">
              <w:rPr>
                <w:rFonts w:ascii="Arial" w:hAnsi="Arial"/>
                <w:color w:val="auto"/>
                <w:sz w:val="20"/>
              </w:rPr>
              <w:t>’</w:t>
            </w:r>
            <w:r w:rsidR="00846A7D" w:rsidRPr="008322B5">
              <w:rPr>
                <w:rFonts w:ascii="Arial" w:hAnsi="Arial"/>
                <w:color w:val="auto"/>
                <w:sz w:val="20"/>
              </w:rPr>
              <w:t>est ni l</w:t>
            </w:r>
            <w:r w:rsidR="009B42BE">
              <w:rPr>
                <w:rFonts w:ascii="Arial" w:hAnsi="Arial"/>
                <w:color w:val="auto"/>
                <w:sz w:val="20"/>
              </w:rPr>
              <w:t>’</w:t>
            </w:r>
            <w:r w:rsidR="00846A7D" w:rsidRPr="008322B5">
              <w:rPr>
                <w:rFonts w:ascii="Arial" w:hAnsi="Arial"/>
                <w:color w:val="auto"/>
                <w:sz w:val="20"/>
              </w:rPr>
              <w:t>anglais ni le français</w:t>
            </w:r>
          </w:p>
          <w:p w:rsidR="00846A7D" w:rsidRPr="008322B5" w:rsidRDefault="00685BB2" w:rsidP="009B42BE">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8322B5">
              <w:rPr>
                <w:rFonts w:ascii="Arial" w:hAnsi="Arial" w:cs="Arial"/>
                <w:color w:val="auto"/>
                <w:sz w:val="18"/>
                <w:szCs w:val="18"/>
              </w:rPr>
              <w:fldChar w:fldCharType="begin">
                <w:ffData>
                  <w:name w:val=""/>
                  <w:enabled/>
                  <w:calcOnExit w:val="0"/>
                  <w:checkBox>
                    <w:sizeAuto/>
                    <w:default w:val="1"/>
                  </w:checkBox>
                </w:ffData>
              </w:fldChar>
            </w:r>
            <w:r w:rsidR="00846A7D" w:rsidRPr="008322B5">
              <w:rPr>
                <w:rFonts w:ascii="Arial" w:hAnsi="Arial" w:cs="Arial"/>
                <w:color w:val="auto"/>
                <w:sz w:val="18"/>
                <w:szCs w:val="18"/>
              </w:rPr>
              <w:instrText xml:space="preserve"> FORMCHECKBOX </w:instrText>
            </w:r>
            <w:r w:rsidR="00603F68">
              <w:rPr>
                <w:rFonts w:ascii="Arial" w:hAnsi="Arial" w:cs="Arial"/>
                <w:color w:val="auto"/>
                <w:sz w:val="18"/>
                <w:szCs w:val="18"/>
              </w:rPr>
            </w:r>
            <w:r w:rsidR="00603F68">
              <w:rPr>
                <w:rFonts w:ascii="Arial" w:hAnsi="Arial" w:cs="Arial"/>
                <w:color w:val="auto"/>
                <w:sz w:val="18"/>
                <w:szCs w:val="18"/>
              </w:rPr>
              <w:fldChar w:fldCharType="separate"/>
            </w:r>
            <w:r w:rsidRPr="008322B5">
              <w:rPr>
                <w:rFonts w:ascii="Arial" w:hAnsi="Arial" w:cs="Arial"/>
                <w:color w:val="auto"/>
                <w:sz w:val="18"/>
                <w:szCs w:val="18"/>
              </w:rPr>
              <w:fldChar w:fldCharType="end"/>
            </w:r>
            <w:r w:rsidR="00846A7D" w:rsidRPr="008322B5">
              <w:rPr>
                <w:rFonts w:ascii="Arial" w:hAnsi="Arial"/>
                <w:color w:val="auto"/>
                <w:sz w:val="20"/>
              </w:rPr>
              <w:t>cession(s) de droits correspondant à la vidéo enregistrée (formulaire ICH-07-vidéo)</w:t>
            </w:r>
          </w:p>
        </w:tc>
      </w:tr>
      <w:tr w:rsidR="00846A7D" w:rsidRPr="008322B5" w:rsidTr="007B4F22">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846A7D" w:rsidRPr="008322B5" w:rsidRDefault="00846A7D" w:rsidP="007B4F22">
            <w:pPr>
              <w:pStyle w:val="Grille02N"/>
              <w:ind w:left="709" w:right="136" w:hanging="567"/>
              <w:jc w:val="left"/>
            </w:pPr>
            <w:r w:rsidRPr="008322B5">
              <w:t>6.b.</w:t>
            </w:r>
            <w:r w:rsidRPr="008322B5">
              <w:tab/>
              <w:t>Liste de références documentaires (optionnel)</w:t>
            </w:r>
          </w:p>
          <w:p w:rsidR="00846A7D" w:rsidRPr="008322B5" w:rsidRDefault="00846A7D" w:rsidP="007B4F22">
            <w:pPr>
              <w:pStyle w:val="Grille02N"/>
              <w:tabs>
                <w:tab w:val="left" w:pos="567"/>
                <w:tab w:val="left" w:pos="1134"/>
                <w:tab w:val="left" w:pos="1701"/>
              </w:tabs>
              <w:spacing w:after="0"/>
              <w:ind w:right="136"/>
              <w:jc w:val="both"/>
              <w:rPr>
                <w:b w:val="0"/>
                <w:bCs w:val="0"/>
                <w:i/>
                <w:iCs/>
                <w:sz w:val="18"/>
                <w:szCs w:val="18"/>
              </w:rPr>
            </w:pPr>
            <w:r w:rsidRPr="008322B5">
              <w:rPr>
                <w:b w:val="0"/>
                <w:i/>
                <w:sz w:val="18"/>
              </w:rPr>
              <w:t>Les États soumissionnaires peuvent souhaiter donner une liste des principaux ouvrages de référence publiés, tels que des livres, des articles, du matériel audiovisuel ou des sites Internet qui donnent des informations complémentaires sur l</w:t>
            </w:r>
            <w:r w:rsidR="009B42BE">
              <w:rPr>
                <w:b w:val="0"/>
                <w:i/>
                <w:sz w:val="18"/>
              </w:rPr>
              <w:t>’</w:t>
            </w:r>
            <w:r w:rsidRPr="008322B5">
              <w:rPr>
                <w:b w:val="0"/>
                <w:i/>
                <w:sz w:val="18"/>
              </w:rPr>
              <w:t>élément, en respectant les règles standards de présentation des bibliographies. Ces travaux publiés ne doivent pas être envoyés avec la candidature.</w:t>
            </w:r>
          </w:p>
          <w:p w:rsidR="00846A7D" w:rsidRPr="008322B5" w:rsidRDefault="00846A7D" w:rsidP="007B4F22">
            <w:pPr>
              <w:pStyle w:val="Word"/>
              <w:spacing w:line="240" w:lineRule="auto"/>
              <w:ind w:right="136"/>
            </w:pPr>
            <w:r w:rsidRPr="008322B5">
              <w:rPr>
                <w:sz w:val="18"/>
              </w:rPr>
              <w:t>Ne pas dépasser une page standard</w:t>
            </w:r>
          </w:p>
        </w:tc>
      </w:tr>
      <w:tr w:rsidR="00846A7D" w:rsidRPr="008322B5" w:rsidTr="00687CDF">
        <w:tblPrEx>
          <w:tblBorders>
            <w:insideV w:val="none" w:sz="0" w:space="0" w:color="auto"/>
          </w:tblBorders>
        </w:tblPrEx>
        <w:tc>
          <w:tcPr>
            <w:tcW w:w="9639" w:type="dxa"/>
            <w:tcBorders>
              <w:bottom w:val="single" w:sz="4" w:space="0" w:color="auto"/>
            </w:tcBorders>
            <w:shd w:val="clear" w:color="auto" w:fill="auto"/>
            <w:tcMar>
              <w:top w:w="113" w:type="dxa"/>
              <w:left w:w="113" w:type="dxa"/>
              <w:bottom w:w="113" w:type="dxa"/>
              <w:right w:w="113" w:type="dxa"/>
            </w:tcMar>
          </w:tcPr>
          <w:p w:rsidR="00846A7D" w:rsidRPr="008322B5" w:rsidRDefault="00846A7D" w:rsidP="00687CDF">
            <w:pPr>
              <w:tabs>
                <w:tab w:val="left" w:pos="567"/>
                <w:tab w:val="left" w:pos="1134"/>
                <w:tab w:val="left" w:pos="1701"/>
              </w:tabs>
              <w:spacing w:before="120" w:line="240" w:lineRule="exact"/>
              <w:jc w:val="both"/>
              <w:rPr>
                <w:rFonts w:eastAsia="SimSun"/>
                <w:bCs/>
                <w:sz w:val="22"/>
                <w:szCs w:val="22"/>
              </w:rPr>
            </w:pPr>
            <w:r w:rsidRPr="008322B5">
              <w:rPr>
                <w:sz w:val="22"/>
              </w:rPr>
              <w:t>---</w:t>
            </w:r>
          </w:p>
        </w:tc>
      </w:tr>
      <w:tr w:rsidR="00846A7D" w:rsidRPr="008322B5" w:rsidTr="007B4F22">
        <w:tblPrEx>
          <w:tblBorders>
            <w:insideV w:val="none" w:sz="0" w:space="0" w:color="auto"/>
          </w:tblBorders>
        </w:tblPrEx>
        <w:trPr>
          <w:cantSplit/>
          <w:trHeight w:val="738"/>
        </w:trPr>
        <w:tc>
          <w:tcPr>
            <w:tcW w:w="9639" w:type="dxa"/>
            <w:tcBorders>
              <w:top w:val="nil"/>
              <w:left w:val="nil"/>
              <w:bottom w:val="nil"/>
              <w:right w:val="nil"/>
            </w:tcBorders>
            <w:shd w:val="clear" w:color="auto" w:fill="D9D9D9"/>
          </w:tcPr>
          <w:p w:rsidR="00846A7D" w:rsidRPr="008322B5" w:rsidRDefault="00846A7D" w:rsidP="007B4F22">
            <w:pPr>
              <w:pStyle w:val="Grille01N"/>
              <w:spacing w:before="240" w:line="240" w:lineRule="auto"/>
              <w:ind w:left="709" w:right="136" w:hanging="567"/>
              <w:jc w:val="left"/>
              <w:rPr>
                <w:rFonts w:eastAsia="SimSun" w:cs="Arial"/>
                <w:bCs/>
                <w:smallCaps w:val="0"/>
                <w:sz w:val="24"/>
                <w:shd w:val="pct15" w:color="auto" w:fill="FFFFFF"/>
              </w:rPr>
            </w:pPr>
            <w:r w:rsidRPr="008322B5">
              <w:rPr>
                <w:smallCaps w:val="0"/>
                <w:sz w:val="24"/>
              </w:rPr>
              <w:t>7.</w:t>
            </w:r>
            <w:r w:rsidRPr="008322B5">
              <w:tab/>
            </w:r>
            <w:r w:rsidRPr="008322B5">
              <w:rPr>
                <w:smallCaps w:val="0"/>
                <w:sz w:val="24"/>
              </w:rPr>
              <w:t>Signature(s) pour le compte de l</w:t>
            </w:r>
            <w:r w:rsidR="009B42BE">
              <w:rPr>
                <w:smallCaps w:val="0"/>
                <w:sz w:val="24"/>
              </w:rPr>
              <w:t>’</w:t>
            </w:r>
            <w:r w:rsidRPr="008322B5">
              <w:rPr>
                <w:smallCaps w:val="0"/>
                <w:sz w:val="24"/>
              </w:rPr>
              <w:t>(des) État(s) partie(s)</w:t>
            </w:r>
          </w:p>
        </w:tc>
      </w:tr>
      <w:tr w:rsidR="00846A7D" w:rsidRPr="008322B5" w:rsidTr="007B4F22">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846A7D" w:rsidRPr="008322B5" w:rsidRDefault="00846A7D" w:rsidP="007B4F22">
            <w:pPr>
              <w:pStyle w:val="Info03"/>
              <w:spacing w:before="120" w:line="240" w:lineRule="auto"/>
              <w:ind w:right="136"/>
              <w:rPr>
                <w:rFonts w:eastAsia="SimSun"/>
                <w:sz w:val="18"/>
                <w:szCs w:val="18"/>
              </w:rPr>
            </w:pPr>
            <w:r w:rsidRPr="008322B5">
              <w:rPr>
                <w:sz w:val="18"/>
              </w:rPr>
              <w:t>La candidature doit être conclue par la signature du responsable habilité à la signer pour le compte de l</w:t>
            </w:r>
            <w:r w:rsidR="009B42BE">
              <w:rPr>
                <w:sz w:val="18"/>
              </w:rPr>
              <w:t>’</w:t>
            </w:r>
            <w:r w:rsidRPr="008322B5">
              <w:rPr>
                <w:sz w:val="18"/>
              </w:rPr>
              <w:t>État partie, avec la mention de son nom, de son titre et de la date de soumission.</w:t>
            </w:r>
          </w:p>
          <w:p w:rsidR="00846A7D" w:rsidRPr="008322B5" w:rsidRDefault="00846A7D" w:rsidP="007B4F22">
            <w:pPr>
              <w:pStyle w:val="Info03"/>
              <w:spacing w:before="120" w:line="240" w:lineRule="auto"/>
              <w:ind w:right="136"/>
            </w:pPr>
            <w:r w:rsidRPr="008322B5">
              <w:rPr>
                <w:sz w:val="18"/>
              </w:rPr>
              <w:t>Dans le cas des candidatures multinationales, le document doit comporter le nom, le titre et la signature d</w:t>
            </w:r>
            <w:r w:rsidR="009B42BE">
              <w:rPr>
                <w:sz w:val="18"/>
              </w:rPr>
              <w:t>’</w:t>
            </w:r>
            <w:r w:rsidRPr="008322B5">
              <w:rPr>
                <w:sz w:val="18"/>
              </w:rPr>
              <w:t>un responsable de chaque État partie soumissionnaire.</w:t>
            </w:r>
          </w:p>
        </w:tc>
      </w:tr>
      <w:tr w:rsidR="00846A7D" w:rsidRPr="008322B5" w:rsidTr="007B4F22">
        <w:tblPrEx>
          <w:tblBorders>
            <w:insideV w:val="none" w:sz="0" w:space="0" w:color="auto"/>
          </w:tblBorders>
        </w:tblPrEx>
        <w:trPr>
          <w:cantSplit/>
        </w:trPr>
        <w:tc>
          <w:tcPr>
            <w:tcW w:w="9639" w:type="dxa"/>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846A7D" w:rsidRPr="008322B5" w:rsidTr="007B4F22">
              <w:tc>
                <w:tcPr>
                  <w:tcW w:w="1871" w:type="dxa"/>
                </w:tcPr>
                <w:p w:rsidR="00846A7D" w:rsidRPr="008322B5" w:rsidRDefault="00846A7D" w:rsidP="00A42C35">
                  <w:pPr>
                    <w:pStyle w:val="Info03"/>
                    <w:spacing w:before="120" w:line="240" w:lineRule="auto"/>
                    <w:ind w:left="0" w:right="136"/>
                    <w:jc w:val="right"/>
                    <w:rPr>
                      <w:i w:val="0"/>
                    </w:rPr>
                  </w:pPr>
                  <w:bookmarkStart w:id="6" w:name="OLE_LINK13"/>
                  <w:bookmarkStart w:id="7" w:name="OLE_LINK14"/>
                  <w:r w:rsidRPr="008322B5">
                    <w:rPr>
                      <w:i w:val="0"/>
                    </w:rPr>
                    <w:t>Nom :</w:t>
                  </w:r>
                </w:p>
              </w:tc>
              <w:tc>
                <w:tcPr>
                  <w:tcW w:w="7625" w:type="dxa"/>
                </w:tcPr>
                <w:p w:rsidR="00846A7D" w:rsidRPr="008322B5" w:rsidRDefault="00846A7D" w:rsidP="00A42C35">
                  <w:pPr>
                    <w:pStyle w:val="Info03"/>
                    <w:keepNext w:val="0"/>
                    <w:spacing w:before="120" w:line="240" w:lineRule="auto"/>
                    <w:ind w:left="0"/>
                    <w:jc w:val="left"/>
                    <w:rPr>
                      <w:i w:val="0"/>
                      <w:sz w:val="22"/>
                    </w:rPr>
                  </w:pPr>
                  <w:r w:rsidRPr="008322B5">
                    <w:rPr>
                      <w:i w:val="0"/>
                      <w:noProof/>
                      <w:sz w:val="22"/>
                    </w:rPr>
                    <w:t>Jet Bussemaker Ph.D</w:t>
                  </w:r>
                </w:p>
              </w:tc>
            </w:tr>
            <w:tr w:rsidR="00846A7D" w:rsidRPr="00603F68" w:rsidTr="007B4F22">
              <w:tc>
                <w:tcPr>
                  <w:tcW w:w="1871" w:type="dxa"/>
                </w:tcPr>
                <w:p w:rsidR="00846A7D" w:rsidRPr="008322B5" w:rsidRDefault="00846A7D" w:rsidP="00A42C35">
                  <w:pPr>
                    <w:pStyle w:val="Info03"/>
                    <w:spacing w:before="120" w:line="240" w:lineRule="auto"/>
                    <w:ind w:left="0" w:right="136"/>
                    <w:jc w:val="right"/>
                    <w:rPr>
                      <w:i w:val="0"/>
                    </w:rPr>
                  </w:pPr>
                  <w:r w:rsidRPr="008322B5">
                    <w:rPr>
                      <w:i w:val="0"/>
                    </w:rPr>
                    <w:t>Titre :</w:t>
                  </w:r>
                </w:p>
              </w:tc>
              <w:tc>
                <w:tcPr>
                  <w:tcW w:w="7625" w:type="dxa"/>
                </w:tcPr>
                <w:p w:rsidR="00846A7D" w:rsidRPr="008322B5" w:rsidRDefault="00846A7D" w:rsidP="00A42C35">
                  <w:pPr>
                    <w:pStyle w:val="Info03"/>
                    <w:keepNext w:val="0"/>
                    <w:spacing w:before="120" w:line="240" w:lineRule="auto"/>
                    <w:ind w:left="0"/>
                    <w:jc w:val="left"/>
                    <w:rPr>
                      <w:i w:val="0"/>
                      <w:sz w:val="22"/>
                      <w:lang w:val="en-US"/>
                    </w:rPr>
                  </w:pPr>
                  <w:r w:rsidRPr="008322B5">
                    <w:rPr>
                      <w:i w:val="0"/>
                      <w:noProof/>
                      <w:sz w:val="22"/>
                      <w:lang w:val="en-US"/>
                    </w:rPr>
                    <w:t>Minister for Education, Culture and Science</w:t>
                  </w:r>
                </w:p>
              </w:tc>
            </w:tr>
            <w:tr w:rsidR="00846A7D" w:rsidRPr="008322B5" w:rsidTr="007B4F22">
              <w:tc>
                <w:tcPr>
                  <w:tcW w:w="1871" w:type="dxa"/>
                  <w:tcBorders>
                    <w:bottom w:val="nil"/>
                  </w:tcBorders>
                </w:tcPr>
                <w:p w:rsidR="00846A7D" w:rsidRPr="008322B5" w:rsidRDefault="00846A7D" w:rsidP="0079556A">
                  <w:pPr>
                    <w:pStyle w:val="Info03"/>
                    <w:spacing w:before="120" w:line="240" w:lineRule="auto"/>
                    <w:ind w:left="0" w:right="136"/>
                    <w:jc w:val="right"/>
                    <w:rPr>
                      <w:i w:val="0"/>
                    </w:rPr>
                  </w:pPr>
                  <w:r w:rsidRPr="008322B5">
                    <w:rPr>
                      <w:i w:val="0"/>
                    </w:rPr>
                    <w:t>Date :</w:t>
                  </w:r>
                </w:p>
              </w:tc>
              <w:tc>
                <w:tcPr>
                  <w:tcW w:w="7625" w:type="dxa"/>
                  <w:tcBorders>
                    <w:bottom w:val="nil"/>
                  </w:tcBorders>
                </w:tcPr>
                <w:p w:rsidR="00846A7D" w:rsidRPr="008322B5" w:rsidRDefault="00846A7D" w:rsidP="00A42C35">
                  <w:pPr>
                    <w:spacing w:before="120"/>
                    <w:rPr>
                      <w:sz w:val="22"/>
                      <w:szCs w:val="22"/>
                    </w:rPr>
                  </w:pPr>
                  <w:r w:rsidRPr="008322B5">
                    <w:rPr>
                      <w:sz w:val="22"/>
                    </w:rPr>
                    <w:t>25 février 2016</w:t>
                  </w:r>
                </w:p>
              </w:tc>
            </w:tr>
            <w:tr w:rsidR="00846A7D" w:rsidRPr="008322B5" w:rsidTr="007B4F22">
              <w:trPr>
                <w:trHeight w:val="1035"/>
              </w:trPr>
              <w:tc>
                <w:tcPr>
                  <w:tcW w:w="1871" w:type="dxa"/>
                  <w:tcBorders>
                    <w:bottom w:val="nil"/>
                  </w:tcBorders>
                </w:tcPr>
                <w:p w:rsidR="00846A7D" w:rsidRPr="008322B5" w:rsidRDefault="00846A7D" w:rsidP="0079556A">
                  <w:pPr>
                    <w:pStyle w:val="Info03"/>
                    <w:spacing w:before="120" w:line="240" w:lineRule="auto"/>
                    <w:ind w:left="0" w:right="136"/>
                    <w:jc w:val="right"/>
                    <w:rPr>
                      <w:i w:val="0"/>
                    </w:rPr>
                  </w:pPr>
                  <w:r w:rsidRPr="008322B5">
                    <w:rPr>
                      <w:i w:val="0"/>
                    </w:rPr>
                    <w:t>Signature :</w:t>
                  </w:r>
                </w:p>
              </w:tc>
              <w:tc>
                <w:tcPr>
                  <w:tcW w:w="7625" w:type="dxa"/>
                  <w:tcBorders>
                    <w:bottom w:val="nil"/>
                  </w:tcBorders>
                </w:tcPr>
                <w:p w:rsidR="00846A7D" w:rsidRPr="008322B5" w:rsidRDefault="00846A7D" w:rsidP="0079556A">
                  <w:pPr>
                    <w:spacing w:before="120"/>
                    <w:rPr>
                      <w:sz w:val="22"/>
                      <w:szCs w:val="22"/>
                    </w:rPr>
                  </w:pPr>
                  <w:r w:rsidRPr="008322B5">
                    <w:rPr>
                      <w:sz w:val="22"/>
                    </w:rPr>
                    <w:t>&lt;signé&gt;</w:t>
                  </w:r>
                </w:p>
              </w:tc>
            </w:tr>
            <w:bookmarkEnd w:id="6"/>
            <w:bookmarkEnd w:id="7"/>
          </w:tbl>
          <w:p w:rsidR="00846A7D" w:rsidRPr="008322B5" w:rsidRDefault="00846A7D" w:rsidP="007B4F22">
            <w:pPr>
              <w:pStyle w:val="Info03"/>
              <w:spacing w:before="120" w:line="240" w:lineRule="auto"/>
              <w:ind w:right="136"/>
            </w:pPr>
          </w:p>
        </w:tc>
      </w:tr>
      <w:tr w:rsidR="00846A7D" w:rsidRPr="008322B5" w:rsidTr="007B4F22">
        <w:tblPrEx>
          <w:tblBorders>
            <w:insideV w:val="none" w:sz="0" w:space="0" w:color="auto"/>
          </w:tblBorders>
        </w:tblPrEx>
        <w:trPr>
          <w:cantSplit/>
        </w:trPr>
        <w:tc>
          <w:tcPr>
            <w:tcW w:w="9639" w:type="dxa"/>
            <w:tcBorders>
              <w:top w:val="single" w:sz="4" w:space="0" w:color="auto"/>
              <w:left w:val="nil"/>
              <w:bottom w:val="single" w:sz="4" w:space="0" w:color="auto"/>
              <w:right w:val="nil"/>
            </w:tcBorders>
            <w:shd w:val="clear" w:color="auto" w:fill="auto"/>
          </w:tcPr>
          <w:p w:rsidR="00846A7D" w:rsidRPr="008322B5" w:rsidRDefault="00846A7D" w:rsidP="009B42BE">
            <w:pPr>
              <w:pStyle w:val="Rponse"/>
              <w:spacing w:before="120" w:after="120" w:line="240" w:lineRule="auto"/>
              <w:jc w:val="left"/>
              <w:rPr>
                <w:i/>
                <w:iCs/>
                <w:sz w:val="18"/>
                <w:szCs w:val="18"/>
              </w:rPr>
            </w:pPr>
          </w:p>
        </w:tc>
      </w:tr>
    </w:tbl>
    <w:p w:rsidR="00314DC2" w:rsidRPr="008322B5" w:rsidRDefault="00314DC2" w:rsidP="00314DC2">
      <w:pPr>
        <w:pStyle w:val="TitreICH"/>
        <w:spacing w:line="240" w:lineRule="auto"/>
        <w:jc w:val="left"/>
        <w:rPr>
          <w:iCs/>
          <w:sz w:val="20"/>
          <w:szCs w:val="20"/>
        </w:rPr>
      </w:pPr>
    </w:p>
    <w:sectPr w:rsidR="00314DC2" w:rsidRPr="008322B5" w:rsidSect="00557845">
      <w:footerReference w:type="even" r:id="rId11"/>
      <w:footerReference w:type="default" r:id="rId12"/>
      <w:headerReference w:type="first" r:id="rId13"/>
      <w:footerReference w:type="first" r:id="rId14"/>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2BE" w:rsidRDefault="009B42BE">
      <w:r>
        <w:separator/>
      </w:r>
    </w:p>
  </w:endnote>
  <w:endnote w:type="continuationSeparator" w:id="0">
    <w:p w:rsidR="009B42BE" w:rsidRDefault="009B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BE" w:rsidRPr="00B658F4" w:rsidRDefault="009B42BE" w:rsidP="007E667E">
    <w:pPr>
      <w:rPr>
        <w:rFonts w:cs="Arial"/>
        <w:sz w:val="16"/>
        <w:szCs w:val="16"/>
      </w:rPr>
    </w:pPr>
    <w:r>
      <w:rPr>
        <w:sz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noProof/>
        <w:sz w:val="16"/>
        <w:szCs w:val="16"/>
      </w:rPr>
      <w:t>2</w:t>
    </w:r>
    <w:r w:rsidRPr="007E667E">
      <w:rPr>
        <w:rFonts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BE" w:rsidRPr="00B658F4" w:rsidRDefault="009B42BE" w:rsidP="000902A1">
    <w:pPr>
      <w:jc w:val="right"/>
      <w:rPr>
        <w:rFonts w:cs="Arial"/>
        <w:noProof/>
        <w:sz w:val="16"/>
        <w:szCs w:val="16"/>
      </w:rPr>
    </w:pPr>
    <w:r>
      <w:rPr>
        <w:sz w:val="16"/>
      </w:rPr>
      <w:t xml:space="preserve">LR 2017 – n° 01265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603F68">
      <w:rPr>
        <w:rFonts w:cs="Arial"/>
        <w:noProof/>
        <w:sz w:val="16"/>
        <w:szCs w:val="16"/>
      </w:rPr>
      <w:t>15</w:t>
    </w:r>
    <w:r w:rsidRPr="00ED4C37">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BE" w:rsidRPr="00B658F4" w:rsidRDefault="009B42BE" w:rsidP="00CB4BAA">
    <w:pPr>
      <w:pStyle w:val="Header"/>
      <w:jc w:val="right"/>
      <w:rPr>
        <w:sz w:val="16"/>
        <w:szCs w:val="16"/>
      </w:rPr>
    </w:pPr>
    <w:r>
      <w:rPr>
        <w:sz w:val="16"/>
      </w:rPr>
      <w:t xml:space="preserve">LR 2017 – n° 01265–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603F68">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2BE" w:rsidRDefault="009B42BE">
      <w:r>
        <w:separator/>
      </w:r>
    </w:p>
  </w:footnote>
  <w:footnote w:type="continuationSeparator" w:id="0">
    <w:p w:rsidR="009B42BE" w:rsidRDefault="009B4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9B42BE" w:rsidRPr="00F90D01" w:rsidTr="00207E72">
      <w:trPr>
        <w:trHeight w:hRule="exact" w:val="2268"/>
      </w:trPr>
      <w:tc>
        <w:tcPr>
          <w:tcW w:w="5056" w:type="dxa"/>
        </w:tcPr>
        <w:p w:rsidR="009B42BE" w:rsidRPr="00ED4C37" w:rsidRDefault="009B42BE" w:rsidP="00207E72">
          <w:pPr>
            <w:rPr>
              <w:sz w:val="20"/>
              <w:szCs w:val="20"/>
            </w:rPr>
          </w:pPr>
          <w:r>
            <w:rPr>
              <w:noProof/>
              <w:sz w:val="20"/>
              <w:szCs w:val="20"/>
              <w:lang w:bidi="ar-SA"/>
            </w:rPr>
            <w:drawing>
              <wp:anchor distT="0" distB="0" distL="114300" distR="114300" simplePos="0" relativeHeight="251657728" behindDoc="0" locked="0" layoutInCell="1" allowOverlap="1">
                <wp:simplePos x="0" y="0"/>
                <wp:positionH relativeFrom="margin">
                  <wp:posOffset>393700</wp:posOffset>
                </wp:positionH>
                <wp:positionV relativeFrom="margin">
                  <wp:posOffset>0</wp:posOffset>
                </wp:positionV>
                <wp:extent cx="2077085" cy="1475740"/>
                <wp:effectExtent l="1905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srcRect b="5258"/>
                        <a:stretch>
                          <a:fillRect/>
                        </a:stretch>
                      </pic:blipFill>
                      <pic:spPr bwMode="auto">
                        <a:xfrm>
                          <a:off x="0" y="0"/>
                          <a:ext cx="2077085" cy="1475740"/>
                        </a:xfrm>
                        <a:prstGeom prst="rect">
                          <a:avLst/>
                        </a:prstGeom>
                        <a:noFill/>
                        <a:ln w="9525">
                          <a:noFill/>
                          <a:miter lim="800000"/>
                          <a:headEnd/>
                          <a:tailEnd/>
                        </a:ln>
                      </pic:spPr>
                    </pic:pic>
                  </a:graphicData>
                </a:graphic>
              </wp:anchor>
            </w:drawing>
          </w:r>
        </w:p>
      </w:tc>
      <w:tc>
        <w:tcPr>
          <w:tcW w:w="5984" w:type="dxa"/>
        </w:tcPr>
        <w:p w:rsidR="009B42BE" w:rsidRDefault="009B42BE" w:rsidP="0088688C">
          <w:pPr>
            <w:spacing w:after="1080"/>
            <w:jc w:val="right"/>
            <w:rPr>
              <w:b/>
              <w:noProof/>
              <w:sz w:val="40"/>
              <w:szCs w:val="40"/>
            </w:rPr>
          </w:pPr>
          <w:r>
            <w:rPr>
              <w:b/>
              <w:noProof/>
              <w:sz w:val="40"/>
            </w:rPr>
            <w:t>Liste représentative</w:t>
          </w:r>
        </w:p>
        <w:p w:rsidR="009B42BE" w:rsidRPr="00D7245F" w:rsidRDefault="009B42BE" w:rsidP="00E12282">
          <w:pPr>
            <w:jc w:val="right"/>
            <w:rPr>
              <w:b/>
              <w:noProof/>
              <w:sz w:val="28"/>
              <w:szCs w:val="28"/>
            </w:rPr>
          </w:pPr>
          <w:r>
            <w:rPr>
              <w:b/>
              <w:noProof/>
              <w:sz w:val="22"/>
            </w:rPr>
            <w:t>Original : anglais</w:t>
          </w:r>
        </w:p>
      </w:tc>
    </w:tr>
  </w:tbl>
  <w:p w:rsidR="009B42BE" w:rsidRPr="00207E72" w:rsidRDefault="009B42BE" w:rsidP="00207E72">
    <w:pPr>
      <w:pStyle w:val="Header"/>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9"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0"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4"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7"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9"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0"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3"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5"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7"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8"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9"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1"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2"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3"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6"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7" w15:restartNumberingAfterBreak="0">
    <w:nsid w:val="7F2324CE"/>
    <w:multiLevelType w:val="hybridMultilevel"/>
    <w:tmpl w:val="FFE0FF6C"/>
    <w:lvl w:ilvl="0" w:tplc="302436A6">
      <w:start w:val="1"/>
      <w:numFmt w:val="lowerLetter"/>
      <w:pStyle w:val="num02tab"/>
      <w:lvlText w:val="%1."/>
      <w:lvlJc w:val="left"/>
      <w:pPr>
        <w:tabs>
          <w:tab w:val="num" w:pos="397"/>
        </w:tabs>
        <w:ind w:left="397" w:hanging="397"/>
      </w:pPr>
      <w:rPr>
        <w:rFonts w:hint="default"/>
      </w:rPr>
    </w:lvl>
    <w:lvl w:ilvl="1" w:tplc="D730F6F2" w:tentative="1">
      <w:start w:val="1"/>
      <w:numFmt w:val="lowerLetter"/>
      <w:lvlText w:val="%2."/>
      <w:lvlJc w:val="left"/>
      <w:pPr>
        <w:tabs>
          <w:tab w:val="num" w:pos="1440"/>
        </w:tabs>
        <w:ind w:left="1440" w:hanging="360"/>
      </w:pPr>
    </w:lvl>
    <w:lvl w:ilvl="2" w:tplc="2D68370A" w:tentative="1">
      <w:start w:val="1"/>
      <w:numFmt w:val="lowerRoman"/>
      <w:lvlText w:val="%3."/>
      <w:lvlJc w:val="right"/>
      <w:pPr>
        <w:tabs>
          <w:tab w:val="num" w:pos="2160"/>
        </w:tabs>
        <w:ind w:left="2160" w:hanging="180"/>
      </w:pPr>
    </w:lvl>
    <w:lvl w:ilvl="3" w:tplc="0346CDD2" w:tentative="1">
      <w:start w:val="1"/>
      <w:numFmt w:val="decimal"/>
      <w:lvlText w:val="%4."/>
      <w:lvlJc w:val="left"/>
      <w:pPr>
        <w:tabs>
          <w:tab w:val="num" w:pos="2880"/>
        </w:tabs>
        <w:ind w:left="2880" w:hanging="360"/>
      </w:pPr>
    </w:lvl>
    <w:lvl w:ilvl="4" w:tplc="9C3EA69C" w:tentative="1">
      <w:start w:val="1"/>
      <w:numFmt w:val="lowerLetter"/>
      <w:lvlText w:val="%5."/>
      <w:lvlJc w:val="left"/>
      <w:pPr>
        <w:tabs>
          <w:tab w:val="num" w:pos="3600"/>
        </w:tabs>
        <w:ind w:left="3600" w:hanging="360"/>
      </w:pPr>
    </w:lvl>
    <w:lvl w:ilvl="5" w:tplc="375C4292" w:tentative="1">
      <w:start w:val="1"/>
      <w:numFmt w:val="lowerRoman"/>
      <w:lvlText w:val="%6."/>
      <w:lvlJc w:val="right"/>
      <w:pPr>
        <w:tabs>
          <w:tab w:val="num" w:pos="4320"/>
        </w:tabs>
        <w:ind w:left="4320" w:hanging="180"/>
      </w:pPr>
    </w:lvl>
    <w:lvl w:ilvl="6" w:tplc="372A8FD0" w:tentative="1">
      <w:start w:val="1"/>
      <w:numFmt w:val="decimal"/>
      <w:lvlText w:val="%7."/>
      <w:lvlJc w:val="left"/>
      <w:pPr>
        <w:tabs>
          <w:tab w:val="num" w:pos="5040"/>
        </w:tabs>
        <w:ind w:left="5040" w:hanging="360"/>
      </w:pPr>
    </w:lvl>
    <w:lvl w:ilvl="7" w:tplc="C8308EF0" w:tentative="1">
      <w:start w:val="1"/>
      <w:numFmt w:val="lowerLetter"/>
      <w:lvlText w:val="%8."/>
      <w:lvlJc w:val="left"/>
      <w:pPr>
        <w:tabs>
          <w:tab w:val="num" w:pos="5760"/>
        </w:tabs>
        <w:ind w:left="5760" w:hanging="360"/>
      </w:pPr>
    </w:lvl>
    <w:lvl w:ilvl="8" w:tplc="0C7E89C6" w:tentative="1">
      <w:start w:val="1"/>
      <w:numFmt w:val="lowerRoman"/>
      <w:lvlText w:val="%9."/>
      <w:lvlJc w:val="right"/>
      <w:pPr>
        <w:tabs>
          <w:tab w:val="num" w:pos="6480"/>
        </w:tabs>
        <w:ind w:left="6480" w:hanging="180"/>
      </w:pPr>
    </w:lvl>
  </w:abstractNum>
  <w:num w:numId="1">
    <w:abstractNumId w:val="37"/>
  </w:num>
  <w:num w:numId="2">
    <w:abstractNumId w:val="34"/>
  </w:num>
  <w:num w:numId="3">
    <w:abstractNumId w:val="15"/>
  </w:num>
  <w:num w:numId="4">
    <w:abstractNumId w:val="17"/>
  </w:num>
  <w:num w:numId="5">
    <w:abstractNumId w:val="32"/>
  </w:num>
  <w:num w:numId="6">
    <w:abstractNumId w:val="14"/>
  </w:num>
  <w:num w:numId="7">
    <w:abstractNumId w:val="1"/>
  </w:num>
  <w:num w:numId="8">
    <w:abstractNumId w:val="8"/>
  </w:num>
  <w:num w:numId="9">
    <w:abstractNumId w:val="16"/>
  </w:num>
  <w:num w:numId="10">
    <w:abstractNumId w:val="33"/>
  </w:num>
  <w:num w:numId="11">
    <w:abstractNumId w:val="2"/>
  </w:num>
  <w:num w:numId="12">
    <w:abstractNumId w:val="12"/>
  </w:num>
  <w:num w:numId="13">
    <w:abstractNumId w:val="35"/>
  </w:num>
  <w:num w:numId="14">
    <w:abstractNumId w:val="24"/>
  </w:num>
  <w:num w:numId="15">
    <w:abstractNumId w:val="19"/>
  </w:num>
  <w:num w:numId="16">
    <w:abstractNumId w:val="0"/>
  </w:num>
  <w:num w:numId="17">
    <w:abstractNumId w:val="7"/>
  </w:num>
  <w:num w:numId="18">
    <w:abstractNumId w:val="30"/>
  </w:num>
  <w:num w:numId="19">
    <w:abstractNumId w:val="22"/>
  </w:num>
  <w:num w:numId="20">
    <w:abstractNumId w:val="18"/>
  </w:num>
  <w:num w:numId="21">
    <w:abstractNumId w:val="6"/>
  </w:num>
  <w:num w:numId="22">
    <w:abstractNumId w:val="4"/>
  </w:num>
  <w:num w:numId="23">
    <w:abstractNumId w:val="20"/>
  </w:num>
  <w:num w:numId="24">
    <w:abstractNumId w:val="11"/>
  </w:num>
  <w:num w:numId="25">
    <w:abstractNumId w:val="3"/>
  </w:num>
  <w:num w:numId="26">
    <w:abstractNumId w:val="31"/>
  </w:num>
  <w:num w:numId="27">
    <w:abstractNumId w:val="5"/>
  </w:num>
  <w:num w:numId="28">
    <w:abstractNumId w:val="29"/>
  </w:num>
  <w:num w:numId="29">
    <w:abstractNumId w:val="25"/>
  </w:num>
  <w:num w:numId="30">
    <w:abstractNumId w:val="21"/>
  </w:num>
  <w:num w:numId="31">
    <w:abstractNumId w:val="23"/>
  </w:num>
  <w:num w:numId="32">
    <w:abstractNumId w:val="10"/>
  </w:num>
  <w:num w:numId="33">
    <w:abstractNumId w:val="26"/>
  </w:num>
  <w:num w:numId="34">
    <w:abstractNumId w:val="28"/>
  </w:num>
  <w:num w:numId="35">
    <w:abstractNumId w:val="9"/>
  </w:num>
  <w:num w:numId="36">
    <w:abstractNumId w:val="13"/>
  </w:num>
  <w:num w:numId="37">
    <w:abstractNumId w:val="36"/>
  </w:num>
  <w:num w:numId="3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DateAndTime/>
  <w:mirrorMargins/>
  <w:activeWritingStyle w:appName="MSWord" w:lang="en-US" w:vendorID="6" w:dllVersion="2" w:checkStyle="1"/>
  <w:activeWritingStyle w:appName="MSWord" w:lang="fr-FR" w:vendorID="65" w:dllVersion="514"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5F9E"/>
    <w:rsid w:val="000373C3"/>
    <w:rsid w:val="0004163C"/>
    <w:rsid w:val="000421FC"/>
    <w:rsid w:val="00045D05"/>
    <w:rsid w:val="00047693"/>
    <w:rsid w:val="00050F24"/>
    <w:rsid w:val="000571C9"/>
    <w:rsid w:val="000572F4"/>
    <w:rsid w:val="00061503"/>
    <w:rsid w:val="00062F5F"/>
    <w:rsid w:val="00064CF4"/>
    <w:rsid w:val="00073731"/>
    <w:rsid w:val="00081050"/>
    <w:rsid w:val="0008746C"/>
    <w:rsid w:val="00090253"/>
    <w:rsid w:val="000902A1"/>
    <w:rsid w:val="00094CDB"/>
    <w:rsid w:val="00096AFD"/>
    <w:rsid w:val="000A0AA3"/>
    <w:rsid w:val="000A5358"/>
    <w:rsid w:val="000B3A4D"/>
    <w:rsid w:val="000B58AB"/>
    <w:rsid w:val="000B6274"/>
    <w:rsid w:val="000B76E6"/>
    <w:rsid w:val="000B7D4A"/>
    <w:rsid w:val="000C0B4B"/>
    <w:rsid w:val="000C0BB1"/>
    <w:rsid w:val="000C45D0"/>
    <w:rsid w:val="000C4619"/>
    <w:rsid w:val="000C7BB3"/>
    <w:rsid w:val="000D1196"/>
    <w:rsid w:val="000D5DD7"/>
    <w:rsid w:val="000F1768"/>
    <w:rsid w:val="000F79E1"/>
    <w:rsid w:val="00100094"/>
    <w:rsid w:val="00101B36"/>
    <w:rsid w:val="00101C6E"/>
    <w:rsid w:val="00104012"/>
    <w:rsid w:val="001057B5"/>
    <w:rsid w:val="00110DDA"/>
    <w:rsid w:val="00111B9B"/>
    <w:rsid w:val="00114CDF"/>
    <w:rsid w:val="00117913"/>
    <w:rsid w:val="001204F8"/>
    <w:rsid w:val="00121A68"/>
    <w:rsid w:val="00122D6F"/>
    <w:rsid w:val="00124EFD"/>
    <w:rsid w:val="00125F79"/>
    <w:rsid w:val="00126409"/>
    <w:rsid w:val="001317EC"/>
    <w:rsid w:val="00136E38"/>
    <w:rsid w:val="001436BF"/>
    <w:rsid w:val="0014566A"/>
    <w:rsid w:val="00146B12"/>
    <w:rsid w:val="00147A1C"/>
    <w:rsid w:val="00150F37"/>
    <w:rsid w:val="00153E78"/>
    <w:rsid w:val="00155394"/>
    <w:rsid w:val="00157A8E"/>
    <w:rsid w:val="00164871"/>
    <w:rsid w:val="001709EB"/>
    <w:rsid w:val="0017259A"/>
    <w:rsid w:val="00176A2F"/>
    <w:rsid w:val="00180BBB"/>
    <w:rsid w:val="0018133A"/>
    <w:rsid w:val="001834B3"/>
    <w:rsid w:val="001843C3"/>
    <w:rsid w:val="001844B4"/>
    <w:rsid w:val="001915DD"/>
    <w:rsid w:val="00192727"/>
    <w:rsid w:val="00193113"/>
    <w:rsid w:val="00193B79"/>
    <w:rsid w:val="00197465"/>
    <w:rsid w:val="001976B4"/>
    <w:rsid w:val="001A2D61"/>
    <w:rsid w:val="001A64D0"/>
    <w:rsid w:val="001B68EF"/>
    <w:rsid w:val="001B74B9"/>
    <w:rsid w:val="001C053B"/>
    <w:rsid w:val="001C09D5"/>
    <w:rsid w:val="001C3A95"/>
    <w:rsid w:val="001C3C40"/>
    <w:rsid w:val="001D2278"/>
    <w:rsid w:val="001D4781"/>
    <w:rsid w:val="001D5876"/>
    <w:rsid w:val="001E62AC"/>
    <w:rsid w:val="001F398E"/>
    <w:rsid w:val="001F5D1B"/>
    <w:rsid w:val="00200598"/>
    <w:rsid w:val="002019D4"/>
    <w:rsid w:val="00205D4A"/>
    <w:rsid w:val="00207E72"/>
    <w:rsid w:val="00216632"/>
    <w:rsid w:val="00223D7B"/>
    <w:rsid w:val="00223D90"/>
    <w:rsid w:val="002257D3"/>
    <w:rsid w:val="00225AA8"/>
    <w:rsid w:val="00225BFC"/>
    <w:rsid w:val="002340BB"/>
    <w:rsid w:val="002359CB"/>
    <w:rsid w:val="00235EBB"/>
    <w:rsid w:val="0024643A"/>
    <w:rsid w:val="00250F01"/>
    <w:rsid w:val="00252E75"/>
    <w:rsid w:val="00254B2B"/>
    <w:rsid w:val="00257287"/>
    <w:rsid w:val="00262CDE"/>
    <w:rsid w:val="00267F4C"/>
    <w:rsid w:val="002710B8"/>
    <w:rsid w:val="002726A6"/>
    <w:rsid w:val="00272B35"/>
    <w:rsid w:val="00275B31"/>
    <w:rsid w:val="00281CAE"/>
    <w:rsid w:val="002852E0"/>
    <w:rsid w:val="00287DDA"/>
    <w:rsid w:val="00290BEB"/>
    <w:rsid w:val="002936FC"/>
    <w:rsid w:val="00294011"/>
    <w:rsid w:val="00294285"/>
    <w:rsid w:val="0029450D"/>
    <w:rsid w:val="002949EA"/>
    <w:rsid w:val="00295841"/>
    <w:rsid w:val="002A1B4C"/>
    <w:rsid w:val="002A5699"/>
    <w:rsid w:val="002B0080"/>
    <w:rsid w:val="002C2712"/>
    <w:rsid w:val="002C28E2"/>
    <w:rsid w:val="002C2C80"/>
    <w:rsid w:val="002C44A5"/>
    <w:rsid w:val="002C4CC0"/>
    <w:rsid w:val="002C6F95"/>
    <w:rsid w:val="002D4AC7"/>
    <w:rsid w:val="002D5C27"/>
    <w:rsid w:val="002D60B3"/>
    <w:rsid w:val="002E2C9D"/>
    <w:rsid w:val="002E7248"/>
    <w:rsid w:val="002F3A02"/>
    <w:rsid w:val="002F3B31"/>
    <w:rsid w:val="002F3C40"/>
    <w:rsid w:val="002F7242"/>
    <w:rsid w:val="002F7346"/>
    <w:rsid w:val="0030377E"/>
    <w:rsid w:val="003077A7"/>
    <w:rsid w:val="00310BB9"/>
    <w:rsid w:val="00313FE3"/>
    <w:rsid w:val="0031418B"/>
    <w:rsid w:val="003141DF"/>
    <w:rsid w:val="00314DC2"/>
    <w:rsid w:val="003153DD"/>
    <w:rsid w:val="00322E80"/>
    <w:rsid w:val="00325CAF"/>
    <w:rsid w:val="00326FD3"/>
    <w:rsid w:val="0032756A"/>
    <w:rsid w:val="00333D82"/>
    <w:rsid w:val="00334537"/>
    <w:rsid w:val="00335BA8"/>
    <w:rsid w:val="00337DF9"/>
    <w:rsid w:val="00337E71"/>
    <w:rsid w:val="00341D05"/>
    <w:rsid w:val="00350844"/>
    <w:rsid w:val="003517F5"/>
    <w:rsid w:val="00353B8F"/>
    <w:rsid w:val="00353CE1"/>
    <w:rsid w:val="0035606A"/>
    <w:rsid w:val="00356451"/>
    <w:rsid w:val="003568F4"/>
    <w:rsid w:val="003600D3"/>
    <w:rsid w:val="00361039"/>
    <w:rsid w:val="00367256"/>
    <w:rsid w:val="00380670"/>
    <w:rsid w:val="003808DA"/>
    <w:rsid w:val="00381118"/>
    <w:rsid w:val="0038178A"/>
    <w:rsid w:val="00384547"/>
    <w:rsid w:val="00392015"/>
    <w:rsid w:val="0039235B"/>
    <w:rsid w:val="003A02FD"/>
    <w:rsid w:val="003A22BB"/>
    <w:rsid w:val="003A68A5"/>
    <w:rsid w:val="003B1999"/>
    <w:rsid w:val="003B218E"/>
    <w:rsid w:val="003B24B6"/>
    <w:rsid w:val="003B39B1"/>
    <w:rsid w:val="003B4580"/>
    <w:rsid w:val="003C1901"/>
    <w:rsid w:val="003C6433"/>
    <w:rsid w:val="003D0E3F"/>
    <w:rsid w:val="003D2388"/>
    <w:rsid w:val="003E11A3"/>
    <w:rsid w:val="003E3873"/>
    <w:rsid w:val="003E79C0"/>
    <w:rsid w:val="003F041B"/>
    <w:rsid w:val="003F47AD"/>
    <w:rsid w:val="003F593F"/>
    <w:rsid w:val="00401084"/>
    <w:rsid w:val="00410582"/>
    <w:rsid w:val="004111F8"/>
    <w:rsid w:val="00421489"/>
    <w:rsid w:val="00426549"/>
    <w:rsid w:val="00426FC2"/>
    <w:rsid w:val="004271E1"/>
    <w:rsid w:val="00427DC3"/>
    <w:rsid w:val="00430330"/>
    <w:rsid w:val="00430C66"/>
    <w:rsid w:val="004428DF"/>
    <w:rsid w:val="00444C7B"/>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94B26"/>
    <w:rsid w:val="004A103D"/>
    <w:rsid w:val="004A1222"/>
    <w:rsid w:val="004A1FFF"/>
    <w:rsid w:val="004A5C67"/>
    <w:rsid w:val="004A773C"/>
    <w:rsid w:val="004B68EC"/>
    <w:rsid w:val="004B77C7"/>
    <w:rsid w:val="004C0E40"/>
    <w:rsid w:val="004C26CB"/>
    <w:rsid w:val="004C3017"/>
    <w:rsid w:val="004C443A"/>
    <w:rsid w:val="004C7DEC"/>
    <w:rsid w:val="004D14BC"/>
    <w:rsid w:val="004D574C"/>
    <w:rsid w:val="004D6189"/>
    <w:rsid w:val="004D7F3D"/>
    <w:rsid w:val="004E0A92"/>
    <w:rsid w:val="004E27D9"/>
    <w:rsid w:val="004E2EB0"/>
    <w:rsid w:val="004E48AF"/>
    <w:rsid w:val="004E5EDF"/>
    <w:rsid w:val="004E7255"/>
    <w:rsid w:val="004F1D2C"/>
    <w:rsid w:val="004F50A3"/>
    <w:rsid w:val="00501D2B"/>
    <w:rsid w:val="00503CFF"/>
    <w:rsid w:val="00503DFE"/>
    <w:rsid w:val="00504890"/>
    <w:rsid w:val="0050494F"/>
    <w:rsid w:val="00522260"/>
    <w:rsid w:val="00522E9F"/>
    <w:rsid w:val="00525403"/>
    <w:rsid w:val="00526C8E"/>
    <w:rsid w:val="00531E8C"/>
    <w:rsid w:val="00533029"/>
    <w:rsid w:val="005357A9"/>
    <w:rsid w:val="005401DA"/>
    <w:rsid w:val="00540431"/>
    <w:rsid w:val="0054340A"/>
    <w:rsid w:val="005446FB"/>
    <w:rsid w:val="00544764"/>
    <w:rsid w:val="00547649"/>
    <w:rsid w:val="00553505"/>
    <w:rsid w:val="00554868"/>
    <w:rsid w:val="00554A96"/>
    <w:rsid w:val="00555088"/>
    <w:rsid w:val="00557845"/>
    <w:rsid w:val="00563E11"/>
    <w:rsid w:val="00567096"/>
    <w:rsid w:val="00567C97"/>
    <w:rsid w:val="005737C6"/>
    <w:rsid w:val="0057662A"/>
    <w:rsid w:val="005818E4"/>
    <w:rsid w:val="00582FFC"/>
    <w:rsid w:val="00583B45"/>
    <w:rsid w:val="00586687"/>
    <w:rsid w:val="005913DE"/>
    <w:rsid w:val="0059160B"/>
    <w:rsid w:val="00591FA1"/>
    <w:rsid w:val="00594416"/>
    <w:rsid w:val="00594F18"/>
    <w:rsid w:val="005968F0"/>
    <w:rsid w:val="005979F8"/>
    <w:rsid w:val="005A0F50"/>
    <w:rsid w:val="005A1237"/>
    <w:rsid w:val="005A2D8B"/>
    <w:rsid w:val="005A46B8"/>
    <w:rsid w:val="005A68A0"/>
    <w:rsid w:val="005A6EEE"/>
    <w:rsid w:val="005B1463"/>
    <w:rsid w:val="005B2512"/>
    <w:rsid w:val="005B2814"/>
    <w:rsid w:val="005B699C"/>
    <w:rsid w:val="005C1C38"/>
    <w:rsid w:val="005C2233"/>
    <w:rsid w:val="005C260D"/>
    <w:rsid w:val="005C3C16"/>
    <w:rsid w:val="005C3C22"/>
    <w:rsid w:val="005D16D4"/>
    <w:rsid w:val="005E0F44"/>
    <w:rsid w:val="005E1723"/>
    <w:rsid w:val="005E32B6"/>
    <w:rsid w:val="005E4ACA"/>
    <w:rsid w:val="005E708C"/>
    <w:rsid w:val="005E7B98"/>
    <w:rsid w:val="005F0578"/>
    <w:rsid w:val="005F22D2"/>
    <w:rsid w:val="005F6CBF"/>
    <w:rsid w:val="00602023"/>
    <w:rsid w:val="00603F68"/>
    <w:rsid w:val="006065B4"/>
    <w:rsid w:val="00615B4D"/>
    <w:rsid w:val="00616277"/>
    <w:rsid w:val="00616C7D"/>
    <w:rsid w:val="00621D53"/>
    <w:rsid w:val="006328E4"/>
    <w:rsid w:val="006331E0"/>
    <w:rsid w:val="00636C31"/>
    <w:rsid w:val="00641BA0"/>
    <w:rsid w:val="00641D92"/>
    <w:rsid w:val="006449FC"/>
    <w:rsid w:val="00644AA7"/>
    <w:rsid w:val="006533C4"/>
    <w:rsid w:val="00656AFB"/>
    <w:rsid w:val="00664502"/>
    <w:rsid w:val="00676990"/>
    <w:rsid w:val="006803BB"/>
    <w:rsid w:val="00682A44"/>
    <w:rsid w:val="0068365D"/>
    <w:rsid w:val="00683E87"/>
    <w:rsid w:val="00685BB2"/>
    <w:rsid w:val="0068723A"/>
    <w:rsid w:val="00687CDF"/>
    <w:rsid w:val="0069096C"/>
    <w:rsid w:val="00692757"/>
    <w:rsid w:val="006952CC"/>
    <w:rsid w:val="0069607A"/>
    <w:rsid w:val="00696FC6"/>
    <w:rsid w:val="006A61CC"/>
    <w:rsid w:val="006A791D"/>
    <w:rsid w:val="006C01E5"/>
    <w:rsid w:val="006C0519"/>
    <w:rsid w:val="006C49CF"/>
    <w:rsid w:val="006C4ECB"/>
    <w:rsid w:val="006D164A"/>
    <w:rsid w:val="006D36D6"/>
    <w:rsid w:val="006E3DB1"/>
    <w:rsid w:val="006E45FA"/>
    <w:rsid w:val="006E4C6C"/>
    <w:rsid w:val="006E5C4B"/>
    <w:rsid w:val="006F0A1E"/>
    <w:rsid w:val="006F0D2F"/>
    <w:rsid w:val="006F712A"/>
    <w:rsid w:val="0070373A"/>
    <w:rsid w:val="00710B1F"/>
    <w:rsid w:val="007208F9"/>
    <w:rsid w:val="0072232C"/>
    <w:rsid w:val="00724F21"/>
    <w:rsid w:val="00727F15"/>
    <w:rsid w:val="00733293"/>
    <w:rsid w:val="00734B1C"/>
    <w:rsid w:val="00737E48"/>
    <w:rsid w:val="00740B63"/>
    <w:rsid w:val="00742458"/>
    <w:rsid w:val="00745D99"/>
    <w:rsid w:val="00754924"/>
    <w:rsid w:val="00756560"/>
    <w:rsid w:val="00763A06"/>
    <w:rsid w:val="00763C5B"/>
    <w:rsid w:val="0077534C"/>
    <w:rsid w:val="007757F5"/>
    <w:rsid w:val="007778D9"/>
    <w:rsid w:val="007809F9"/>
    <w:rsid w:val="007848BE"/>
    <w:rsid w:val="00784B77"/>
    <w:rsid w:val="0078577D"/>
    <w:rsid w:val="007858D5"/>
    <w:rsid w:val="00787391"/>
    <w:rsid w:val="007904A8"/>
    <w:rsid w:val="0079556A"/>
    <w:rsid w:val="00796106"/>
    <w:rsid w:val="00797081"/>
    <w:rsid w:val="007A16DC"/>
    <w:rsid w:val="007A7A06"/>
    <w:rsid w:val="007B4F22"/>
    <w:rsid w:val="007B6F8D"/>
    <w:rsid w:val="007C0032"/>
    <w:rsid w:val="007C426D"/>
    <w:rsid w:val="007D3AFF"/>
    <w:rsid w:val="007D6B13"/>
    <w:rsid w:val="007D6FBC"/>
    <w:rsid w:val="007D77AA"/>
    <w:rsid w:val="007E667E"/>
    <w:rsid w:val="007F0A2E"/>
    <w:rsid w:val="007F3F7E"/>
    <w:rsid w:val="007F44DA"/>
    <w:rsid w:val="007F4D25"/>
    <w:rsid w:val="007F523D"/>
    <w:rsid w:val="007F54C6"/>
    <w:rsid w:val="007F560A"/>
    <w:rsid w:val="007F5932"/>
    <w:rsid w:val="007F6745"/>
    <w:rsid w:val="00802F35"/>
    <w:rsid w:val="008065D5"/>
    <w:rsid w:val="00807302"/>
    <w:rsid w:val="008104E4"/>
    <w:rsid w:val="008170A4"/>
    <w:rsid w:val="008178F6"/>
    <w:rsid w:val="0081790E"/>
    <w:rsid w:val="0082121B"/>
    <w:rsid w:val="00822832"/>
    <w:rsid w:val="008241BE"/>
    <w:rsid w:val="008249D9"/>
    <w:rsid w:val="00824EB2"/>
    <w:rsid w:val="008266D6"/>
    <w:rsid w:val="008322B5"/>
    <w:rsid w:val="00832B1F"/>
    <w:rsid w:val="00835264"/>
    <w:rsid w:val="00836BD6"/>
    <w:rsid w:val="00840A63"/>
    <w:rsid w:val="008418FB"/>
    <w:rsid w:val="00842DA4"/>
    <w:rsid w:val="00846A7D"/>
    <w:rsid w:val="00846E15"/>
    <w:rsid w:val="0085134E"/>
    <w:rsid w:val="00853E6D"/>
    <w:rsid w:val="00855087"/>
    <w:rsid w:val="0085522E"/>
    <w:rsid w:val="00856244"/>
    <w:rsid w:val="0085664F"/>
    <w:rsid w:val="008601AB"/>
    <w:rsid w:val="00860C8D"/>
    <w:rsid w:val="0086327C"/>
    <w:rsid w:val="00867837"/>
    <w:rsid w:val="0087150D"/>
    <w:rsid w:val="008743E1"/>
    <w:rsid w:val="008779FA"/>
    <w:rsid w:val="00880ACE"/>
    <w:rsid w:val="008861C3"/>
    <w:rsid w:val="0088688C"/>
    <w:rsid w:val="0089200A"/>
    <w:rsid w:val="0089205C"/>
    <w:rsid w:val="008948A6"/>
    <w:rsid w:val="00897BA3"/>
    <w:rsid w:val="008A5429"/>
    <w:rsid w:val="008A638D"/>
    <w:rsid w:val="008B22FB"/>
    <w:rsid w:val="008B25B8"/>
    <w:rsid w:val="008B2658"/>
    <w:rsid w:val="008B416F"/>
    <w:rsid w:val="008B62F7"/>
    <w:rsid w:val="008C351A"/>
    <w:rsid w:val="008C40CA"/>
    <w:rsid w:val="008D095B"/>
    <w:rsid w:val="008D1854"/>
    <w:rsid w:val="008D2426"/>
    <w:rsid w:val="008D311D"/>
    <w:rsid w:val="008E0938"/>
    <w:rsid w:val="008E33A5"/>
    <w:rsid w:val="008E5506"/>
    <w:rsid w:val="008E5B3D"/>
    <w:rsid w:val="008E5E37"/>
    <w:rsid w:val="008F1992"/>
    <w:rsid w:val="008F20A9"/>
    <w:rsid w:val="00902D37"/>
    <w:rsid w:val="00903231"/>
    <w:rsid w:val="0090351E"/>
    <w:rsid w:val="0090373D"/>
    <w:rsid w:val="00906D52"/>
    <w:rsid w:val="00907597"/>
    <w:rsid w:val="00911500"/>
    <w:rsid w:val="00914890"/>
    <w:rsid w:val="00924DD3"/>
    <w:rsid w:val="00926B2C"/>
    <w:rsid w:val="00926C2C"/>
    <w:rsid w:val="00926E87"/>
    <w:rsid w:val="00927356"/>
    <w:rsid w:val="0093084D"/>
    <w:rsid w:val="0093111A"/>
    <w:rsid w:val="0093406F"/>
    <w:rsid w:val="0093570A"/>
    <w:rsid w:val="00936774"/>
    <w:rsid w:val="009379AA"/>
    <w:rsid w:val="00940E9B"/>
    <w:rsid w:val="00941839"/>
    <w:rsid w:val="009422BD"/>
    <w:rsid w:val="00943B0E"/>
    <w:rsid w:val="00947DEF"/>
    <w:rsid w:val="00950962"/>
    <w:rsid w:val="00950C4B"/>
    <w:rsid w:val="00952833"/>
    <w:rsid w:val="00961C76"/>
    <w:rsid w:val="009627D3"/>
    <w:rsid w:val="009634CE"/>
    <w:rsid w:val="0096381C"/>
    <w:rsid w:val="0096480E"/>
    <w:rsid w:val="00966E89"/>
    <w:rsid w:val="00967F6D"/>
    <w:rsid w:val="00972D5F"/>
    <w:rsid w:val="00974A1C"/>
    <w:rsid w:val="00975526"/>
    <w:rsid w:val="00976653"/>
    <w:rsid w:val="009812F2"/>
    <w:rsid w:val="0099099E"/>
    <w:rsid w:val="00995CA0"/>
    <w:rsid w:val="00997D5C"/>
    <w:rsid w:val="009A51DF"/>
    <w:rsid w:val="009B0667"/>
    <w:rsid w:val="009B42BE"/>
    <w:rsid w:val="009C365D"/>
    <w:rsid w:val="009C44C5"/>
    <w:rsid w:val="009C6E23"/>
    <w:rsid w:val="009E21EB"/>
    <w:rsid w:val="009E246C"/>
    <w:rsid w:val="009E3393"/>
    <w:rsid w:val="009E3F8C"/>
    <w:rsid w:val="009E722E"/>
    <w:rsid w:val="009F4027"/>
    <w:rsid w:val="009F4440"/>
    <w:rsid w:val="009F4BE9"/>
    <w:rsid w:val="009F5490"/>
    <w:rsid w:val="009F54BF"/>
    <w:rsid w:val="009F5B71"/>
    <w:rsid w:val="009F6D75"/>
    <w:rsid w:val="00A00A5F"/>
    <w:rsid w:val="00A07A14"/>
    <w:rsid w:val="00A10AEC"/>
    <w:rsid w:val="00A1406A"/>
    <w:rsid w:val="00A1612E"/>
    <w:rsid w:val="00A23280"/>
    <w:rsid w:val="00A249F4"/>
    <w:rsid w:val="00A25E6B"/>
    <w:rsid w:val="00A277D0"/>
    <w:rsid w:val="00A34A45"/>
    <w:rsid w:val="00A34D0B"/>
    <w:rsid w:val="00A3772B"/>
    <w:rsid w:val="00A4085E"/>
    <w:rsid w:val="00A42C35"/>
    <w:rsid w:val="00A43923"/>
    <w:rsid w:val="00A45085"/>
    <w:rsid w:val="00A47178"/>
    <w:rsid w:val="00A51839"/>
    <w:rsid w:val="00A522AC"/>
    <w:rsid w:val="00A55784"/>
    <w:rsid w:val="00A55F97"/>
    <w:rsid w:val="00A60971"/>
    <w:rsid w:val="00A6111E"/>
    <w:rsid w:val="00A62822"/>
    <w:rsid w:val="00A67A53"/>
    <w:rsid w:val="00A70404"/>
    <w:rsid w:val="00A80C97"/>
    <w:rsid w:val="00A82060"/>
    <w:rsid w:val="00A82FF1"/>
    <w:rsid w:val="00A900E8"/>
    <w:rsid w:val="00A9101F"/>
    <w:rsid w:val="00A961E5"/>
    <w:rsid w:val="00AA56FE"/>
    <w:rsid w:val="00AA7B32"/>
    <w:rsid w:val="00AA7FB8"/>
    <w:rsid w:val="00AB0749"/>
    <w:rsid w:val="00AB0853"/>
    <w:rsid w:val="00AB0EC9"/>
    <w:rsid w:val="00AB25EF"/>
    <w:rsid w:val="00AB2E55"/>
    <w:rsid w:val="00AC00DA"/>
    <w:rsid w:val="00AC2DF8"/>
    <w:rsid w:val="00AC3F11"/>
    <w:rsid w:val="00AC4F8F"/>
    <w:rsid w:val="00AD0482"/>
    <w:rsid w:val="00AD5B69"/>
    <w:rsid w:val="00AE07A2"/>
    <w:rsid w:val="00AE42AE"/>
    <w:rsid w:val="00AE6293"/>
    <w:rsid w:val="00AE6DB0"/>
    <w:rsid w:val="00AF0DC4"/>
    <w:rsid w:val="00AF26B8"/>
    <w:rsid w:val="00AF320A"/>
    <w:rsid w:val="00AF7907"/>
    <w:rsid w:val="00AF7ACD"/>
    <w:rsid w:val="00B06E6B"/>
    <w:rsid w:val="00B0756E"/>
    <w:rsid w:val="00B12EFC"/>
    <w:rsid w:val="00B13ED1"/>
    <w:rsid w:val="00B22A61"/>
    <w:rsid w:val="00B257FA"/>
    <w:rsid w:val="00B266E5"/>
    <w:rsid w:val="00B34174"/>
    <w:rsid w:val="00B37661"/>
    <w:rsid w:val="00B40BB1"/>
    <w:rsid w:val="00B40CFA"/>
    <w:rsid w:val="00B418EC"/>
    <w:rsid w:val="00B463F5"/>
    <w:rsid w:val="00B4720B"/>
    <w:rsid w:val="00B50971"/>
    <w:rsid w:val="00B51ADC"/>
    <w:rsid w:val="00B51EDA"/>
    <w:rsid w:val="00B558A1"/>
    <w:rsid w:val="00B5631C"/>
    <w:rsid w:val="00B57E10"/>
    <w:rsid w:val="00B600CB"/>
    <w:rsid w:val="00B60126"/>
    <w:rsid w:val="00B61281"/>
    <w:rsid w:val="00B658F4"/>
    <w:rsid w:val="00B66F89"/>
    <w:rsid w:val="00B67788"/>
    <w:rsid w:val="00B80E6A"/>
    <w:rsid w:val="00B860FA"/>
    <w:rsid w:val="00B91E04"/>
    <w:rsid w:val="00B96CD4"/>
    <w:rsid w:val="00BA159F"/>
    <w:rsid w:val="00BA581C"/>
    <w:rsid w:val="00BA7492"/>
    <w:rsid w:val="00BB0409"/>
    <w:rsid w:val="00BB2F21"/>
    <w:rsid w:val="00BB365B"/>
    <w:rsid w:val="00BB44F8"/>
    <w:rsid w:val="00BB4D9B"/>
    <w:rsid w:val="00BC48D4"/>
    <w:rsid w:val="00BC514F"/>
    <w:rsid w:val="00BD2088"/>
    <w:rsid w:val="00BD49AD"/>
    <w:rsid w:val="00BD6132"/>
    <w:rsid w:val="00BE0D24"/>
    <w:rsid w:val="00BE223E"/>
    <w:rsid w:val="00BE6D2C"/>
    <w:rsid w:val="00BF19EF"/>
    <w:rsid w:val="00BF3D11"/>
    <w:rsid w:val="00BF3F02"/>
    <w:rsid w:val="00C01311"/>
    <w:rsid w:val="00C031F6"/>
    <w:rsid w:val="00C0516F"/>
    <w:rsid w:val="00C05D83"/>
    <w:rsid w:val="00C07373"/>
    <w:rsid w:val="00C12BFB"/>
    <w:rsid w:val="00C12DF5"/>
    <w:rsid w:val="00C13D2C"/>
    <w:rsid w:val="00C14590"/>
    <w:rsid w:val="00C14C89"/>
    <w:rsid w:val="00C14D27"/>
    <w:rsid w:val="00C2132B"/>
    <w:rsid w:val="00C21680"/>
    <w:rsid w:val="00C21A1D"/>
    <w:rsid w:val="00C22061"/>
    <w:rsid w:val="00C24491"/>
    <w:rsid w:val="00C26EC4"/>
    <w:rsid w:val="00C320E3"/>
    <w:rsid w:val="00C33A4B"/>
    <w:rsid w:val="00C340DA"/>
    <w:rsid w:val="00C35B6F"/>
    <w:rsid w:val="00C37E37"/>
    <w:rsid w:val="00C435DB"/>
    <w:rsid w:val="00C46019"/>
    <w:rsid w:val="00C470FF"/>
    <w:rsid w:val="00C50378"/>
    <w:rsid w:val="00C528D8"/>
    <w:rsid w:val="00C57E03"/>
    <w:rsid w:val="00C6095F"/>
    <w:rsid w:val="00C63E3D"/>
    <w:rsid w:val="00C64808"/>
    <w:rsid w:val="00C75DF6"/>
    <w:rsid w:val="00C80C27"/>
    <w:rsid w:val="00C82E3D"/>
    <w:rsid w:val="00C82E74"/>
    <w:rsid w:val="00C914A0"/>
    <w:rsid w:val="00C952E7"/>
    <w:rsid w:val="00CA15EB"/>
    <w:rsid w:val="00CA2BDE"/>
    <w:rsid w:val="00CA388D"/>
    <w:rsid w:val="00CA38E2"/>
    <w:rsid w:val="00CB00D6"/>
    <w:rsid w:val="00CB1AA2"/>
    <w:rsid w:val="00CB2051"/>
    <w:rsid w:val="00CB3A11"/>
    <w:rsid w:val="00CB3B03"/>
    <w:rsid w:val="00CB4BAA"/>
    <w:rsid w:val="00CB55F7"/>
    <w:rsid w:val="00CC0F6D"/>
    <w:rsid w:val="00CC215C"/>
    <w:rsid w:val="00CD08F0"/>
    <w:rsid w:val="00CD26FA"/>
    <w:rsid w:val="00CD291E"/>
    <w:rsid w:val="00CE0CDC"/>
    <w:rsid w:val="00CE3CCB"/>
    <w:rsid w:val="00CE771B"/>
    <w:rsid w:val="00CF0929"/>
    <w:rsid w:val="00CF0A22"/>
    <w:rsid w:val="00D03ED1"/>
    <w:rsid w:val="00D05855"/>
    <w:rsid w:val="00D07A21"/>
    <w:rsid w:val="00D10B6F"/>
    <w:rsid w:val="00D128B6"/>
    <w:rsid w:val="00D12C68"/>
    <w:rsid w:val="00D13647"/>
    <w:rsid w:val="00D13ADF"/>
    <w:rsid w:val="00D15C3D"/>
    <w:rsid w:val="00D16FBD"/>
    <w:rsid w:val="00D20581"/>
    <w:rsid w:val="00D20BBD"/>
    <w:rsid w:val="00D21682"/>
    <w:rsid w:val="00D274C1"/>
    <w:rsid w:val="00D32597"/>
    <w:rsid w:val="00D32B90"/>
    <w:rsid w:val="00D37618"/>
    <w:rsid w:val="00D42730"/>
    <w:rsid w:val="00D470DB"/>
    <w:rsid w:val="00D50862"/>
    <w:rsid w:val="00D56415"/>
    <w:rsid w:val="00D65200"/>
    <w:rsid w:val="00D66FDF"/>
    <w:rsid w:val="00D675D7"/>
    <w:rsid w:val="00D7245F"/>
    <w:rsid w:val="00D7444F"/>
    <w:rsid w:val="00D80F48"/>
    <w:rsid w:val="00D8403D"/>
    <w:rsid w:val="00D91023"/>
    <w:rsid w:val="00D91E8A"/>
    <w:rsid w:val="00D956DB"/>
    <w:rsid w:val="00D956EF"/>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363C"/>
    <w:rsid w:val="00DE48AF"/>
    <w:rsid w:val="00DF1966"/>
    <w:rsid w:val="00DF1D6B"/>
    <w:rsid w:val="00DF45D6"/>
    <w:rsid w:val="00DF6D9C"/>
    <w:rsid w:val="00DF7C77"/>
    <w:rsid w:val="00E00955"/>
    <w:rsid w:val="00E00EA1"/>
    <w:rsid w:val="00E0116A"/>
    <w:rsid w:val="00E0153E"/>
    <w:rsid w:val="00E026B7"/>
    <w:rsid w:val="00E027B4"/>
    <w:rsid w:val="00E0710C"/>
    <w:rsid w:val="00E105CB"/>
    <w:rsid w:val="00E11BCC"/>
    <w:rsid w:val="00E12282"/>
    <w:rsid w:val="00E1292A"/>
    <w:rsid w:val="00E13309"/>
    <w:rsid w:val="00E13E0E"/>
    <w:rsid w:val="00E15791"/>
    <w:rsid w:val="00E21FE0"/>
    <w:rsid w:val="00E246F8"/>
    <w:rsid w:val="00E26E93"/>
    <w:rsid w:val="00E26EB0"/>
    <w:rsid w:val="00E325D2"/>
    <w:rsid w:val="00E36EEE"/>
    <w:rsid w:val="00E400FB"/>
    <w:rsid w:val="00E41167"/>
    <w:rsid w:val="00E43A91"/>
    <w:rsid w:val="00E44C48"/>
    <w:rsid w:val="00E46AB1"/>
    <w:rsid w:val="00E51337"/>
    <w:rsid w:val="00E51561"/>
    <w:rsid w:val="00E532D6"/>
    <w:rsid w:val="00E5625B"/>
    <w:rsid w:val="00E570FB"/>
    <w:rsid w:val="00E57838"/>
    <w:rsid w:val="00E609D9"/>
    <w:rsid w:val="00E60BFE"/>
    <w:rsid w:val="00E62877"/>
    <w:rsid w:val="00E70FC9"/>
    <w:rsid w:val="00E742F4"/>
    <w:rsid w:val="00E76D9F"/>
    <w:rsid w:val="00E77863"/>
    <w:rsid w:val="00E77B44"/>
    <w:rsid w:val="00E8563D"/>
    <w:rsid w:val="00E8607A"/>
    <w:rsid w:val="00E86B1C"/>
    <w:rsid w:val="00E93B10"/>
    <w:rsid w:val="00EA5A56"/>
    <w:rsid w:val="00EB2076"/>
    <w:rsid w:val="00EC1228"/>
    <w:rsid w:val="00EC1D54"/>
    <w:rsid w:val="00ED4C37"/>
    <w:rsid w:val="00ED6274"/>
    <w:rsid w:val="00ED65D8"/>
    <w:rsid w:val="00EE39DA"/>
    <w:rsid w:val="00F009A5"/>
    <w:rsid w:val="00F04633"/>
    <w:rsid w:val="00F057CB"/>
    <w:rsid w:val="00F05E04"/>
    <w:rsid w:val="00F06927"/>
    <w:rsid w:val="00F11224"/>
    <w:rsid w:val="00F115CE"/>
    <w:rsid w:val="00F13AD8"/>
    <w:rsid w:val="00F13C38"/>
    <w:rsid w:val="00F14D35"/>
    <w:rsid w:val="00F17197"/>
    <w:rsid w:val="00F21822"/>
    <w:rsid w:val="00F22E04"/>
    <w:rsid w:val="00F242E4"/>
    <w:rsid w:val="00F24E2A"/>
    <w:rsid w:val="00F313AC"/>
    <w:rsid w:val="00F327BD"/>
    <w:rsid w:val="00F346EE"/>
    <w:rsid w:val="00F36E0F"/>
    <w:rsid w:val="00F37395"/>
    <w:rsid w:val="00F4037D"/>
    <w:rsid w:val="00F433AC"/>
    <w:rsid w:val="00F4426F"/>
    <w:rsid w:val="00F4448B"/>
    <w:rsid w:val="00F447F0"/>
    <w:rsid w:val="00F47E71"/>
    <w:rsid w:val="00F47FD5"/>
    <w:rsid w:val="00F519F8"/>
    <w:rsid w:val="00F60EF8"/>
    <w:rsid w:val="00F63E00"/>
    <w:rsid w:val="00F644D5"/>
    <w:rsid w:val="00F650E4"/>
    <w:rsid w:val="00F73897"/>
    <w:rsid w:val="00F75A94"/>
    <w:rsid w:val="00F85815"/>
    <w:rsid w:val="00F8754D"/>
    <w:rsid w:val="00F96AF8"/>
    <w:rsid w:val="00FA213B"/>
    <w:rsid w:val="00FA357D"/>
    <w:rsid w:val="00FA3D88"/>
    <w:rsid w:val="00FA3DE5"/>
    <w:rsid w:val="00FA46F3"/>
    <w:rsid w:val="00FB05B5"/>
    <w:rsid w:val="00FB2490"/>
    <w:rsid w:val="00FB4F68"/>
    <w:rsid w:val="00FB5BF2"/>
    <w:rsid w:val="00FC1A9D"/>
    <w:rsid w:val="00FC3CD1"/>
    <w:rsid w:val="00FC4BB3"/>
    <w:rsid w:val="00FD3937"/>
    <w:rsid w:val="00FD52DD"/>
    <w:rsid w:val="00FD7A9E"/>
    <w:rsid w:val="00FD7D01"/>
    <w:rsid w:val="00FE0566"/>
    <w:rsid w:val="00FE0DA6"/>
    <w:rsid w:val="00FE7F20"/>
    <w:rsid w:val="00FF35FE"/>
    <w:rsid w:val="00FF565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03D9A71-767D-4733-8CB8-85CB289B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F1768"/>
    <w:rPr>
      <w:sz w:val="20"/>
      <w:szCs w:val="20"/>
    </w:rPr>
  </w:style>
  <w:style w:type="character" w:styleId="FootnoteReference">
    <w:name w:val="footnote reference"/>
    <w:rsid w:val="000F1768"/>
    <w:rPr>
      <w:vertAlign w:val="superscript"/>
    </w:rPr>
  </w:style>
  <w:style w:type="character" w:styleId="Emphasis">
    <w:name w:val="Emphasis"/>
    <w:uiPriority w:val="20"/>
    <w:qFormat/>
    <w:rsid w:val="00552F37"/>
    <w:rPr>
      <w:i/>
      <w:iCs/>
    </w:rPr>
  </w:style>
  <w:style w:type="character" w:styleId="Hyperlink">
    <w:name w:val="Hyperlink"/>
    <w:rsid w:val="000F1768"/>
    <w:rPr>
      <w:color w:val="0000FF"/>
      <w:u w:val="single"/>
    </w:rPr>
  </w:style>
  <w:style w:type="character" w:styleId="CommentReference">
    <w:name w:val="annotation reference"/>
    <w:semiHidden/>
    <w:rsid w:val="000F1768"/>
    <w:rPr>
      <w:sz w:val="16"/>
      <w:szCs w:val="16"/>
    </w:rPr>
  </w:style>
  <w:style w:type="paragraph" w:styleId="CommentText">
    <w:name w:val="annotation text"/>
    <w:basedOn w:val="Normal"/>
    <w:semiHidden/>
    <w:rsid w:val="000F1768"/>
    <w:rPr>
      <w:sz w:val="20"/>
      <w:szCs w:val="20"/>
    </w:rPr>
  </w:style>
  <w:style w:type="paragraph" w:styleId="CommentSubject">
    <w:name w:val="annotation subject"/>
    <w:basedOn w:val="CommentText"/>
    <w:next w:val="CommentText"/>
    <w:semiHidden/>
    <w:rsid w:val="000F1768"/>
    <w:rPr>
      <w:b/>
      <w:bCs/>
    </w:rPr>
  </w:style>
  <w:style w:type="paragraph" w:styleId="BalloonText">
    <w:name w:val="Balloon Text"/>
    <w:basedOn w:val="Normal"/>
    <w:semiHidden/>
    <w:rsid w:val="000F1768"/>
    <w:rPr>
      <w:rFonts w:ascii="Tahoma" w:hAnsi="Tahoma" w:cs="Tahoma"/>
      <w:sz w:val="16"/>
      <w:szCs w:val="16"/>
    </w:rPr>
  </w:style>
  <w:style w:type="character" w:styleId="FollowedHyperlink">
    <w:name w:val="FollowedHyperlink"/>
    <w:rsid w:val="000F1768"/>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rsid w:val="000F1768"/>
  </w:style>
  <w:style w:type="paragraph" w:styleId="Header">
    <w:name w:val="header"/>
    <w:basedOn w:val="Normal"/>
    <w:link w:val="HeaderChar"/>
    <w:rsid w:val="000F1768"/>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8688C"/>
    <w:pPr>
      <w:spacing w:before="480"/>
      <w:jc w:val="center"/>
    </w:pPr>
    <w:rPr>
      <w:b/>
      <w:bCs/>
      <w:sz w:val="22"/>
      <w:szCs w:val="20"/>
    </w:rPr>
  </w:style>
  <w:style w:type="paragraph" w:customStyle="1" w:styleId="littleroman">
    <w:name w:val="little (roman)"/>
    <w:basedOn w:val="Default"/>
    <w:qFormat/>
    <w:rsid w:val="00314DC2"/>
    <w:pPr>
      <w:keepNext/>
      <w:widowControl/>
      <w:spacing w:before="240"/>
      <w:ind w:left="1080" w:right="113" w:hanging="720"/>
      <w:jc w:val="both"/>
    </w:pPr>
    <w:rPr>
      <w:rFonts w:ascii="Arial" w:eastAsia="SimSun" w:hAnsi="Arial" w:cs="Arial"/>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b.wester@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pouwels@molens.nl" TargetMode="External"/><Relationship Id="rId4" Type="http://schemas.openxmlformats.org/officeDocument/2006/relationships/settings" Target="settings.xml"/><Relationship Id="rId9" Type="http://schemas.openxmlformats.org/officeDocument/2006/relationships/hyperlink" Target="mailto:meel@windotter.n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CA425-554B-470E-BC46-283A083F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7972</Words>
  <Characters>46321</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54185</CharactersWithSpaces>
  <SharedDoc>false</SharedDoc>
  <HLinks>
    <vt:vector size="18" baseType="variant">
      <vt:variant>
        <vt:i4>3473479</vt:i4>
      </vt:variant>
      <vt:variant>
        <vt:i4>41</vt:i4>
      </vt:variant>
      <vt:variant>
        <vt:i4>0</vt:i4>
      </vt:variant>
      <vt:variant>
        <vt:i4>5</vt:i4>
      </vt:variant>
      <vt:variant>
        <vt:lpwstr>mailto:i.pouwels@molens.nl</vt:lpwstr>
      </vt:variant>
      <vt:variant>
        <vt:lpwstr/>
      </vt:variant>
      <vt:variant>
        <vt:i4>7602269</vt:i4>
      </vt:variant>
      <vt:variant>
        <vt:i4>38</vt:i4>
      </vt:variant>
      <vt:variant>
        <vt:i4>0</vt:i4>
      </vt:variant>
      <vt:variant>
        <vt:i4>5</vt:i4>
      </vt:variant>
      <vt:variant>
        <vt:lpwstr>mailto:meel@windotter.nl</vt:lpwstr>
      </vt:variant>
      <vt:variant>
        <vt:lpwstr/>
      </vt:variant>
      <vt:variant>
        <vt:i4>327778</vt:i4>
      </vt:variant>
      <vt:variant>
        <vt:i4>35</vt:i4>
      </vt:variant>
      <vt:variant>
        <vt:i4>0</vt:i4>
      </vt:variant>
      <vt:variant>
        <vt:i4>5</vt:i4>
      </vt:variant>
      <vt:variant>
        <vt:lpwstr>mailto:alb.wester@gmail.com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CLT/CRE/ITH-F.Proschan</dc:creator>
  <cp:lastModifiedBy>Martin-Siegfried, Suzanne</cp:lastModifiedBy>
  <cp:revision>4</cp:revision>
  <cp:lastPrinted>2017-04-07T07:18:00Z</cp:lastPrinted>
  <dcterms:created xsi:type="dcterms:W3CDTF">2017-04-05T14:28:00Z</dcterms:created>
  <dcterms:modified xsi:type="dcterms:W3CDTF">2017-04-07T07:18:00Z</dcterms:modified>
</cp:coreProperties>
</file>