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96" w:rsidRPr="00EE5596" w:rsidRDefault="00EE5596" w:rsidP="00EE5596">
      <w:pPr>
        <w:pStyle w:val="COMParaDecision"/>
        <w:keepNext/>
        <w:keepLines/>
        <w:numPr>
          <w:ilvl w:val="0"/>
          <w:numId w:val="0"/>
        </w:numPr>
        <w:jc w:val="center"/>
        <w:rPr>
          <w:b/>
          <w:lang w:val="fr-FR"/>
        </w:rPr>
      </w:pPr>
      <w:r w:rsidRPr="00EE5596">
        <w:rPr>
          <w:b/>
          <w:lang w:val="fr-FR"/>
        </w:rPr>
        <w:t>Principes éthiques pour la sauvegarde du patrimoine culturel immatériel</w:t>
      </w:r>
    </w:p>
    <w:p w:rsidR="00EE5596" w:rsidRPr="00585FD2" w:rsidRDefault="00EE5596" w:rsidP="00EE5596">
      <w:pPr>
        <w:pStyle w:val="COMParaDecision"/>
        <w:numPr>
          <w:ilvl w:val="0"/>
          <w:numId w:val="0"/>
        </w:numPr>
        <w:spacing w:before="240"/>
        <w:rPr>
          <w:i/>
          <w:u w:val="none"/>
          <w:lang w:val="fr-FR"/>
        </w:rPr>
      </w:pPr>
      <w:r>
        <w:rPr>
          <w:u w:val="none"/>
          <w:lang w:val="fr-FR"/>
        </w:rPr>
        <w:t>Les principes éthiques</w:t>
      </w:r>
      <w:r w:rsidRPr="00585FD2">
        <w:rPr>
          <w:u w:val="none"/>
          <w:lang w:val="fr-FR"/>
        </w:rPr>
        <w:t xml:space="preserve"> pour la sauvegarde du patrimoine culturel immatériel ont été élaborés dans l’esprit de la Convention de 2003 pour la sauvegarde du patrimoine culturel immatériel ainsi que des instruments normatifs internationaux en vigueur relatifs aux droits de l’homme et aux droits des peuples autochtones. Ils forment un ensemble de principes généraux indicatifs, largement reconnus comme constituant de bonnes pratiques pour les gouvernements, organisations et individus agissant directement ou indirectement sur le patrimoine culturel immatériel pour assurer sa viabilité, reconnaissant ainsi sa contribution à la paix et au développement durable. Complémentaires de la Convention de 2003 pour la sauvegarde du patrimoine culturel immatériel, des Directives opérationnelles pour la mise en œuvre de la Convention et des cadres législatifs nationaux, ces principes éthiques sont destinés à servir de base à l’élaboration de codes et d’outils d’éthique spécifiques, adaptés au contexte local et sectoriel.</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 xml:space="preserve">Les communautés, groupes et, le cas échéant, individus doivent jouer le </w:t>
      </w:r>
      <w:r w:rsidRPr="001A0FAA">
        <w:rPr>
          <w:rFonts w:ascii="Arial" w:eastAsia="Times New Roman" w:hAnsi="Arial" w:cs="Arial"/>
          <w:b/>
          <w:lang w:eastAsia="fr-FR"/>
        </w:rPr>
        <w:t>rôle principal</w:t>
      </w:r>
      <w:r w:rsidRPr="00CC7F47">
        <w:rPr>
          <w:rFonts w:ascii="Arial" w:eastAsia="Times New Roman" w:hAnsi="Arial" w:cs="Arial"/>
          <w:lang w:eastAsia="fr-FR"/>
        </w:rPr>
        <w:t xml:space="preserve"> dans la sauvegarde de leur patrimoine culturel immatériel.</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b/>
          <w:bCs/>
          <w:lang w:eastAsia="fr-FR"/>
        </w:rPr>
        <w:t>Le droit des communautés, groupes et, le cas échéant, individus</w:t>
      </w:r>
      <w:r w:rsidRPr="00CC7F47">
        <w:rPr>
          <w:rFonts w:ascii="Arial" w:eastAsia="Times New Roman" w:hAnsi="Arial" w:cs="Arial"/>
          <w:lang w:eastAsia="fr-FR"/>
        </w:rPr>
        <w:t> de maintenir les pratiques, représentations, expressions, connaissances et savoir-faire nécessaires pour assurer la viabilité du patrimoine culturel immatériel doit être reconnu et respecté.</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b/>
          <w:bCs/>
          <w:lang w:eastAsia="fr-FR"/>
        </w:rPr>
        <w:t>Le respect mutuel</w:t>
      </w:r>
      <w:r w:rsidRPr="00CC7F47">
        <w:rPr>
          <w:rFonts w:ascii="Arial" w:eastAsia="Times New Roman" w:hAnsi="Arial" w:cs="Arial"/>
          <w:lang w:eastAsia="fr-FR"/>
        </w:rPr>
        <w:t> ainsi que le respect et l’appréciation mutuelle du patrimoine culturel immatériel doivent prévaloir dans les interactions entre États et entre communautés, groupes et, le cas échéant, individus.</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Toutes les interactions avec les communautés, groupes et, le cas échéant, individus qui créent, sauvegardent, maintiennent et transmettent le patrimoine culturel immatériel doivent se caractériser par une collaboration </w:t>
      </w:r>
      <w:r w:rsidRPr="00CC7F47">
        <w:rPr>
          <w:rFonts w:ascii="Arial" w:eastAsia="Times New Roman" w:hAnsi="Arial" w:cs="Arial"/>
          <w:b/>
          <w:bCs/>
          <w:lang w:eastAsia="fr-FR"/>
        </w:rPr>
        <w:t>transparente,</w:t>
      </w:r>
      <w:r w:rsidRPr="00CC7F47">
        <w:rPr>
          <w:rFonts w:ascii="Arial" w:eastAsia="Times New Roman" w:hAnsi="Arial" w:cs="Arial"/>
          <w:lang w:eastAsia="fr-FR"/>
        </w:rPr>
        <w:t> le dialogue, la négociation et la consultation, et sont subordonnées à leur</w:t>
      </w:r>
      <w:r>
        <w:rPr>
          <w:rFonts w:ascii="Arial" w:eastAsia="Times New Roman" w:hAnsi="Arial" w:cs="Arial"/>
          <w:lang w:eastAsia="fr-FR"/>
        </w:rPr>
        <w:t xml:space="preserve"> </w:t>
      </w:r>
      <w:r w:rsidRPr="00CC7F47">
        <w:rPr>
          <w:rFonts w:ascii="Arial" w:eastAsia="Times New Roman" w:hAnsi="Arial" w:cs="Arial"/>
          <w:b/>
          <w:bCs/>
          <w:lang w:eastAsia="fr-FR"/>
        </w:rPr>
        <w:t>consentement libre, préalable, durable et éclairé</w:t>
      </w:r>
      <w:r w:rsidRPr="00CC7F47">
        <w:rPr>
          <w:rFonts w:ascii="Arial" w:eastAsia="Times New Roman" w:hAnsi="Arial" w:cs="Arial"/>
          <w:lang w:eastAsia="fr-FR"/>
        </w:rPr>
        <w:t>.</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b/>
          <w:bCs/>
          <w:lang w:eastAsia="fr-FR"/>
        </w:rPr>
        <w:t>L’accès</w:t>
      </w:r>
      <w:r w:rsidRPr="00CC7F47">
        <w:rPr>
          <w:rFonts w:ascii="Arial" w:eastAsia="Times New Roman" w:hAnsi="Arial" w:cs="Arial"/>
          <w:lang w:eastAsia="fr-FR"/>
        </w:rPr>
        <w:t> des communautés, groupes et individus aux instruments, objets, artefacts, espaces culturels et naturels et lieux de mémoire dont l’existence est nécessaire pour l’expression du patrimoine culturel immatériel doit être garanti, y compris en situation de conflit armé. Les pratiques coutumières régissant l’accès au patrimoine culturel immatériel doivent être pleinement respectées, même lorsqu’elles limitent l’accès d’un public plus large.</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Il appartient à chaque communauté, groupe ou individu de déterminer la valeur de son patrimoine culturel immatériel et ce patrimoine culturel immatériel </w:t>
      </w:r>
      <w:r w:rsidRPr="00CC7F47">
        <w:rPr>
          <w:rFonts w:ascii="Arial" w:eastAsia="Times New Roman" w:hAnsi="Arial" w:cs="Arial"/>
          <w:b/>
          <w:bCs/>
          <w:lang w:eastAsia="fr-FR"/>
        </w:rPr>
        <w:t>ne doit pas faire l’objet de jugements de valeur extérieurs</w:t>
      </w:r>
      <w:r w:rsidRPr="00CC7F47">
        <w:rPr>
          <w:rFonts w:ascii="Arial" w:eastAsia="Times New Roman" w:hAnsi="Arial" w:cs="Arial"/>
          <w:lang w:eastAsia="fr-FR"/>
        </w:rPr>
        <w:t>.</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Les communautés, groupes et individus qui créent le patrimoine culturel immatériel doivent </w:t>
      </w:r>
      <w:r w:rsidRPr="00CC7F47">
        <w:rPr>
          <w:rFonts w:ascii="Arial" w:eastAsia="Times New Roman" w:hAnsi="Arial" w:cs="Arial"/>
          <w:b/>
          <w:bCs/>
          <w:lang w:eastAsia="fr-FR"/>
        </w:rPr>
        <w:t>bénéficier de la protection</w:t>
      </w:r>
      <w:r w:rsidRPr="00CC7F47">
        <w:rPr>
          <w:rFonts w:ascii="Arial" w:eastAsia="Times New Roman" w:hAnsi="Arial" w:cs="Arial"/>
          <w:lang w:eastAsia="fr-FR"/>
        </w:rPr>
        <w:t> des intérêts moraux et matériels découlant de ce patrimoine, en particulier de son utilisation, de son étude, de sa documentation, de sa promotion ou de son adaptation par des membres des communautés ou d’autres personnes.</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La nature </w:t>
      </w:r>
      <w:r w:rsidRPr="00CC7F47">
        <w:rPr>
          <w:rFonts w:ascii="Arial" w:eastAsia="Times New Roman" w:hAnsi="Arial" w:cs="Arial"/>
          <w:b/>
          <w:bCs/>
          <w:lang w:eastAsia="fr-FR"/>
        </w:rPr>
        <w:t>dynamique et vivante du patrimoine culturel immatériel</w:t>
      </w:r>
      <w:r w:rsidRPr="00CC7F47">
        <w:rPr>
          <w:rFonts w:ascii="Arial" w:eastAsia="Times New Roman" w:hAnsi="Arial" w:cs="Arial"/>
          <w:lang w:eastAsia="fr-FR"/>
        </w:rPr>
        <w:t> doit être respectée en permanence. L’authenticité et l’exclusivité ne doivent pas constituer de préoccupations ni d’obstacles à la sauvegarde du patrimoine culturel immatériel.</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Les communautés, les groupes, les organisations locales, nationales et transnationales et les individus doivent évaluer </w:t>
      </w:r>
      <w:r w:rsidRPr="00CC7F47">
        <w:rPr>
          <w:rFonts w:ascii="Arial" w:eastAsia="Times New Roman" w:hAnsi="Arial" w:cs="Arial"/>
          <w:b/>
          <w:bCs/>
          <w:lang w:eastAsia="fr-FR"/>
        </w:rPr>
        <w:t>l’impact</w:t>
      </w:r>
      <w:r w:rsidRPr="00CC7F47">
        <w:rPr>
          <w:rFonts w:ascii="Arial" w:eastAsia="Times New Roman" w:hAnsi="Arial" w:cs="Arial"/>
          <w:lang w:eastAsia="fr-FR"/>
        </w:rPr>
        <w:t> direct et indirect, à court et long termes, potentiel et définitif de toute action pouvant avoir une incidence sur la viabilité du patrimoine culturel immatériel ou des communautés qui le pratiquent.</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Les communautés, groupes et, le cas échéant, individus doivent jouer un rôle significatif dans la détermination de ce qui constitue des </w:t>
      </w:r>
      <w:r w:rsidRPr="00CC7F47">
        <w:rPr>
          <w:rFonts w:ascii="Arial" w:eastAsia="Times New Roman" w:hAnsi="Arial" w:cs="Arial"/>
          <w:b/>
          <w:bCs/>
          <w:lang w:eastAsia="fr-FR"/>
        </w:rPr>
        <w:t xml:space="preserve">menaces pour leur </w:t>
      </w:r>
      <w:r w:rsidRPr="00CC7F47">
        <w:rPr>
          <w:rFonts w:ascii="Arial" w:eastAsia="Times New Roman" w:hAnsi="Arial" w:cs="Arial"/>
          <w:b/>
          <w:bCs/>
          <w:lang w:eastAsia="fr-FR"/>
        </w:rPr>
        <w:lastRenderedPageBreak/>
        <w:t>patrimoine culturel immatériel</w:t>
      </w:r>
      <w:r w:rsidRPr="00CC7F47">
        <w:rPr>
          <w:rFonts w:ascii="Arial" w:eastAsia="Times New Roman" w:hAnsi="Arial" w:cs="Arial"/>
          <w:lang w:eastAsia="fr-FR"/>
        </w:rPr>
        <w:t>, notamment sa décontextualisation, sa marchandisation et sa présentation erronée ainsi que dans le choix des moyens de prévenir et d’atténuer ces menaces.</w:t>
      </w:r>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b/>
          <w:bCs/>
          <w:lang w:eastAsia="fr-FR"/>
        </w:rPr>
        <w:t>La diversité culturelle</w:t>
      </w:r>
      <w:r w:rsidRPr="00CC7F47">
        <w:rPr>
          <w:rFonts w:ascii="Arial" w:eastAsia="Times New Roman" w:hAnsi="Arial" w:cs="Arial"/>
          <w:lang w:eastAsia="fr-FR"/>
        </w:rPr>
        <w:t xml:space="preserve"> et l’identité des communautés, groupes et individus doivent être pleinement </w:t>
      </w:r>
      <w:proofErr w:type="gramStart"/>
      <w:r w:rsidRPr="00CC7F47">
        <w:rPr>
          <w:rFonts w:ascii="Arial" w:eastAsia="Times New Roman" w:hAnsi="Arial" w:cs="Arial"/>
          <w:lang w:eastAsia="fr-FR"/>
        </w:rPr>
        <w:t>respectées</w:t>
      </w:r>
      <w:proofErr w:type="gramEnd"/>
      <w:r w:rsidRPr="00CC7F47">
        <w:rPr>
          <w:rFonts w:ascii="Arial" w:eastAsia="Times New Roman" w:hAnsi="Arial" w:cs="Arial"/>
          <w:lang w:eastAsia="fr-FR"/>
        </w:rPr>
        <w:t>. Dans le respect des valeurs reconnues par les communautés, groupes et individus et de la sensibilité aux normes culturelles, la conception et la mise en œuvre des mesures de sauvegarde doivent prêter spécifiquement attention à l’égalité des </w:t>
      </w:r>
      <w:r w:rsidRPr="00CC7F47">
        <w:rPr>
          <w:rFonts w:ascii="Arial" w:eastAsia="Times New Roman" w:hAnsi="Arial" w:cs="Arial"/>
          <w:b/>
          <w:bCs/>
          <w:lang w:eastAsia="fr-FR"/>
        </w:rPr>
        <w:t>genres,</w:t>
      </w:r>
      <w:r w:rsidRPr="00CC7F47">
        <w:rPr>
          <w:rFonts w:ascii="Arial" w:eastAsia="Times New Roman" w:hAnsi="Arial" w:cs="Arial"/>
          <w:lang w:eastAsia="fr-FR"/>
        </w:rPr>
        <w:t> à la participation des </w:t>
      </w:r>
      <w:r w:rsidRPr="00CC7F47">
        <w:rPr>
          <w:rFonts w:ascii="Arial" w:eastAsia="Times New Roman" w:hAnsi="Arial" w:cs="Arial"/>
          <w:b/>
          <w:bCs/>
          <w:lang w:eastAsia="fr-FR"/>
        </w:rPr>
        <w:t>jeunes</w:t>
      </w:r>
      <w:r w:rsidRPr="00CC7F47">
        <w:rPr>
          <w:rFonts w:ascii="Arial" w:eastAsia="Times New Roman" w:hAnsi="Arial" w:cs="Arial"/>
          <w:lang w:eastAsia="fr-FR"/>
        </w:rPr>
        <w:t xml:space="preserve"> et au </w:t>
      </w:r>
      <w:r w:rsidRPr="001A0FAA">
        <w:rPr>
          <w:rFonts w:ascii="Arial" w:eastAsia="Times New Roman" w:hAnsi="Arial" w:cs="Arial"/>
          <w:b/>
          <w:lang w:eastAsia="fr-FR"/>
        </w:rPr>
        <w:t>respect des identités ethniques</w:t>
      </w:r>
      <w:r w:rsidRPr="00CC7F47">
        <w:rPr>
          <w:rFonts w:ascii="Arial" w:eastAsia="Times New Roman" w:hAnsi="Arial" w:cs="Arial"/>
          <w:lang w:eastAsia="fr-FR"/>
        </w:rPr>
        <w:t>.</w:t>
      </w:r>
      <w:bookmarkStart w:id="0" w:name="_GoBack"/>
      <w:bookmarkEnd w:id="0"/>
    </w:p>
    <w:p w:rsidR="00EE5596" w:rsidRPr="00CC7F47" w:rsidRDefault="00EE5596" w:rsidP="00EE5596">
      <w:pPr>
        <w:numPr>
          <w:ilvl w:val="0"/>
          <w:numId w:val="2"/>
        </w:numPr>
        <w:shd w:val="clear" w:color="auto" w:fill="FFFFFF"/>
        <w:spacing w:after="120" w:line="240" w:lineRule="auto"/>
        <w:ind w:left="567" w:hanging="567"/>
        <w:jc w:val="both"/>
        <w:rPr>
          <w:rFonts w:ascii="Arial" w:eastAsia="Times New Roman" w:hAnsi="Arial" w:cs="Arial"/>
          <w:lang w:eastAsia="fr-FR"/>
        </w:rPr>
      </w:pPr>
      <w:r w:rsidRPr="00CC7F47">
        <w:rPr>
          <w:rFonts w:ascii="Arial" w:eastAsia="Times New Roman" w:hAnsi="Arial" w:cs="Arial"/>
          <w:lang w:eastAsia="fr-FR"/>
        </w:rPr>
        <w:t>La sauvegarde du patrimoine culturel immatériel présente un </w:t>
      </w:r>
      <w:r w:rsidRPr="00CC7F47">
        <w:rPr>
          <w:rFonts w:ascii="Arial" w:eastAsia="Times New Roman" w:hAnsi="Arial" w:cs="Arial"/>
          <w:b/>
          <w:bCs/>
          <w:lang w:eastAsia="fr-FR"/>
        </w:rPr>
        <w:t>intérêt général pour l’humanité</w:t>
      </w:r>
      <w:r w:rsidRPr="00CC7F47">
        <w:rPr>
          <w:rFonts w:ascii="Arial" w:eastAsia="Times New Roman" w:hAnsi="Arial" w:cs="Arial"/>
          <w:lang w:eastAsia="fr-FR"/>
        </w:rPr>
        <w:t xml:space="preserve"> et doit, par conséquent, être entreprise dans le cadre d’une coopération entre parties bilatérales, </w:t>
      </w:r>
      <w:proofErr w:type="spellStart"/>
      <w:r w:rsidRPr="00CC7F47">
        <w:rPr>
          <w:rFonts w:ascii="Arial" w:eastAsia="Times New Roman" w:hAnsi="Arial" w:cs="Arial"/>
          <w:lang w:eastAsia="fr-FR"/>
        </w:rPr>
        <w:t>sous-régionales</w:t>
      </w:r>
      <w:proofErr w:type="spellEnd"/>
      <w:r w:rsidRPr="00CC7F47">
        <w:rPr>
          <w:rFonts w:ascii="Arial" w:eastAsia="Times New Roman" w:hAnsi="Arial" w:cs="Arial"/>
          <w:lang w:eastAsia="fr-FR"/>
        </w:rPr>
        <w:t>, régionales et internationales ; cependant, les communautés, groupes et, le cas échéant, individus ne doivent jamais être écartés de leur propre patrimoine culturel immatériel.</w:t>
      </w:r>
    </w:p>
    <w:p w:rsidR="00D83403" w:rsidRDefault="00D83403"/>
    <w:sectPr w:rsidR="00D83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5EBA527F"/>
    <w:multiLevelType w:val="multilevel"/>
    <w:tmpl w:val="9DC0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96"/>
    <w:rsid w:val="001A0FAA"/>
    <w:rsid w:val="00682E20"/>
    <w:rsid w:val="00D83403"/>
    <w:rsid w:val="00EE559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raDecision">
    <w:name w:val="COM Para Decision"/>
    <w:basedOn w:val="Normal"/>
    <w:qFormat/>
    <w:rsid w:val="00EE5596"/>
    <w:pPr>
      <w:numPr>
        <w:numId w:val="1"/>
      </w:numPr>
      <w:autoSpaceDE w:val="0"/>
      <w:autoSpaceDN w:val="0"/>
      <w:adjustRightInd w:val="0"/>
      <w:spacing w:after="120" w:line="240" w:lineRule="auto"/>
      <w:jc w:val="both"/>
    </w:pPr>
    <w:rPr>
      <w:rFonts w:ascii="Arial" w:eastAsia="SimSun" w:hAnsi="Arial" w:cs="Arial"/>
      <w:u w:val="single"/>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raDecision">
    <w:name w:val="COM Para Decision"/>
    <w:basedOn w:val="Normal"/>
    <w:qFormat/>
    <w:rsid w:val="00EE5596"/>
    <w:pPr>
      <w:numPr>
        <w:numId w:val="1"/>
      </w:numPr>
      <w:autoSpaceDE w:val="0"/>
      <w:autoSpaceDN w:val="0"/>
      <w:adjustRightInd w:val="0"/>
      <w:spacing w:after="120" w:line="240" w:lineRule="auto"/>
      <w:jc w:val="both"/>
    </w:pPr>
    <w:rPr>
      <w:rFonts w:ascii="Arial" w:eastAsia="SimSun" w:hAnsi="Arial" w:cs="Arial"/>
      <w:u w:val="single"/>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K_Nakata</dc:creator>
  <cp:lastModifiedBy>K_Nakata</cp:lastModifiedBy>
  <cp:revision>2</cp:revision>
  <dcterms:created xsi:type="dcterms:W3CDTF">2016-05-23T10:29:00Z</dcterms:created>
  <dcterms:modified xsi:type="dcterms:W3CDTF">2016-05-23T15:52:00Z</dcterms:modified>
</cp:coreProperties>
</file>