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ECD5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558"/>
        <w:gridCol w:w="1509"/>
      </w:tblGrid>
      <w:tr w:rsidR="005473CF" w:rsidRPr="00DA6E80" w14:paraId="4BED086E" w14:textId="77777777" w:rsidTr="00D7501D">
        <w:trPr>
          <w:cantSplit/>
        </w:trPr>
        <w:tc>
          <w:tcPr>
            <w:tcW w:w="786" w:type="pct"/>
            <w:shd w:val="clear" w:color="auto" w:fill="auto"/>
          </w:tcPr>
          <w:p w14:paraId="658F747A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B746900" w14:textId="44FABA33" w:rsidR="005473CF" w:rsidRPr="00DA6E80" w:rsidRDefault="007C0997" w:rsidP="007E1DCE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16.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se reconoce la importancia del PCI en los planes y programas inclusivos que fomentan el respeto de sí mismo y el respeto mutuo</w:t>
            </w:r>
          </w:p>
        </w:tc>
      </w:tr>
      <w:tr w:rsidR="005B0FE5" w:rsidRPr="00DA6E80" w14:paraId="3E4347C1" w14:textId="77777777" w:rsidTr="00D7501D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5F693F39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3AB50AF" w14:textId="07CD6614" w:rsidR="005B0FE5" w:rsidRPr="00DA6E80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dos factores de ámbito nacional que cada Estado Parte supervisa y notifica:</w:t>
            </w:r>
          </w:p>
        </w:tc>
      </w:tr>
      <w:tr w:rsidR="007C0997" w:rsidRPr="00DA6E80" w14:paraId="195BE434" w14:textId="77777777" w:rsidTr="00D7501D">
        <w:trPr>
          <w:cantSplit/>
        </w:trPr>
        <w:tc>
          <w:tcPr>
            <w:tcW w:w="786" w:type="pct"/>
            <w:vMerge/>
            <w:shd w:val="clear" w:color="auto" w:fill="auto"/>
          </w:tcPr>
          <w:p w14:paraId="36248C75" w14:textId="77777777" w:rsidR="007C0997" w:rsidRPr="00DA6E80" w:rsidRDefault="007C0997" w:rsidP="007C0997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D61037C" w14:textId="77777777" w:rsidR="007C0997" w:rsidRPr="00DA6E80" w:rsidRDefault="007C0997" w:rsidP="007C0997">
            <w:pPr>
              <w:numPr>
                <w:ilvl w:val="1"/>
                <w:numId w:val="57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 xml:space="preserve">Los programas y planes de salvaguardia del PCI que incluyan a todos los sectores y estratos de la sociedad,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incluyendo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 xml:space="preserve"> pero no limitándose solo a: </w:t>
            </w:r>
          </w:p>
          <w:p w14:paraId="2DCF7ACC" w14:textId="220DF175" w:rsidR="007C0997" w:rsidRPr="00A8072E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poblaciones indígenas;</w:t>
            </w:r>
          </w:p>
          <w:p w14:paraId="0BA6BA48" w14:textId="77777777" w:rsidR="007C0997" w:rsidRPr="00DA6E80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grupos con distintas identidades étnicas;</w:t>
            </w:r>
          </w:p>
          <w:p w14:paraId="16450B4A" w14:textId="77777777" w:rsidR="007C0997" w:rsidRPr="00A8072E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inmigrantes, migrantes y refugiados;</w:t>
            </w:r>
          </w:p>
          <w:p w14:paraId="71CED306" w14:textId="77777777" w:rsidR="007C0997" w:rsidRPr="00A8072E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personas de distintas edades;</w:t>
            </w:r>
          </w:p>
          <w:p w14:paraId="26826F6A" w14:textId="77777777" w:rsidR="007C0997" w:rsidRPr="00A8072E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personas de distintos géneros;</w:t>
            </w:r>
          </w:p>
          <w:p w14:paraId="74F8EE13" w14:textId="77777777" w:rsidR="007C0997" w:rsidRPr="00A8072E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personas con discapacidades;</w:t>
            </w:r>
          </w:p>
          <w:p w14:paraId="332D3A13" w14:textId="0CD2546E" w:rsidR="007C0997" w:rsidRPr="00322A3A" w:rsidRDefault="007C0997" w:rsidP="007C0997">
            <w:pPr>
              <w:numPr>
                <w:ilvl w:val="0"/>
                <w:numId w:val="33"/>
              </w:numPr>
              <w:spacing w:before="60" w:after="60"/>
              <w:ind w:left="97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miembros de grupos vulnerables.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81D742" w14:textId="77777777" w:rsidR="007C0997" w:rsidRPr="00A8072E" w:rsidRDefault="007C0997" w:rsidP="007C09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DO 100,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 xml:space="preserve">DO 102,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 xml:space="preserve">DO 174,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>DO 194</w:t>
            </w:r>
          </w:p>
          <w:p w14:paraId="6919AF03" w14:textId="212BC9FB" w:rsidR="007C0997" w:rsidRPr="00DA6E80" w:rsidRDefault="007C0997" w:rsidP="007C0997">
            <w:pPr>
              <w:keepLines/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PE 1, PE 2,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 xml:space="preserve">PE 4, PE 9,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>PE 10</w:t>
            </w:r>
          </w:p>
        </w:tc>
      </w:tr>
      <w:tr w:rsidR="007C0997" w:rsidRPr="00D86816" w14:paraId="0A0495C8" w14:textId="77777777" w:rsidTr="00D7501D">
        <w:trPr>
          <w:cantSplit/>
        </w:trPr>
        <w:tc>
          <w:tcPr>
            <w:tcW w:w="786" w:type="pct"/>
            <w:vMerge/>
            <w:shd w:val="clear" w:color="auto" w:fill="auto"/>
          </w:tcPr>
          <w:p w14:paraId="754E57C2" w14:textId="77777777" w:rsidR="007C0997" w:rsidRPr="00DA6E80" w:rsidRDefault="007C0997" w:rsidP="007C0997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989A882" w14:textId="7BFDA772" w:rsidR="007C0997" w:rsidRPr="00DA6E80" w:rsidRDefault="007C0997" w:rsidP="00D86816">
            <w:pPr>
              <w:numPr>
                <w:ilvl w:val="1"/>
                <w:numId w:val="57"/>
              </w:num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Se fomenta el respeto de sí mismo y el respeto mutuo en las comunidades, los grupos y los individuos a través de los planes y programas de salvaguardia del PCI en general o de elementos específicos del PCI, independientemente de si están o no inscritos.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7F07535" w14:textId="77777777" w:rsidR="007C0997" w:rsidRPr="00D86816" w:rsidRDefault="007C0997" w:rsidP="007C099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s"/>
              </w:rPr>
              <w:t xml:space="preserve">Artículo 1, </w:t>
            </w:r>
            <w:r>
              <w:rPr>
                <w:rFonts w:ascii="Arial" w:hAnsi="Arial"/>
                <w:sz w:val="20"/>
                <w:lang w:val="es"/>
              </w:rPr>
              <w:br/>
              <w:t xml:space="preserve">Artículo 2, </w:t>
            </w:r>
            <w:r>
              <w:rPr>
                <w:rFonts w:ascii="Arial" w:hAnsi="Arial"/>
                <w:sz w:val="20"/>
                <w:lang w:val="es"/>
              </w:rPr>
              <w:br/>
              <w:t>Artículo 14 a)</w:t>
            </w:r>
          </w:p>
          <w:p w14:paraId="111266F6" w14:textId="4ECD2F9F" w:rsidR="007C0997" w:rsidRPr="00D86816" w:rsidRDefault="007C0997" w:rsidP="007C09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s"/>
              </w:rPr>
              <w:t xml:space="preserve">DO 100, </w:t>
            </w:r>
            <w:r>
              <w:rPr>
                <w:rFonts w:ascii="Arial" w:hAnsi="Arial"/>
                <w:sz w:val="20"/>
                <w:lang w:val="es"/>
              </w:rPr>
              <w:br/>
              <w:t>DO 107, DO 155</w:t>
            </w:r>
          </w:p>
        </w:tc>
      </w:tr>
      <w:tr w:rsidR="005473CF" w:rsidRPr="00DA6E80" w14:paraId="759F1CC9" w14:textId="77777777" w:rsidTr="00D7501D">
        <w:trPr>
          <w:cantSplit/>
        </w:trPr>
        <w:tc>
          <w:tcPr>
            <w:tcW w:w="786" w:type="pct"/>
            <w:shd w:val="clear" w:color="auto" w:fill="auto"/>
          </w:tcPr>
          <w:p w14:paraId="230CB777" w14:textId="77777777" w:rsidR="005473CF" w:rsidRPr="00DA6E80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9E70954" w14:textId="599DD318" w:rsidR="005473CF" w:rsidRPr="00DA6E80" w:rsidRDefault="005473CF" w:rsidP="00D7501D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 xml:space="preserve">El indicador 16 complementa varias de las metas de los ODS, como la meta 11.4 que persigue «redoblar los esfuerzos para proteger y salvaguardar el patrimonio cultural y natural del mundo» y la meta 11.3 destinada a «aumentar la urbanización inclusiva y sostenible y la capacidad para la planificación y la gestión participativas, integradas y sostenibles de los asentamientos humanos en todos los países». Además, responde a la meta 5.5 de los ODS, que se refiere a «la participación plena y efectiva de las mujeres en la toma de decisiones», y a la meta 5.c de los ODS, que insta a «promover la igualdad de género y el empoderamiento de todas las mujeres y las niñas a todos los niveles». El mismo espíritu de inclusión se plasma más ampliamente en la meta 10.2 de los ODS, que aboga por «potenciar y promover la inclusión social, económica y política de todas las personas, independientemente de su edad, sexo, discapacidad, raza, etnia, origen, religión o situación económica u otra condición», y en la meta 10.3 de los ODS, que trata de «garantizar la igualdad de oportunidades y reducir la desigualdad de resultados». Por último, la meta 10.7 de los ODS se refiere a la necesidad de una «migración y movilidad ordenadas, seguras, regulares y responsables de las personas». </w:t>
            </w:r>
          </w:p>
          <w:p w14:paraId="6F5D9EB9" w14:textId="3775AA05" w:rsidR="00845B6C" w:rsidRPr="00DA6E80" w:rsidRDefault="005473CF" w:rsidP="00BE196A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Este indicador es transversal y establece principios generales de inclusión e igualdad, así como el objetivo general de promover el respeto de sí mismo y el respeto mutuo, valores fundamentales en los que se basan los planes y programas de salvaguardia, con independencia de su alcance o enfoque específicos. Así pues, complementa el indicador 11, que también se refiere a los planes de salvaguardia, ya sea para el PCI en general o para elementos específicos de este. Además, en él se exponen los principios rectores en que se basan el rango de indicadores 17-20, que se refieren específicamente a los programas de sensibilización sobre la importancia del PCI y su salvaguardia, así como el indicador 22, relacionado con el monitoreo de los programas de salvaguardia del PCI.</w:t>
            </w:r>
          </w:p>
        </w:tc>
      </w:tr>
      <w:tr w:rsidR="00896177" w:rsidRPr="00DA6E80" w14:paraId="4EF1C980" w14:textId="77777777" w:rsidTr="00D7501D">
        <w:trPr>
          <w:cantSplit/>
        </w:trPr>
        <w:tc>
          <w:tcPr>
            <w:tcW w:w="786" w:type="pct"/>
            <w:shd w:val="clear" w:color="auto" w:fill="auto"/>
          </w:tcPr>
          <w:p w14:paraId="74203557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lastRenderedPageBreak/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2AB4138" w14:textId="4915151A" w:rsidR="00704766" w:rsidRPr="00DA6E80" w:rsidRDefault="00345548" w:rsidP="00BE196A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 xml:space="preserve">Este indicador se refiere a los principios fundamentales de la Convención, tal como se recogen en los Principios Éticos para la Salvaguardia del Patrimonio Cultural Inmaterial. El requisito de «respeto mutuo entre comunidades, grupos e individuos» figura en la definición de PCI de la Convención (Artículo 2.1), y el propósito de la Convención de «garantizar el respeto del patrimonio cultural inmaterial de las comunidades, grupos e individuos de que se trate» (Artículo 1 b)) implica respeto por esas personas, así como por su PCI. Los principios de inclusión y no discriminación son valores fundamentales de las Naciones Unidas y de la UNESCO, y se reiteran en las Directrices Operativas y los Principios Éticos. El Artículo 15, al referirse a la «participación lo más amplia posible de las comunidades, los grupos y, si procede, los individuos» en la salvaguardia y gestión del patrimonio cultural inmaterial, también encarna el valor de la inclusividad. </w:t>
            </w:r>
          </w:p>
        </w:tc>
      </w:tr>
      <w:tr w:rsidR="00704766" w:rsidRPr="00DA6E80" w14:paraId="3FD17B62" w14:textId="77777777" w:rsidTr="00D7501D">
        <w:trPr>
          <w:cantSplit/>
        </w:trPr>
        <w:tc>
          <w:tcPr>
            <w:tcW w:w="786" w:type="pct"/>
            <w:shd w:val="clear" w:color="auto" w:fill="auto"/>
          </w:tcPr>
          <w:p w14:paraId="2C119DFD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038416E" w14:textId="77777777" w:rsidR="00704766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Inclusivo/de manera inclusiva</w:t>
            </w:r>
          </w:p>
          <w:p w14:paraId="6F73DCA9" w14:textId="77777777" w:rsidR="007C0997" w:rsidRPr="00DA6E80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Sectores y estratos de la sociedad</w:t>
            </w:r>
          </w:p>
          <w:p w14:paraId="5DAFEEF2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Poblaciones indígenas</w:t>
            </w:r>
          </w:p>
          <w:p w14:paraId="15739ACF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Grupos con distintas identidades étnicas</w:t>
            </w:r>
          </w:p>
          <w:p w14:paraId="569C18B8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Inmigrantes, migrantes y refugiados</w:t>
            </w:r>
          </w:p>
          <w:p w14:paraId="32750E9F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Personas de distintos géneros</w:t>
            </w:r>
          </w:p>
          <w:p w14:paraId="49B6C30C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Personas con discapacidades</w:t>
            </w:r>
          </w:p>
          <w:p w14:paraId="148181B8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Grupos vulnerables</w:t>
            </w:r>
          </w:p>
          <w:p w14:paraId="316743A4" w14:textId="77777777" w:rsidR="007C0997" w:rsidRPr="00DA6E80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Comunidades, grupos o, en algunos casos, individuos</w:t>
            </w:r>
          </w:p>
          <w:p w14:paraId="3F22948A" w14:textId="77777777" w:rsidR="007C0997" w:rsidRDefault="007C099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Elementos del PCI</w:t>
            </w:r>
          </w:p>
          <w:p w14:paraId="3AE6B599" w14:textId="16D52C24" w:rsidR="00384433" w:rsidRPr="00DA6E80" w:rsidRDefault="0038443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Inscritos (independientemente de si están o no inscritos)</w:t>
            </w:r>
          </w:p>
        </w:tc>
      </w:tr>
    </w:tbl>
    <w:p w14:paraId="62773F68" w14:textId="77777777" w:rsidR="0054175C" w:rsidRPr="00DA6E80" w:rsidRDefault="0054175C" w:rsidP="0054175C">
      <w:pPr>
        <w:jc w:val="center"/>
        <w:rPr>
          <w:rFonts w:ascii="Arial" w:hAnsi="Arial" w:cs="Arial"/>
          <w:b/>
          <w:sz w:val="24"/>
          <w:lang w:val="fr-FR"/>
        </w:rPr>
        <w:sectPr w:rsidR="0054175C" w:rsidRPr="00DA6E80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13C86CB3" w14:textId="77777777" w:rsidR="0054175C" w:rsidRPr="00DA6E80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116"/>
      </w:tblGrid>
      <w:tr w:rsidR="009C0510" w:rsidRPr="00DA6E80" w14:paraId="426D1745" w14:textId="77777777" w:rsidTr="00DA6E80">
        <w:tc>
          <w:tcPr>
            <w:tcW w:w="785" w:type="pct"/>
            <w:shd w:val="clear" w:color="auto" w:fill="auto"/>
          </w:tcPr>
          <w:p w14:paraId="0AFEC26F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Ventajas del seguimiento</w:t>
            </w:r>
          </w:p>
        </w:tc>
        <w:tc>
          <w:tcPr>
            <w:tcW w:w="4215" w:type="pct"/>
            <w:shd w:val="clear" w:color="auto" w:fill="auto"/>
          </w:tcPr>
          <w:p w14:paraId="6A75C0AA" w14:textId="6AD94428" w:rsidR="002C28BA" w:rsidRPr="00DA6E80" w:rsidRDefault="00C75D4F" w:rsidP="00DA57B6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El seguimiento puede ayudar a un Estado a determinar en qué medida sus planes y programas de salvaguardia están alcanzando la máxima inclusividad, y si existen barreras u obstáculos involuntarios que impidan la participación más amplia posible de las comunidades, grupos o individuos. Además, puede ayudar al Estado a determinar si sus actividades de salvaguardia contribuyen efectivamente al respeto de sí mismo y al respeto mutuo, de conformidad con la Convención; así como a identificar los casos en los que la salvaguardia de los planes y programas podrían tener un efecto accidental y contrario. A nivel mundial, el seguimiento de este indicador puede ayudar a los Estados a determinar de forma conjunta si existen lagunas sistemáticas o involuntarias en el alcance y la participación de la Convención, y a confiar en que el indicador refuerza el respeto por sí mismo y el respeto mutuo en lugar de disminuirlos en modo alguno.</w:t>
            </w:r>
          </w:p>
        </w:tc>
      </w:tr>
      <w:tr w:rsidR="0054175C" w:rsidRPr="00DA6E80" w14:paraId="59D917D8" w14:textId="77777777" w:rsidTr="00DA6E80">
        <w:tc>
          <w:tcPr>
            <w:tcW w:w="785" w:type="pct"/>
            <w:shd w:val="clear" w:color="auto" w:fill="auto"/>
          </w:tcPr>
          <w:p w14:paraId="6E227FEA" w14:textId="77777777" w:rsidR="0054175C" w:rsidRPr="00DA6E80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15" w:type="pct"/>
            <w:shd w:val="clear" w:color="auto" w:fill="auto"/>
          </w:tcPr>
          <w:p w14:paraId="3C9229A5" w14:textId="4B04C77D" w:rsidR="0054175C" w:rsidRPr="00DA6E80" w:rsidRDefault="00043214" w:rsidP="0054175C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Al igual que con el indicador 15, los responsables del seguimiento y la presentación de informes tal vez deban examinar una gran variedad de fuentes de información para identificar ejemplos concretos que muestren cómo se garantiza la inclusividad en los planes y programas de salvaguardia del PCI. Las encuestas periódicas entre los distintos actores en el campo de la salvaguardia del PCI, o las reseñas de la cobertura mediática y la investigación académica, también podrían ser recursos importantes para la recopilación de datos. Asimismo, un órgano consultivo o un mecanismo de coordinación, si lo hubiera, sería una valiosa fuente de información para este indicador.</w:t>
            </w:r>
          </w:p>
          <w:p w14:paraId="4E547FAC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lastRenderedPageBreak/>
              <w:t>Posibles fuentes de información</w:t>
            </w:r>
          </w:p>
          <w:p w14:paraId="5A276D64" w14:textId="2FA08A84" w:rsidR="00043214" w:rsidRPr="00DA6E80" w:rsidRDefault="00043214" w:rsidP="00043214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Informes sobre la puesta en marcha de los planes de salvaguardia de los elementos del PCI inscritos en las listas de la Convención o en las listas nacionales.</w:t>
            </w:r>
          </w:p>
          <w:p w14:paraId="293A42A8" w14:textId="0D9863E7" w:rsidR="00043214" w:rsidRPr="00DA6E80" w:rsidRDefault="00043214" w:rsidP="00043214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Informes de ONG, asociaciones comunitarias y otros actores sobre sus planes y programas de salvaguardia.</w:t>
            </w:r>
          </w:p>
          <w:p w14:paraId="3B1BF70E" w14:textId="77777777" w:rsidR="00043214" w:rsidRPr="00DA6E80" w:rsidRDefault="00043214" w:rsidP="00043214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Circulares y boletines informativos y sitios web de asociaciones profesionales o de redes de investigadores.</w:t>
            </w:r>
          </w:p>
          <w:p w14:paraId="1AB2D66F" w14:textId="42864403" w:rsidR="0054175C" w:rsidRPr="00DA6E80" w:rsidRDefault="00043214" w:rsidP="00043214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Cobertura mediática de los planes y programas de salvaguardia.</w:t>
            </w:r>
          </w:p>
        </w:tc>
      </w:tr>
    </w:tbl>
    <w:p w14:paraId="4F9541DB" w14:textId="77777777" w:rsidR="00320242" w:rsidRPr="00F866CD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448E" w14:textId="77777777" w:rsidR="005E3CEC" w:rsidRDefault="005E3CEC" w:rsidP="002938F2">
      <w:r>
        <w:separator/>
      </w:r>
    </w:p>
    <w:p w14:paraId="153DEBFB" w14:textId="77777777" w:rsidR="005E3CEC" w:rsidRDefault="005E3CEC"/>
  </w:endnote>
  <w:endnote w:type="continuationSeparator" w:id="0">
    <w:p w14:paraId="3010198C" w14:textId="77777777" w:rsidR="005E3CEC" w:rsidRDefault="005E3CEC" w:rsidP="002938F2">
      <w:r>
        <w:continuationSeparator/>
      </w:r>
    </w:p>
    <w:p w14:paraId="74B0DBC2" w14:textId="77777777" w:rsidR="005E3CEC" w:rsidRDefault="005E3CEC"/>
  </w:endnote>
  <w:endnote w:type="continuationNotice" w:id="1">
    <w:p w14:paraId="4DA941C1" w14:textId="77777777" w:rsidR="005E3CEC" w:rsidRDefault="005E3C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8A31" w14:textId="4ACCF4CB" w:rsidR="00C04344" w:rsidRPr="000A0709" w:rsidRDefault="000F25BA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1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680B" w14:textId="77777777" w:rsidR="005E3CEC" w:rsidRDefault="005E3CEC" w:rsidP="002938F2">
      <w:r>
        <w:separator/>
      </w:r>
    </w:p>
  </w:footnote>
  <w:footnote w:type="continuationSeparator" w:id="0">
    <w:p w14:paraId="779A0897" w14:textId="77777777" w:rsidR="005E3CEC" w:rsidRDefault="005E3CEC" w:rsidP="002938F2">
      <w:r>
        <w:continuationSeparator/>
      </w:r>
    </w:p>
    <w:p w14:paraId="6B488F0D" w14:textId="77777777" w:rsidR="005E3CEC" w:rsidRDefault="005E3CEC"/>
  </w:footnote>
  <w:footnote w:type="continuationNotice" w:id="1">
    <w:p w14:paraId="222D33DA" w14:textId="77777777" w:rsidR="005E3CEC" w:rsidRDefault="005E3C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5718" w14:textId="77777777" w:rsidR="00D7501D" w:rsidRDefault="00D75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8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2" w15:restartNumberingAfterBreak="0">
    <w:nsid w:val="72655861"/>
    <w:multiLevelType w:val="hybridMultilevel"/>
    <w:tmpl w:val="4740CCB6"/>
    <w:lvl w:ilvl="0" w:tplc="1EB0BCA6">
      <w:start w:val="1"/>
      <w:numFmt w:val="lowerRoman"/>
      <w:pStyle w:val="i"/>
      <w:lvlText w:val="%1."/>
      <w:lvlJc w:val="left"/>
      <w:pPr>
        <w:ind w:left="114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1"/>
  </w:num>
  <w:num w:numId="4">
    <w:abstractNumId w:val="55"/>
  </w:num>
  <w:num w:numId="5">
    <w:abstractNumId w:val="45"/>
  </w:num>
  <w:num w:numId="6">
    <w:abstractNumId w:val="4"/>
  </w:num>
  <w:num w:numId="7">
    <w:abstractNumId w:val="15"/>
  </w:num>
  <w:num w:numId="8">
    <w:abstractNumId w:val="24"/>
  </w:num>
  <w:num w:numId="9">
    <w:abstractNumId w:val="48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2"/>
  </w:num>
  <w:num w:numId="17">
    <w:abstractNumId w:val="38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53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0"/>
  </w:num>
  <w:num w:numId="32">
    <w:abstractNumId w:val="8"/>
  </w:num>
  <w:num w:numId="33">
    <w:abstractNumId w:val="16"/>
  </w:num>
  <w:num w:numId="34">
    <w:abstractNumId w:val="46"/>
  </w:num>
  <w:num w:numId="35">
    <w:abstractNumId w:val="20"/>
  </w:num>
  <w:num w:numId="36">
    <w:abstractNumId w:val="40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4"/>
  </w:num>
  <w:num w:numId="42">
    <w:abstractNumId w:val="50"/>
  </w:num>
  <w:num w:numId="43">
    <w:abstractNumId w:val="28"/>
  </w:num>
  <w:num w:numId="44">
    <w:abstractNumId w:val="12"/>
  </w:num>
  <w:num w:numId="45">
    <w:abstractNumId w:val="51"/>
  </w:num>
  <w:num w:numId="46">
    <w:abstractNumId w:val="5"/>
  </w:num>
  <w:num w:numId="47">
    <w:abstractNumId w:val="35"/>
  </w:num>
  <w:num w:numId="48">
    <w:abstractNumId w:val="56"/>
  </w:num>
  <w:num w:numId="49">
    <w:abstractNumId w:val="31"/>
  </w:num>
  <w:num w:numId="50">
    <w:abstractNumId w:val="29"/>
  </w:num>
  <w:num w:numId="51">
    <w:abstractNumId w:val="26"/>
  </w:num>
  <w:num w:numId="52">
    <w:abstractNumId w:val="37"/>
  </w:num>
  <w:num w:numId="53">
    <w:abstractNumId w:val="14"/>
  </w:num>
  <w:num w:numId="54">
    <w:abstractNumId w:val="1"/>
  </w:num>
  <w:num w:numId="55">
    <w:abstractNumId w:val="33"/>
  </w:num>
  <w:num w:numId="56">
    <w:abstractNumId w:val="39"/>
  </w:num>
  <w:num w:numId="57">
    <w:abstractNumId w:val="0"/>
  </w:num>
  <w:num w:numId="58">
    <w:abstractNumId w:val="3"/>
  </w:num>
  <w:num w:numId="59">
    <w:abstractNumId w:val="43"/>
  </w:num>
  <w:num w:numId="60">
    <w:abstractNumId w:val="2"/>
  </w:num>
  <w:num w:numId="61">
    <w:abstractNumId w:val="30"/>
  </w:num>
  <w:num w:numId="62">
    <w:abstractNumId w:val="21"/>
  </w:num>
  <w:num w:numId="63">
    <w:abstractNumId w:val="47"/>
  </w:num>
  <w:num w:numId="64">
    <w:abstractNumId w:val="18"/>
  </w:num>
  <w:num w:numId="65">
    <w:abstractNumId w:val="23"/>
  </w:num>
  <w:num w:numId="66">
    <w:abstractNumId w:val="44"/>
  </w:num>
  <w:num w:numId="67">
    <w:abstractNumId w:val="36"/>
  </w:num>
  <w:num w:numId="68">
    <w:abstractNumId w:val="13"/>
  </w:num>
  <w:num w:numId="69">
    <w:abstractNumId w:val="41"/>
  </w:num>
  <w:num w:numId="70">
    <w:abstractNumId w:val="32"/>
  </w:num>
  <w:num w:numId="71">
    <w:abstractNumId w:val="27"/>
  </w:num>
  <w:num w:numId="72">
    <w:abstractNumId w:val="49"/>
  </w:num>
  <w:num w:numId="73">
    <w:abstractNumId w:val="7"/>
  </w:num>
  <w:num w:numId="74">
    <w:abstractNumId w:val="34"/>
  </w:num>
  <w:num w:numId="75">
    <w:abstractNumId w:val="5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97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3214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609A1"/>
    <w:rsid w:val="00162554"/>
    <w:rsid w:val="00163F68"/>
    <w:rsid w:val="00173B50"/>
    <w:rsid w:val="00173E0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F17E1"/>
    <w:rsid w:val="003043A9"/>
    <w:rsid w:val="0030454E"/>
    <w:rsid w:val="00320242"/>
    <w:rsid w:val="00322A3A"/>
    <w:rsid w:val="00324A32"/>
    <w:rsid w:val="00325D6E"/>
    <w:rsid w:val="00334977"/>
    <w:rsid w:val="00337194"/>
    <w:rsid w:val="00342EE8"/>
    <w:rsid w:val="00344D78"/>
    <w:rsid w:val="00345548"/>
    <w:rsid w:val="00346517"/>
    <w:rsid w:val="00351CCB"/>
    <w:rsid w:val="0035648A"/>
    <w:rsid w:val="00362B41"/>
    <w:rsid w:val="00363995"/>
    <w:rsid w:val="00364E5E"/>
    <w:rsid w:val="00370E9B"/>
    <w:rsid w:val="00377E4B"/>
    <w:rsid w:val="00383BA9"/>
    <w:rsid w:val="00384433"/>
    <w:rsid w:val="003845B0"/>
    <w:rsid w:val="00385B34"/>
    <w:rsid w:val="00386C08"/>
    <w:rsid w:val="00387D88"/>
    <w:rsid w:val="0039446E"/>
    <w:rsid w:val="003A260A"/>
    <w:rsid w:val="003A2BC4"/>
    <w:rsid w:val="003B31BE"/>
    <w:rsid w:val="003B504D"/>
    <w:rsid w:val="003C7065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71B34"/>
    <w:rsid w:val="00474AFE"/>
    <w:rsid w:val="00477E66"/>
    <w:rsid w:val="00480809"/>
    <w:rsid w:val="004831C7"/>
    <w:rsid w:val="00486A5E"/>
    <w:rsid w:val="00493F92"/>
    <w:rsid w:val="004A0C2B"/>
    <w:rsid w:val="004A610E"/>
    <w:rsid w:val="004C20E2"/>
    <w:rsid w:val="004E056C"/>
    <w:rsid w:val="004E2817"/>
    <w:rsid w:val="004E2AE8"/>
    <w:rsid w:val="004E418A"/>
    <w:rsid w:val="005016FB"/>
    <w:rsid w:val="0050208F"/>
    <w:rsid w:val="00504256"/>
    <w:rsid w:val="00511D17"/>
    <w:rsid w:val="005157E2"/>
    <w:rsid w:val="0051699F"/>
    <w:rsid w:val="00516DE3"/>
    <w:rsid w:val="005300BF"/>
    <w:rsid w:val="00532631"/>
    <w:rsid w:val="0054008B"/>
    <w:rsid w:val="005414A1"/>
    <w:rsid w:val="0054175C"/>
    <w:rsid w:val="005473CF"/>
    <w:rsid w:val="0055673D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03F8"/>
    <w:rsid w:val="005D2DDA"/>
    <w:rsid w:val="005E3A3E"/>
    <w:rsid w:val="005E3CEC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54AE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6D0"/>
    <w:rsid w:val="00776A63"/>
    <w:rsid w:val="00790C65"/>
    <w:rsid w:val="007930B7"/>
    <w:rsid w:val="0079316B"/>
    <w:rsid w:val="007A0565"/>
    <w:rsid w:val="007A0EAA"/>
    <w:rsid w:val="007A1247"/>
    <w:rsid w:val="007A1E0A"/>
    <w:rsid w:val="007A6F91"/>
    <w:rsid w:val="007A7D45"/>
    <w:rsid w:val="007B4ADA"/>
    <w:rsid w:val="007C0997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1DCE"/>
    <w:rsid w:val="007E4E37"/>
    <w:rsid w:val="007F4B07"/>
    <w:rsid w:val="008029A6"/>
    <w:rsid w:val="008147BA"/>
    <w:rsid w:val="008269B0"/>
    <w:rsid w:val="0083067E"/>
    <w:rsid w:val="00832357"/>
    <w:rsid w:val="0083488D"/>
    <w:rsid w:val="00845B6C"/>
    <w:rsid w:val="008466C3"/>
    <w:rsid w:val="00846809"/>
    <w:rsid w:val="00851458"/>
    <w:rsid w:val="00854AB0"/>
    <w:rsid w:val="00861A47"/>
    <w:rsid w:val="008707FF"/>
    <w:rsid w:val="00871F5C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6D71"/>
    <w:rsid w:val="009577E1"/>
    <w:rsid w:val="00971CA1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079B3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D6BD4"/>
    <w:rsid w:val="00AE1B18"/>
    <w:rsid w:val="00AE1D83"/>
    <w:rsid w:val="00AE2DFB"/>
    <w:rsid w:val="00AE3061"/>
    <w:rsid w:val="00AF15BA"/>
    <w:rsid w:val="00AF1C32"/>
    <w:rsid w:val="00AF65C6"/>
    <w:rsid w:val="00B07105"/>
    <w:rsid w:val="00B11AE3"/>
    <w:rsid w:val="00B121A6"/>
    <w:rsid w:val="00B300B8"/>
    <w:rsid w:val="00B32A28"/>
    <w:rsid w:val="00B33904"/>
    <w:rsid w:val="00B3751E"/>
    <w:rsid w:val="00B427FE"/>
    <w:rsid w:val="00B51737"/>
    <w:rsid w:val="00B525D9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196A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75D4F"/>
    <w:rsid w:val="00C87194"/>
    <w:rsid w:val="00C90629"/>
    <w:rsid w:val="00C90C51"/>
    <w:rsid w:val="00CA3ED6"/>
    <w:rsid w:val="00CA7CF4"/>
    <w:rsid w:val="00CB0B50"/>
    <w:rsid w:val="00CB0F37"/>
    <w:rsid w:val="00CB1135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34A6"/>
    <w:rsid w:val="00CF3F93"/>
    <w:rsid w:val="00D00810"/>
    <w:rsid w:val="00D020F3"/>
    <w:rsid w:val="00D04515"/>
    <w:rsid w:val="00D065AD"/>
    <w:rsid w:val="00D22831"/>
    <w:rsid w:val="00D404B7"/>
    <w:rsid w:val="00D44509"/>
    <w:rsid w:val="00D448CB"/>
    <w:rsid w:val="00D47226"/>
    <w:rsid w:val="00D47ED5"/>
    <w:rsid w:val="00D61779"/>
    <w:rsid w:val="00D73DB6"/>
    <w:rsid w:val="00D7501D"/>
    <w:rsid w:val="00D809E5"/>
    <w:rsid w:val="00D81948"/>
    <w:rsid w:val="00D86816"/>
    <w:rsid w:val="00D90819"/>
    <w:rsid w:val="00D93291"/>
    <w:rsid w:val="00D9501F"/>
    <w:rsid w:val="00DA57B6"/>
    <w:rsid w:val="00DA6E80"/>
    <w:rsid w:val="00DB50D5"/>
    <w:rsid w:val="00DC5537"/>
    <w:rsid w:val="00DD11EE"/>
    <w:rsid w:val="00DD52A0"/>
    <w:rsid w:val="00DE5590"/>
    <w:rsid w:val="00DE6364"/>
    <w:rsid w:val="00DF1D9E"/>
    <w:rsid w:val="00DF3DA3"/>
    <w:rsid w:val="00DF5DA4"/>
    <w:rsid w:val="00E03AD1"/>
    <w:rsid w:val="00E06492"/>
    <w:rsid w:val="00E065CE"/>
    <w:rsid w:val="00E06A00"/>
    <w:rsid w:val="00E13E03"/>
    <w:rsid w:val="00E22B99"/>
    <w:rsid w:val="00E24A9D"/>
    <w:rsid w:val="00E258D9"/>
    <w:rsid w:val="00E35B8C"/>
    <w:rsid w:val="00E439CA"/>
    <w:rsid w:val="00E46DDB"/>
    <w:rsid w:val="00E473F3"/>
    <w:rsid w:val="00E5219B"/>
    <w:rsid w:val="00E54863"/>
    <w:rsid w:val="00E56905"/>
    <w:rsid w:val="00E64BE4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B7F2E"/>
    <w:rsid w:val="00ED0C60"/>
    <w:rsid w:val="00ED3D26"/>
    <w:rsid w:val="00ED5218"/>
    <w:rsid w:val="00EE1D9D"/>
    <w:rsid w:val="00EF0BCB"/>
    <w:rsid w:val="00EF0E74"/>
    <w:rsid w:val="00EF2549"/>
    <w:rsid w:val="00F00E8A"/>
    <w:rsid w:val="00F13E5C"/>
    <w:rsid w:val="00F16242"/>
    <w:rsid w:val="00F17FCB"/>
    <w:rsid w:val="00F226CC"/>
    <w:rsid w:val="00F22C5F"/>
    <w:rsid w:val="00F2691E"/>
    <w:rsid w:val="00F279DD"/>
    <w:rsid w:val="00F3242E"/>
    <w:rsid w:val="00F33650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6CD"/>
    <w:rsid w:val="00F941F0"/>
    <w:rsid w:val="00F97FF5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73A8A"/>
  <w15:docId w15:val="{CAA8702A-AEC6-47D1-89F1-4D7AE62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paragraph" w:customStyle="1" w:styleId="i">
    <w:name w:val="(i)"/>
    <w:basedOn w:val="Normal"/>
    <w:link w:val="iChar"/>
    <w:autoRedefine/>
    <w:qFormat/>
    <w:rsid w:val="007C0997"/>
    <w:pPr>
      <w:numPr>
        <w:numId w:val="75"/>
      </w:numPr>
      <w:autoSpaceDE w:val="0"/>
      <w:autoSpaceDN w:val="0"/>
      <w:adjustRightInd w:val="0"/>
      <w:spacing w:before="120"/>
      <w:ind w:right="284"/>
      <w:jc w:val="both"/>
    </w:pPr>
    <w:rPr>
      <w:rFonts w:ascii="Arial" w:eastAsia="SimSun" w:hAnsi="Arial" w:cs="Arial"/>
      <w:w w:val="90"/>
      <w:szCs w:val="22"/>
      <w:lang w:val="en-US"/>
    </w:rPr>
  </w:style>
  <w:style w:type="character" w:customStyle="1" w:styleId="iChar">
    <w:name w:val="(i) Char"/>
    <w:link w:val="i"/>
    <w:locked/>
    <w:rsid w:val="007C0997"/>
    <w:rPr>
      <w:rFonts w:ascii="Arial" w:hAnsi="Arial" w:cs="Arial"/>
      <w:w w:val="90"/>
      <w:sz w:val="22"/>
      <w:szCs w:val="22"/>
      <w:lang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AD2-916E-489F-8AD9-CBE1901A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5</cp:revision>
  <dcterms:created xsi:type="dcterms:W3CDTF">2019-07-24T00:17:00Z</dcterms:created>
  <dcterms:modified xsi:type="dcterms:W3CDTF">2019-12-06T17:19:00Z</dcterms:modified>
</cp:coreProperties>
</file>